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彩虹小标宋" w:hAnsi="宋体" w:eastAsia="彩虹小标宋" w:cs="Times New Roman"/>
          <w:bCs/>
          <w:snapToGrid w:val="0"/>
          <w:kern w:val="0"/>
          <w:sz w:val="44"/>
          <w:szCs w:val="44"/>
        </w:rPr>
      </w:pPr>
      <w:r>
        <w:rPr>
          <w:rFonts w:hint="eastAsia" w:ascii="彩虹小标宋" w:hAnsi="宋体" w:eastAsia="彩虹小标宋" w:cs="Times New Roman"/>
          <w:bCs/>
          <w:snapToGrid w:val="0"/>
          <w:kern w:val="0"/>
          <w:sz w:val="44"/>
          <w:szCs w:val="44"/>
        </w:rPr>
        <w:t>热门商圈广告投放服务项目采购需求</w:t>
      </w:r>
    </w:p>
    <w:p>
      <w:pPr>
        <w:spacing w:line="360" w:lineRule="auto"/>
        <w:ind w:firstLine="645"/>
        <w:rPr>
          <w:rFonts w:ascii="彩虹粗仿宋" w:hAnsi="宋体" w:eastAsia="彩虹粗仿宋" w:cs="Times New Roman"/>
          <w:b/>
          <w:snapToGrid w:val="0"/>
          <w:kern w:val="0"/>
          <w:sz w:val="32"/>
          <w:szCs w:val="32"/>
        </w:rPr>
      </w:pPr>
    </w:p>
    <w:p>
      <w:pPr>
        <w:keepNext w:val="0"/>
        <w:keepLines w:val="0"/>
        <w:pageBreakBefore w:val="0"/>
        <w:kinsoku/>
        <w:wordWrap/>
        <w:overflowPunct/>
        <w:topLinePunct w:val="0"/>
        <w:autoSpaceDE/>
        <w:autoSpaceDN/>
        <w:bidi w:val="0"/>
        <w:spacing w:line="580" w:lineRule="exact"/>
        <w:ind w:firstLine="642" w:firstLineChars="200"/>
        <w:jc w:val="left"/>
        <w:textAlignment w:val="auto"/>
        <w:rPr>
          <w:rFonts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rPr>
        <w:t>一、服务内容</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eastAsia" w:ascii="彩虹粗仿宋" w:eastAsia="彩虹粗仿宋"/>
          <w:kern w:val="0"/>
          <w:sz w:val="32"/>
          <w:szCs w:val="32"/>
        </w:rPr>
      </w:pPr>
      <w:r>
        <w:rPr>
          <w:rFonts w:hint="eastAsia" w:ascii="彩虹粗仿宋" w:eastAsia="彩虹粗仿宋"/>
          <w:kern w:val="0"/>
          <w:sz w:val="32"/>
          <w:szCs w:val="32"/>
          <w:highlight w:val="none"/>
        </w:rPr>
        <w:t>本次采购拟实行竞争性磋商，拟入选</w:t>
      </w:r>
      <w:r>
        <w:rPr>
          <w:rFonts w:hint="eastAsia" w:ascii="彩虹粗仿宋" w:eastAsia="彩虹粗仿宋"/>
          <w:kern w:val="0"/>
          <w:sz w:val="32"/>
          <w:szCs w:val="32"/>
          <w:highlight w:val="none"/>
          <w:lang w:val="en-US" w:eastAsia="zh-CN"/>
        </w:rPr>
        <w:t>1</w:t>
      </w:r>
      <w:r>
        <w:rPr>
          <w:rFonts w:hint="eastAsia" w:ascii="彩虹粗仿宋" w:eastAsia="彩虹粗仿宋"/>
          <w:kern w:val="0"/>
          <w:sz w:val="32"/>
          <w:szCs w:val="32"/>
          <w:highlight w:val="none"/>
        </w:rPr>
        <w:t>家供应商，备选 1家。</w:t>
      </w:r>
      <w:bookmarkStart w:id="0" w:name="_GoBack"/>
      <w:bookmarkEnd w:id="0"/>
    </w:p>
    <w:tbl>
      <w:tblPr>
        <w:tblStyle w:val="2"/>
        <w:tblW w:w="91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19"/>
        <w:gridCol w:w="1338"/>
        <w:gridCol w:w="3030"/>
        <w:gridCol w:w="1670"/>
        <w:gridCol w:w="15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采购项目</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具体区域</w:t>
            </w:r>
          </w:p>
        </w:tc>
        <w:tc>
          <w:tcPr>
            <w:tcW w:w="3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产品版位</w:t>
            </w:r>
          </w:p>
        </w:tc>
        <w:tc>
          <w:tcPr>
            <w:tcW w:w="16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需求数量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151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热门商圈广告投放</w:t>
            </w:r>
          </w:p>
        </w:tc>
        <w:tc>
          <w:tcPr>
            <w:tcW w:w="133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华润万象城</w:t>
            </w:r>
          </w:p>
        </w:tc>
        <w:tc>
          <w:tcPr>
            <w:tcW w:w="303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bidi="ar"/>
              </w:rPr>
              <w:t>华润万象城-冰场吊旗</w:t>
            </w:r>
          </w:p>
        </w:tc>
        <w:tc>
          <w:tcPr>
            <w:tcW w:w="167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color w:val="000000"/>
                <w:kern w:val="0"/>
                <w:sz w:val="24"/>
                <w:szCs w:val="24"/>
                <w:lang w:bidi="ar"/>
              </w:rPr>
              <w:t>幅/</w:t>
            </w:r>
            <w:r>
              <w:rPr>
                <w:rFonts w:hint="eastAsia" w:ascii="宋体" w:hAnsi="宋体" w:eastAsia="宋体" w:cs="宋体"/>
                <w:color w:val="000000"/>
                <w:kern w:val="0"/>
                <w:sz w:val="24"/>
                <w:szCs w:val="24"/>
                <w:lang w:val="en-US" w:eastAsia="zh-CN" w:bidi="ar"/>
              </w:rPr>
              <w:t>30</w:t>
            </w:r>
            <w:r>
              <w:rPr>
                <w:rFonts w:hint="eastAsia" w:ascii="宋体" w:hAnsi="宋体" w:eastAsia="宋体" w:cs="宋体"/>
                <w:color w:val="000000"/>
                <w:kern w:val="0"/>
                <w:sz w:val="24"/>
                <w:szCs w:val="24"/>
                <w:lang w:bidi="ar"/>
              </w:rPr>
              <w:t>天</w:t>
            </w:r>
          </w:p>
        </w:tc>
        <w:tc>
          <w:tcPr>
            <w:tcW w:w="157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color w:val="000000"/>
                <w:kern w:val="0"/>
                <w:sz w:val="24"/>
                <w:szCs w:val="24"/>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1" w:hRule="atLeast"/>
          <w:jc w:val="center"/>
        </w:trPr>
        <w:tc>
          <w:tcPr>
            <w:tcW w:w="151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u w:val="none"/>
              </w:rPr>
            </w:pPr>
          </w:p>
        </w:tc>
        <w:tc>
          <w:tcPr>
            <w:tcW w:w="133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u w:val="none"/>
              </w:rPr>
            </w:pPr>
          </w:p>
        </w:tc>
        <w:tc>
          <w:tcPr>
            <w:tcW w:w="30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bidi="ar"/>
              </w:rPr>
              <w:t>华润万象城-场内吊旗</w:t>
            </w:r>
          </w:p>
        </w:tc>
        <w:tc>
          <w:tcPr>
            <w:tcW w:w="167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bidi="ar"/>
              </w:rPr>
              <w:t>幅/</w:t>
            </w:r>
            <w:r>
              <w:rPr>
                <w:rFonts w:hint="eastAsia" w:ascii="宋体" w:hAnsi="宋体" w:eastAsia="宋体" w:cs="宋体"/>
                <w:color w:val="000000"/>
                <w:kern w:val="0"/>
                <w:sz w:val="24"/>
                <w:szCs w:val="24"/>
                <w:lang w:val="en-US" w:eastAsia="zh-CN" w:bidi="ar"/>
              </w:rPr>
              <w:t>30</w:t>
            </w:r>
            <w:r>
              <w:rPr>
                <w:rFonts w:hint="eastAsia" w:ascii="宋体" w:hAnsi="宋体" w:eastAsia="宋体" w:cs="宋体"/>
                <w:color w:val="000000"/>
                <w:kern w:val="0"/>
                <w:sz w:val="24"/>
                <w:szCs w:val="24"/>
                <w:lang w:bidi="ar"/>
              </w:rPr>
              <w:t>天</w:t>
            </w:r>
          </w:p>
        </w:tc>
        <w:tc>
          <w:tcPr>
            <w:tcW w:w="157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color w:val="000000"/>
                <w:kern w:val="0"/>
                <w:sz w:val="24"/>
                <w:szCs w:val="24"/>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1" w:hRule="atLeast"/>
          <w:jc w:val="center"/>
        </w:trPr>
        <w:tc>
          <w:tcPr>
            <w:tcW w:w="151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u w:val="none"/>
              </w:rPr>
            </w:pPr>
          </w:p>
        </w:tc>
        <w:tc>
          <w:tcPr>
            <w:tcW w:w="1338"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u w:val="none"/>
              </w:rPr>
            </w:pPr>
          </w:p>
        </w:tc>
        <w:tc>
          <w:tcPr>
            <w:tcW w:w="30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bidi="ar"/>
              </w:rPr>
              <w:t>华润万象城-西北门（民族大道）电子屏</w:t>
            </w:r>
          </w:p>
        </w:tc>
        <w:tc>
          <w:tcPr>
            <w:tcW w:w="167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color w:val="000000"/>
                <w:kern w:val="0"/>
                <w:sz w:val="24"/>
                <w:szCs w:val="24"/>
                <w:lang w:eastAsia="zh-CN" w:bidi="ar"/>
              </w:rPr>
              <w:t>周</w:t>
            </w:r>
          </w:p>
        </w:tc>
        <w:tc>
          <w:tcPr>
            <w:tcW w:w="157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color w:val="000000"/>
                <w:kern w:val="0"/>
                <w:sz w:val="24"/>
                <w:szCs w:val="24"/>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151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南宁市内</w:t>
            </w:r>
          </w:p>
        </w:tc>
        <w:tc>
          <w:tcPr>
            <w:tcW w:w="30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bidi="ar"/>
              </w:rPr>
              <w:t>南宁市内-停车道闸</w:t>
            </w:r>
          </w:p>
        </w:tc>
        <w:tc>
          <w:tcPr>
            <w:tcW w:w="167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eastAsia="zh-CN" w:bidi="ar"/>
              </w:rPr>
              <w:t>杆</w:t>
            </w:r>
            <w:r>
              <w:rPr>
                <w:rFonts w:hint="eastAsia" w:ascii="宋体" w:hAnsi="宋体" w:eastAsia="宋体" w:cs="宋体"/>
                <w:color w:val="000000"/>
                <w:kern w:val="0"/>
                <w:sz w:val="24"/>
                <w:szCs w:val="24"/>
                <w:lang w:bidi="ar"/>
              </w:rPr>
              <w:t>/</w:t>
            </w:r>
            <w:r>
              <w:rPr>
                <w:rFonts w:hint="eastAsia" w:ascii="宋体" w:hAnsi="宋体" w:eastAsia="宋体" w:cs="宋体"/>
                <w:color w:val="000000"/>
                <w:kern w:val="0"/>
                <w:sz w:val="24"/>
                <w:szCs w:val="24"/>
                <w:lang w:val="en-US" w:eastAsia="zh-CN" w:bidi="ar"/>
              </w:rPr>
              <w:t>30</w:t>
            </w:r>
            <w:r>
              <w:rPr>
                <w:rFonts w:hint="eastAsia" w:ascii="宋体" w:hAnsi="宋体" w:eastAsia="宋体" w:cs="宋体"/>
                <w:color w:val="000000"/>
                <w:kern w:val="0"/>
                <w:sz w:val="24"/>
                <w:szCs w:val="24"/>
                <w:lang w:bidi="ar"/>
              </w:rPr>
              <w:t>天</w:t>
            </w:r>
          </w:p>
        </w:tc>
        <w:tc>
          <w:tcPr>
            <w:tcW w:w="157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color w:val="000000"/>
                <w:kern w:val="0"/>
                <w:sz w:val="24"/>
                <w:szCs w:val="24"/>
                <w:lang w:val="en-US" w:eastAsia="zh-CN" w:bidi="ar"/>
              </w:rPr>
              <w:t>26</w:t>
            </w:r>
          </w:p>
        </w:tc>
      </w:tr>
    </w:tbl>
    <w:p>
      <w:pPr>
        <w:pStyle w:val="4"/>
        <w:spacing w:line="360" w:lineRule="auto"/>
        <w:ind w:left="0" w:leftChars="0" w:firstLine="0" w:firstLineChars="0"/>
        <w:rPr>
          <w:rFonts w:ascii="彩虹粗仿宋" w:eastAsia="彩虹粗仿宋"/>
          <w:b w:val="0"/>
          <w:bCs/>
          <w:kern w:val="0"/>
          <w:sz w:val="24"/>
          <w:szCs w:val="24"/>
        </w:rPr>
      </w:pPr>
      <w:r>
        <w:rPr>
          <w:rFonts w:hint="eastAsia" w:ascii="彩虹粗仿宋" w:eastAsia="彩虹粗仿宋"/>
          <w:b w:val="0"/>
          <w:bCs/>
          <w:kern w:val="0"/>
          <w:sz w:val="24"/>
          <w:szCs w:val="24"/>
          <w:lang w:val="en-US" w:eastAsia="zh-CN"/>
        </w:rPr>
        <w:t xml:space="preserve">     </w:t>
      </w:r>
      <w:r>
        <w:rPr>
          <w:rFonts w:hint="eastAsia" w:ascii="彩虹粗仿宋" w:eastAsia="彩虹粗仿宋"/>
          <w:b w:val="0"/>
          <w:bCs/>
          <w:kern w:val="0"/>
          <w:sz w:val="24"/>
          <w:szCs w:val="24"/>
        </w:rPr>
        <w:t>注：</w:t>
      </w:r>
      <w:r>
        <w:rPr>
          <w:rFonts w:hint="eastAsia" w:ascii="彩虹粗仿宋" w:eastAsia="彩虹粗仿宋"/>
          <w:b w:val="0"/>
          <w:bCs/>
          <w:kern w:val="0"/>
          <w:sz w:val="24"/>
          <w:szCs w:val="24"/>
          <w:lang w:eastAsia="zh-CN"/>
        </w:rPr>
        <w:t>各项实际需求以实际执行为准，在总预算内调剂使用</w:t>
      </w:r>
      <w:r>
        <w:rPr>
          <w:rFonts w:hint="eastAsia" w:ascii="彩虹粗仿宋" w:eastAsia="彩虹粗仿宋"/>
          <w:b w:val="0"/>
          <w:bCs/>
          <w:kern w:val="0"/>
          <w:sz w:val="24"/>
          <w:szCs w:val="24"/>
        </w:rPr>
        <w:t>。</w:t>
      </w:r>
    </w:p>
    <w:p>
      <w:pPr>
        <w:keepNext w:val="0"/>
        <w:keepLines w:val="0"/>
        <w:pageBreakBefore w:val="0"/>
        <w:kinsoku/>
        <w:wordWrap/>
        <w:overflowPunct/>
        <w:topLinePunct w:val="0"/>
        <w:autoSpaceDE/>
        <w:autoSpaceDN/>
        <w:bidi w:val="0"/>
        <w:adjustRightInd w:val="0"/>
        <w:snapToGrid w:val="0"/>
        <w:spacing w:line="580" w:lineRule="exact"/>
        <w:ind w:firstLine="642" w:firstLineChars="200"/>
        <w:jc w:val="left"/>
        <w:textAlignment w:val="auto"/>
        <w:rPr>
          <w:rFonts w:hint="eastAsia"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rPr>
        <w:t>二、供应商资质要求</w:t>
      </w: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left"/>
        <w:textAlignment w:val="auto"/>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snapToGrid w:val="0"/>
          <w:kern w:val="0"/>
          <w:sz w:val="32"/>
          <w:szCs w:val="32"/>
        </w:rPr>
        <w:t>1.</w:t>
      </w:r>
      <w:r>
        <w:rPr>
          <w:rFonts w:hint="eastAsia" w:ascii="彩虹粗仿宋" w:hAnsi="宋体" w:eastAsia="彩虹粗仿宋" w:cs="Times New Roman"/>
          <w:snapToGrid w:val="0"/>
          <w:kern w:val="0"/>
          <w:sz w:val="32"/>
          <w:szCs w:val="32"/>
          <w:lang w:eastAsia="zh-CN"/>
        </w:rPr>
        <w:t>经营范围包含：广告设计、广告制作、广告发布、广告代理以上全部类型。</w:t>
      </w: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left"/>
        <w:textAlignment w:val="auto"/>
        <w:rPr>
          <w:rFonts w:hint="eastAsia" w:ascii="彩虹粗仿宋" w:hAnsi="宋体" w:eastAsia="彩虹粗仿宋" w:cs="Times New Roman"/>
          <w:snapToGrid w:val="0"/>
          <w:kern w:val="0"/>
          <w:sz w:val="32"/>
          <w:szCs w:val="32"/>
          <w:lang w:val="en-US" w:eastAsia="zh-CN"/>
        </w:rPr>
      </w:pPr>
      <w:r>
        <w:rPr>
          <w:rFonts w:hint="eastAsia" w:ascii="彩虹粗仿宋" w:hAnsi="宋体" w:eastAsia="彩虹粗仿宋" w:cs="Times New Roman"/>
          <w:snapToGrid w:val="0"/>
          <w:kern w:val="0"/>
          <w:sz w:val="32"/>
          <w:szCs w:val="32"/>
          <w:lang w:val="en-US" w:eastAsia="zh-CN"/>
        </w:rPr>
        <w:t>2.</w:t>
      </w:r>
      <w:r>
        <w:rPr>
          <w:rFonts w:hint="eastAsia" w:ascii="彩虹粗仿宋" w:hAnsi="宋体" w:eastAsia="彩虹粗仿宋" w:cs="Times New Roman"/>
          <w:snapToGrid w:val="0"/>
          <w:kern w:val="0"/>
          <w:sz w:val="32"/>
          <w:szCs w:val="32"/>
        </w:rPr>
        <w:t>供应商取得南宁市民族大道</w:t>
      </w:r>
      <w:r>
        <w:rPr>
          <w:rFonts w:hint="eastAsia" w:ascii="彩虹粗仿宋" w:hAnsi="宋体" w:eastAsia="彩虹粗仿宋" w:cs="Times New Roman"/>
          <w:snapToGrid w:val="0"/>
          <w:kern w:val="0"/>
          <w:sz w:val="32"/>
          <w:szCs w:val="32"/>
          <w:lang w:val="en-US" w:eastAsia="zh-CN"/>
        </w:rPr>
        <w:t>136</w:t>
      </w:r>
      <w:r>
        <w:rPr>
          <w:rFonts w:hint="eastAsia" w:ascii="彩虹粗仿宋" w:hAnsi="宋体" w:eastAsia="彩虹粗仿宋" w:cs="Times New Roman"/>
          <w:snapToGrid w:val="0"/>
          <w:kern w:val="0"/>
          <w:sz w:val="32"/>
          <w:szCs w:val="32"/>
        </w:rPr>
        <w:t>号华润万象城经营方出具的广告发布授权代理材料，如授权委托/合作协议/合作函件等</w:t>
      </w:r>
      <w:r>
        <w:rPr>
          <w:rFonts w:hint="eastAsia" w:ascii="彩虹粗仿宋" w:hAnsi="宋体" w:eastAsia="彩虹粗仿宋" w:cs="Times New Roman"/>
          <w:snapToGrid w:val="0"/>
          <w:kern w:val="0"/>
          <w:sz w:val="32"/>
          <w:szCs w:val="32"/>
          <w:lang w:eastAsia="zh-CN"/>
        </w:rPr>
        <w:t>（合同甲方或函件出具方为华润置地（南宁）有限公司）</w:t>
      </w:r>
      <w:r>
        <w:rPr>
          <w:rFonts w:hint="eastAsia" w:ascii="彩虹粗仿宋" w:hAnsi="宋体" w:eastAsia="彩虹粗仿宋" w:cs="Times New Roman"/>
          <w:snapToGrid w:val="0"/>
          <w:kern w:val="0"/>
          <w:sz w:val="32"/>
          <w:szCs w:val="32"/>
          <w:lang w:val="en-US" w:eastAsia="zh-CN"/>
        </w:rPr>
        <w:t>，确保我行广告内容可实现对应投放。</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ascii="彩虹粗仿宋" w:hAnsi="宋体" w:eastAsia="彩虹粗仿宋" w:cs="Times New Roman"/>
          <w:b/>
          <w:snapToGrid w:val="0"/>
          <w:kern w:val="0"/>
          <w:sz w:val="32"/>
          <w:szCs w:val="32"/>
        </w:rPr>
      </w:pPr>
      <w:r>
        <w:rPr>
          <w:rFonts w:hint="eastAsia" w:ascii="彩虹粗仿宋" w:hAnsi="宋体" w:eastAsia="彩虹粗仿宋" w:cs="Times New Roman"/>
          <w:snapToGrid w:val="0"/>
          <w:kern w:val="0"/>
          <w:sz w:val="32"/>
          <w:szCs w:val="32"/>
        </w:rPr>
        <w:t>三、</w:t>
      </w:r>
      <w:r>
        <w:rPr>
          <w:rFonts w:hint="eastAsia" w:ascii="彩虹粗仿宋" w:hAnsi="宋体" w:eastAsia="彩虹粗仿宋" w:cs="Times New Roman"/>
          <w:b/>
          <w:snapToGrid w:val="0"/>
          <w:kern w:val="0"/>
          <w:sz w:val="32"/>
          <w:szCs w:val="32"/>
        </w:rPr>
        <w:t>服务质量要求</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eastAsia" w:ascii="彩虹粗仿宋" w:eastAsia="彩虹粗仿宋"/>
          <w:sz w:val="32"/>
          <w:szCs w:val="32"/>
          <w:lang w:eastAsia="zh-CN"/>
        </w:rPr>
      </w:pPr>
      <w:r>
        <w:rPr>
          <w:rFonts w:hint="eastAsia" w:ascii="彩虹粗仿宋" w:eastAsia="彩虹粗仿宋"/>
          <w:sz w:val="32"/>
          <w:szCs w:val="32"/>
        </w:rPr>
        <w:t>1.</w:t>
      </w:r>
      <w:r>
        <w:rPr>
          <w:rFonts w:hint="eastAsia" w:ascii="彩虹粗仿宋" w:eastAsia="彩虹粗仿宋"/>
          <w:sz w:val="32"/>
          <w:szCs w:val="32"/>
          <w:lang w:eastAsia="zh-CN"/>
        </w:rPr>
        <w:t>在商圈广告投放前，供应商须取得所有权人的授权文书或等同佐证材料。</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ascii="彩虹粗仿宋" w:eastAsia="彩虹粗仿宋"/>
          <w:sz w:val="32"/>
          <w:szCs w:val="32"/>
        </w:rPr>
      </w:pPr>
      <w:r>
        <w:rPr>
          <w:rFonts w:hint="eastAsia" w:ascii="彩虹粗仿宋" w:eastAsia="彩虹粗仿宋"/>
          <w:sz w:val="32"/>
          <w:szCs w:val="32"/>
          <w:lang w:val="en-US" w:eastAsia="zh-CN"/>
        </w:rPr>
        <w:t>2.</w:t>
      </w:r>
      <w:r>
        <w:rPr>
          <w:rFonts w:hint="eastAsia" w:ascii="彩虹粗仿宋" w:eastAsia="彩虹粗仿宋"/>
          <w:sz w:val="32"/>
          <w:szCs w:val="32"/>
        </w:rPr>
        <w:t>供应商不得擅自修改建行广告样稿，不得擅自变更双方约定的发布版面、时间、规格、次数等内容。广告刊出若与样稿不符，供应商负责无条件重新刊登正确的广告内容等。</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eastAsia" w:ascii="彩虹粗仿宋" w:eastAsia="彩虹粗仿宋"/>
          <w:sz w:val="32"/>
          <w:szCs w:val="32"/>
        </w:rPr>
      </w:pPr>
      <w:r>
        <w:rPr>
          <w:rFonts w:hint="eastAsia" w:ascii="彩虹粗仿宋" w:eastAsia="彩虹粗仿宋"/>
          <w:sz w:val="32"/>
          <w:szCs w:val="32"/>
          <w:lang w:val="en-US" w:eastAsia="zh-CN"/>
        </w:rPr>
        <w:t>3</w:t>
      </w:r>
      <w:r>
        <w:rPr>
          <w:rFonts w:hint="eastAsia" w:ascii="彩虹粗仿宋" w:eastAsia="彩虹粗仿宋"/>
          <w:sz w:val="32"/>
          <w:szCs w:val="32"/>
        </w:rPr>
        <w:t>.供应商按照我行确认的投放时间和投放内容执行广告发布安排。</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ascii="彩虹粗仿宋" w:eastAsia="彩虹粗仿宋"/>
          <w:sz w:val="32"/>
          <w:szCs w:val="32"/>
        </w:rPr>
      </w:pPr>
      <w:r>
        <w:rPr>
          <w:rFonts w:hint="eastAsia" w:ascii="彩虹粗仿宋" w:hAnsi="宋体" w:eastAsia="彩虹粗仿宋" w:cs="Times New Roman"/>
          <w:snapToGrid w:val="0"/>
          <w:kern w:val="0"/>
          <w:sz w:val="32"/>
          <w:szCs w:val="32"/>
          <w:lang w:val="en-US" w:eastAsia="zh-CN"/>
        </w:rPr>
        <w:t>4</w:t>
      </w:r>
      <w:r>
        <w:rPr>
          <w:rFonts w:hint="eastAsia" w:ascii="彩虹粗仿宋" w:hAnsi="宋体" w:eastAsia="彩虹粗仿宋" w:cs="Times New Roman"/>
          <w:snapToGrid w:val="0"/>
          <w:kern w:val="0"/>
          <w:sz w:val="32"/>
          <w:szCs w:val="32"/>
        </w:rPr>
        <w:t>.能够进行及时有效的售后服务</w:t>
      </w:r>
      <w:r>
        <w:rPr>
          <w:rFonts w:hint="eastAsia" w:ascii="彩虹粗仿宋" w:hAnsi="宋体" w:eastAsia="彩虹粗仿宋" w:cs="Times New Roman"/>
          <w:snapToGrid w:val="0"/>
          <w:kern w:val="0"/>
          <w:sz w:val="32"/>
          <w:szCs w:val="32"/>
          <w:lang w:eastAsia="zh-CN"/>
        </w:rPr>
        <w:t>，含广告投放情况巡查监测、广告内容更换等</w:t>
      </w:r>
      <w:r>
        <w:rPr>
          <w:rFonts w:hint="eastAsia" w:ascii="彩虹粗仿宋" w:hAnsi="宋体" w:eastAsia="彩虹粗仿宋" w:cs="Times New Roman"/>
          <w:snapToGrid w:val="0"/>
          <w:kern w:val="0"/>
          <w:sz w:val="32"/>
          <w:szCs w:val="32"/>
        </w:rPr>
        <w:t>。</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ascii="彩虹粗仿宋" w:eastAsia="彩虹粗仿宋"/>
          <w:sz w:val="32"/>
          <w:szCs w:val="32"/>
        </w:rPr>
      </w:pPr>
      <w:r>
        <w:rPr>
          <w:rFonts w:hint="eastAsia" w:ascii="彩虹粗仿宋" w:eastAsia="彩虹粗仿宋"/>
          <w:sz w:val="32"/>
          <w:szCs w:val="32"/>
          <w:lang w:val="en-US" w:eastAsia="zh-CN"/>
        </w:rPr>
        <w:t>5</w:t>
      </w:r>
      <w:r>
        <w:rPr>
          <w:rFonts w:hint="eastAsia" w:ascii="彩虹粗仿宋" w:eastAsia="彩虹粗仿宋"/>
          <w:sz w:val="32"/>
          <w:szCs w:val="32"/>
        </w:rPr>
        <w:t>.供应商为我行广告投放的内容及表现形式，对不符合法律、法规的广告内容和表现形式，供应商应及时向我行提出修改意见。</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eastAsia" w:ascii="彩虹粗仿宋" w:eastAsia="彩虹粗仿宋"/>
          <w:sz w:val="32"/>
          <w:szCs w:val="32"/>
        </w:rPr>
      </w:pPr>
      <w:r>
        <w:rPr>
          <w:rFonts w:hint="eastAsia" w:ascii="彩虹粗仿宋" w:eastAsia="彩虹粗仿宋"/>
          <w:sz w:val="32"/>
          <w:szCs w:val="32"/>
          <w:lang w:val="en-US" w:eastAsia="zh-CN"/>
        </w:rPr>
        <w:t>6</w:t>
      </w:r>
      <w:r>
        <w:rPr>
          <w:rFonts w:hint="eastAsia" w:ascii="彩虹粗仿宋" w:eastAsia="彩虹粗仿宋"/>
          <w:sz w:val="32"/>
          <w:szCs w:val="32"/>
        </w:rPr>
        <w:t>.供应商应定期对我行广告画面进行巡查，保证广告发布期内广告画面清晰、清洁和正常照明等，维护好我行广告良好形象。</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eastAsia" w:ascii="彩虹粗仿宋" w:eastAsia="彩虹粗仿宋"/>
          <w:sz w:val="32"/>
          <w:szCs w:val="32"/>
          <w:lang w:val="en-US" w:eastAsia="zh-CN"/>
        </w:rPr>
      </w:pPr>
      <w:r>
        <w:rPr>
          <w:rFonts w:hint="eastAsia" w:ascii="彩虹粗仿宋" w:eastAsia="彩虹粗仿宋"/>
          <w:sz w:val="32"/>
          <w:szCs w:val="32"/>
          <w:lang w:val="en-US" w:eastAsia="zh-CN"/>
        </w:rPr>
        <w:t>7.供应商保证向我行提供的本合同项下的广告服务不存在任何侵犯第三方知识产权的情形；如我行因此遭受第三方的索赔或起诉，则我行有权选择与该第三方达成和解或参加诉讼，并由供应商支付和解协议所约定的全部费用以及我行因诉讼而遭受的全部损失或费用（包括但不限于诉讼/仲裁费、律师费、交通费、通讯费、差旅费、对第三方的损害赔偿金、行政处罚罚款、获取该服务或产品相应使用许可的费用、因停止使用或修改、替换侵权诉讼所涉及的服务或产品而遭受的损失等）。</w:t>
      </w:r>
    </w:p>
    <w:p>
      <w:pPr>
        <w:keepNext w:val="0"/>
        <w:keepLines w:val="0"/>
        <w:pageBreakBefore w:val="0"/>
        <w:kinsoku/>
        <w:wordWrap/>
        <w:overflowPunct/>
        <w:topLinePunct w:val="0"/>
        <w:autoSpaceDE/>
        <w:autoSpaceDN/>
        <w:bidi w:val="0"/>
        <w:spacing w:line="580" w:lineRule="exact"/>
        <w:ind w:firstLine="642" w:firstLineChars="200"/>
        <w:jc w:val="left"/>
        <w:textAlignment w:val="auto"/>
        <w:rPr>
          <w:rFonts w:hint="default" w:ascii="彩虹粗仿宋" w:eastAsia="彩虹粗仿宋"/>
          <w:b/>
          <w:bCs/>
          <w:sz w:val="32"/>
          <w:szCs w:val="32"/>
          <w:highlight w:val="none"/>
          <w:lang w:val="en-US" w:eastAsia="zh-CN"/>
        </w:rPr>
      </w:pPr>
      <w:r>
        <w:rPr>
          <w:rFonts w:hint="default" w:ascii="彩虹粗仿宋" w:eastAsia="彩虹粗仿宋"/>
          <w:b/>
          <w:bCs/>
          <w:sz w:val="32"/>
          <w:szCs w:val="32"/>
          <w:highlight w:val="none"/>
          <w:lang w:val="en-US" w:eastAsia="zh-CN"/>
        </w:rPr>
        <w:t>四、服务数量要求</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default" w:ascii="彩虹粗仿宋" w:eastAsia="彩虹粗仿宋"/>
          <w:sz w:val="32"/>
          <w:szCs w:val="32"/>
          <w:highlight w:val="none"/>
          <w:lang w:val="en-US" w:eastAsia="zh-CN"/>
        </w:rPr>
      </w:pPr>
      <w:r>
        <w:rPr>
          <w:rFonts w:hint="default" w:ascii="彩虹粗仿宋" w:eastAsia="彩虹粗仿宋"/>
          <w:sz w:val="32"/>
          <w:szCs w:val="32"/>
          <w:highlight w:val="none"/>
          <w:lang w:val="en-US" w:eastAsia="zh-CN"/>
        </w:rPr>
        <w:t>1.采购服务数量：本次采购各类广告版位需求数量如下：</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default" w:ascii="彩虹粗仿宋" w:eastAsia="彩虹粗仿宋"/>
          <w:sz w:val="32"/>
          <w:szCs w:val="32"/>
          <w:highlight w:val="none"/>
          <w:lang w:val="en-US" w:eastAsia="zh-CN"/>
        </w:rPr>
      </w:pPr>
      <w:r>
        <w:rPr>
          <w:rFonts w:hint="default" w:ascii="彩虹粗仿宋" w:eastAsia="彩虹粗仿宋"/>
          <w:sz w:val="32"/>
          <w:szCs w:val="32"/>
          <w:highlight w:val="none"/>
          <w:lang w:val="en-US" w:eastAsia="zh-CN"/>
        </w:rPr>
        <w:t>（1）华润万象城-冰场吊旗：</w:t>
      </w:r>
      <w:r>
        <w:rPr>
          <w:rFonts w:hint="eastAsia" w:ascii="彩虹粗仿宋" w:eastAsia="彩虹粗仿宋"/>
          <w:sz w:val="32"/>
          <w:szCs w:val="32"/>
          <w:highlight w:val="none"/>
          <w:lang w:val="en-US" w:eastAsia="zh-CN"/>
        </w:rPr>
        <w:t>16</w:t>
      </w:r>
      <w:r>
        <w:rPr>
          <w:rFonts w:hint="default" w:ascii="彩虹粗仿宋" w:eastAsia="彩虹粗仿宋"/>
          <w:sz w:val="32"/>
          <w:szCs w:val="32"/>
          <w:highlight w:val="none"/>
          <w:lang w:val="en-US" w:eastAsia="zh-CN"/>
        </w:rPr>
        <w:t>幅/</w:t>
      </w:r>
      <w:r>
        <w:rPr>
          <w:rFonts w:hint="eastAsia" w:ascii="彩虹粗仿宋" w:eastAsia="彩虹粗仿宋"/>
          <w:sz w:val="32"/>
          <w:szCs w:val="32"/>
          <w:highlight w:val="none"/>
          <w:lang w:val="en-US" w:eastAsia="zh-CN"/>
        </w:rPr>
        <w:t>3</w:t>
      </w:r>
      <w:r>
        <w:rPr>
          <w:rFonts w:hint="default" w:ascii="彩虹粗仿宋" w:eastAsia="彩虹粗仿宋"/>
          <w:sz w:val="32"/>
          <w:szCs w:val="32"/>
          <w:highlight w:val="none"/>
          <w:lang w:val="en-US" w:eastAsia="zh-CN"/>
        </w:rPr>
        <w:t>0天；</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default" w:ascii="彩虹粗仿宋" w:eastAsia="彩虹粗仿宋"/>
          <w:sz w:val="32"/>
          <w:szCs w:val="32"/>
          <w:highlight w:val="none"/>
          <w:lang w:val="en-US" w:eastAsia="zh-CN"/>
        </w:rPr>
      </w:pPr>
      <w:r>
        <w:rPr>
          <w:rFonts w:hint="default" w:ascii="彩虹粗仿宋" w:eastAsia="彩虹粗仿宋"/>
          <w:sz w:val="32"/>
          <w:szCs w:val="32"/>
          <w:highlight w:val="none"/>
          <w:lang w:val="en-US" w:eastAsia="zh-CN"/>
        </w:rPr>
        <w:t>（2）华润万象城-场内吊旗：1幅/30天；</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default" w:ascii="彩虹粗仿宋" w:eastAsia="彩虹粗仿宋"/>
          <w:sz w:val="32"/>
          <w:szCs w:val="32"/>
          <w:highlight w:val="none"/>
          <w:lang w:val="en-US" w:eastAsia="zh-CN"/>
        </w:rPr>
      </w:pPr>
      <w:r>
        <w:rPr>
          <w:rFonts w:hint="default" w:ascii="彩虹粗仿宋" w:eastAsia="彩虹粗仿宋"/>
          <w:sz w:val="32"/>
          <w:szCs w:val="32"/>
          <w:highlight w:val="none"/>
          <w:lang w:val="en-US" w:eastAsia="zh-CN"/>
        </w:rPr>
        <w:t>（3）华润万象城-西北门（民族大道）电子屏：2周；</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default" w:ascii="彩虹粗仿宋" w:eastAsia="彩虹粗仿宋"/>
          <w:sz w:val="32"/>
          <w:szCs w:val="32"/>
          <w:highlight w:val="none"/>
          <w:lang w:val="en-US" w:eastAsia="zh-CN"/>
        </w:rPr>
      </w:pPr>
      <w:r>
        <w:rPr>
          <w:rFonts w:hint="default" w:ascii="彩虹粗仿宋" w:eastAsia="彩虹粗仿宋"/>
          <w:sz w:val="32"/>
          <w:szCs w:val="32"/>
          <w:highlight w:val="none"/>
          <w:lang w:val="en-US" w:eastAsia="zh-CN"/>
        </w:rPr>
        <w:t>（4）南宁市内-停车道闸：26杆/30天；</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default" w:ascii="彩虹粗仿宋" w:eastAsia="彩虹粗仿宋"/>
          <w:sz w:val="32"/>
          <w:szCs w:val="32"/>
          <w:highlight w:val="none"/>
          <w:lang w:val="en-US" w:eastAsia="zh-CN"/>
        </w:rPr>
      </w:pPr>
      <w:r>
        <w:rPr>
          <w:rFonts w:hint="default" w:ascii="彩虹粗仿宋" w:eastAsia="彩虹粗仿宋"/>
          <w:sz w:val="32"/>
          <w:szCs w:val="32"/>
          <w:highlight w:val="none"/>
          <w:lang w:val="en-US" w:eastAsia="zh-CN"/>
        </w:rPr>
        <w:t>各项实际需求以实际执行为准，在总预算内调剂使用。</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default" w:ascii="彩虹粗仿宋" w:eastAsia="彩虹粗仿宋"/>
          <w:sz w:val="32"/>
          <w:szCs w:val="32"/>
          <w:highlight w:val="none"/>
          <w:lang w:val="en-US" w:eastAsia="zh-CN"/>
        </w:rPr>
      </w:pPr>
      <w:r>
        <w:rPr>
          <w:rFonts w:hint="default" w:ascii="彩虹粗仿宋" w:eastAsia="彩虹粗仿宋"/>
          <w:sz w:val="32"/>
          <w:szCs w:val="32"/>
          <w:highlight w:val="none"/>
          <w:lang w:val="en-US" w:eastAsia="zh-CN"/>
        </w:rPr>
        <w:t>2.入选供应商数量：拟入选供应商</w:t>
      </w:r>
      <w:r>
        <w:rPr>
          <w:rFonts w:hint="eastAsia" w:ascii="彩虹粗仿宋" w:eastAsia="彩虹粗仿宋"/>
          <w:sz w:val="32"/>
          <w:szCs w:val="32"/>
          <w:highlight w:val="none"/>
          <w:lang w:val="en-US" w:eastAsia="zh-CN"/>
        </w:rPr>
        <w:t>1</w:t>
      </w:r>
      <w:r>
        <w:rPr>
          <w:rFonts w:hint="default" w:ascii="彩虹粗仿宋" w:eastAsia="彩虹粗仿宋"/>
          <w:sz w:val="32"/>
          <w:szCs w:val="32"/>
          <w:highlight w:val="none"/>
          <w:lang w:val="en-US" w:eastAsia="zh-CN"/>
        </w:rPr>
        <w:t>家，备选1家</w:t>
      </w:r>
      <w:r>
        <w:rPr>
          <w:rFonts w:hint="eastAsia" w:ascii="彩虹粗仿宋" w:eastAsia="彩虹粗仿宋"/>
          <w:sz w:val="32"/>
          <w:szCs w:val="32"/>
          <w:highlight w:val="none"/>
          <w:lang w:val="en-US" w:eastAsia="zh-CN"/>
        </w:rPr>
        <w:t>，发生违约等情况我行有权启用备选供应商</w:t>
      </w:r>
      <w:r>
        <w:rPr>
          <w:rFonts w:hint="default" w:ascii="彩虹粗仿宋" w:eastAsia="彩虹粗仿宋"/>
          <w:sz w:val="32"/>
          <w:szCs w:val="32"/>
          <w:highlight w:val="none"/>
          <w:lang w:val="en-US" w:eastAsia="zh-CN"/>
        </w:rPr>
        <w:t>。</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default" w:ascii="彩虹粗仿宋" w:eastAsia="彩虹粗仿宋"/>
          <w:sz w:val="32"/>
          <w:szCs w:val="32"/>
          <w:highlight w:val="none"/>
          <w:lang w:val="en-US" w:eastAsia="zh-CN"/>
        </w:rPr>
      </w:pPr>
      <w:r>
        <w:rPr>
          <w:rFonts w:hint="default" w:ascii="彩虹粗仿宋" w:eastAsia="彩虹粗仿宋"/>
          <w:sz w:val="32"/>
          <w:szCs w:val="32"/>
          <w:highlight w:val="none"/>
          <w:lang w:val="en-US" w:eastAsia="zh-CN"/>
        </w:rPr>
        <w:t>3.各使用机构拟分配数量：本次采购由广西区分行个人金融部统一组织实施，各使用机构按实际投放需求在总预算内调剂使用，具体分配以实际执行订单为准。</w:t>
      </w:r>
    </w:p>
    <w:p>
      <w:pPr>
        <w:keepNext w:val="0"/>
        <w:keepLines w:val="0"/>
        <w:pageBreakBefore w:val="0"/>
        <w:kinsoku/>
        <w:wordWrap/>
        <w:overflowPunct/>
        <w:topLinePunct w:val="0"/>
        <w:autoSpaceDE/>
        <w:autoSpaceDN/>
        <w:bidi w:val="0"/>
        <w:spacing w:line="580" w:lineRule="exact"/>
        <w:ind w:firstLine="642" w:firstLineChars="200"/>
        <w:jc w:val="left"/>
        <w:textAlignment w:val="auto"/>
        <w:rPr>
          <w:rFonts w:hint="default" w:ascii="彩虹粗仿宋" w:eastAsia="彩虹粗仿宋"/>
          <w:b/>
          <w:bCs/>
          <w:sz w:val="32"/>
          <w:szCs w:val="32"/>
          <w:highlight w:val="none"/>
          <w:lang w:val="en-US" w:eastAsia="zh-CN"/>
        </w:rPr>
      </w:pPr>
      <w:r>
        <w:rPr>
          <w:rFonts w:hint="default" w:ascii="彩虹粗仿宋" w:eastAsia="彩虹粗仿宋"/>
          <w:b/>
          <w:bCs/>
          <w:sz w:val="32"/>
          <w:szCs w:val="32"/>
          <w:highlight w:val="none"/>
          <w:lang w:val="en-US" w:eastAsia="zh-CN"/>
        </w:rPr>
        <w:t>五、服务供应安排</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default" w:ascii="彩虹粗仿宋" w:eastAsia="彩虹粗仿宋"/>
          <w:sz w:val="32"/>
          <w:szCs w:val="32"/>
          <w:highlight w:val="none"/>
          <w:lang w:val="en-US" w:eastAsia="zh-CN"/>
        </w:rPr>
      </w:pPr>
      <w:r>
        <w:rPr>
          <w:rFonts w:hint="default" w:ascii="彩虹粗仿宋" w:eastAsia="彩虹粗仿宋"/>
          <w:sz w:val="32"/>
          <w:szCs w:val="32"/>
          <w:highlight w:val="none"/>
          <w:lang w:val="en-US" w:eastAsia="zh-CN"/>
        </w:rPr>
        <w:t>1.时间要求：严格按照我行确认的投放时间段执行广告发布安排，具体投放起止时间以合同及经双方确认的投放单为准；如遇版面排期调整，按双方书面确认后的时间执行。</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default" w:ascii="彩虹粗仿宋" w:eastAsia="彩虹粗仿宋"/>
          <w:sz w:val="32"/>
          <w:szCs w:val="32"/>
          <w:highlight w:val="none"/>
          <w:lang w:val="en-US" w:eastAsia="zh-CN"/>
        </w:rPr>
      </w:pPr>
      <w:r>
        <w:rPr>
          <w:rFonts w:hint="default" w:ascii="彩虹粗仿宋" w:eastAsia="彩虹粗仿宋"/>
          <w:sz w:val="32"/>
          <w:szCs w:val="32"/>
          <w:highlight w:val="none"/>
          <w:lang w:val="en-US" w:eastAsia="zh-CN"/>
        </w:rPr>
        <w:t>2.地点要求：广告投放点位以采购需求明确的华润万象城、南宁市内停车道闸为准，供应商须按各版位约定完成广告画面的设置与发布，未经我行同意不得变更投放点位。</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default" w:ascii="彩虹粗仿宋" w:eastAsia="彩虹粗仿宋"/>
          <w:sz w:val="32"/>
          <w:szCs w:val="32"/>
          <w:highlight w:val="none"/>
          <w:lang w:val="en-US" w:eastAsia="zh-CN"/>
        </w:rPr>
      </w:pPr>
      <w:r>
        <w:rPr>
          <w:rFonts w:hint="default" w:ascii="彩虹粗仿宋" w:eastAsia="彩虹粗仿宋"/>
          <w:sz w:val="32"/>
          <w:szCs w:val="32"/>
          <w:highlight w:val="none"/>
          <w:lang w:val="en-US" w:eastAsia="zh-CN"/>
        </w:rPr>
        <w:t>3.服务过程中产生的费用及处理意见：服务过程中涉及的广告画面制作费、上画安装费、增容审批费等相关费用，均由供应商承担，已包含在报价总额中。</w:t>
      </w:r>
    </w:p>
    <w:p>
      <w:pPr>
        <w:keepNext w:val="0"/>
        <w:keepLines w:val="0"/>
        <w:pageBreakBefore w:val="0"/>
        <w:kinsoku/>
        <w:wordWrap/>
        <w:overflowPunct/>
        <w:topLinePunct w:val="0"/>
        <w:autoSpaceDE/>
        <w:autoSpaceDN/>
        <w:bidi w:val="0"/>
        <w:spacing w:line="580" w:lineRule="exact"/>
        <w:ind w:firstLine="642" w:firstLineChars="200"/>
        <w:jc w:val="left"/>
        <w:textAlignment w:val="auto"/>
        <w:rPr>
          <w:rFonts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lang w:eastAsia="zh-CN"/>
        </w:rPr>
        <w:t>六</w:t>
      </w:r>
      <w:r>
        <w:rPr>
          <w:rFonts w:hint="eastAsia" w:ascii="彩虹粗仿宋" w:hAnsi="宋体" w:eastAsia="彩虹粗仿宋" w:cs="Times New Roman"/>
          <w:b/>
          <w:snapToGrid w:val="0"/>
          <w:kern w:val="0"/>
          <w:sz w:val="32"/>
          <w:szCs w:val="32"/>
        </w:rPr>
        <w:t>、款项支付要求</w:t>
      </w: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left"/>
        <w:textAlignment w:val="auto"/>
        <w:rPr>
          <w:rFonts w:hint="eastAsia" w:ascii="彩虹粗仿宋" w:hAnsi="宋体" w:eastAsia="彩虹粗仿宋" w:cs="Times New Roman"/>
          <w:bCs/>
          <w:snapToGrid w:val="0"/>
          <w:kern w:val="0"/>
          <w:sz w:val="32"/>
          <w:szCs w:val="32"/>
        </w:rPr>
      </w:pPr>
      <w:r>
        <w:rPr>
          <w:rFonts w:hint="eastAsia" w:ascii="彩虹粗仿宋" w:hAnsi="宋体" w:eastAsia="彩虹粗仿宋" w:cs="Times New Roman"/>
          <w:bCs/>
          <w:snapToGrid w:val="0"/>
          <w:kern w:val="0"/>
          <w:sz w:val="32"/>
          <w:szCs w:val="32"/>
        </w:rPr>
        <w:t>在供应商无任何违约行为的前提下，我行商品验收</w:t>
      </w:r>
      <w:r>
        <w:rPr>
          <w:rFonts w:hint="eastAsia" w:ascii="彩虹粗仿宋" w:hAnsi="宋体" w:eastAsia="彩虹粗仿宋" w:cs="Times New Roman"/>
          <w:bCs/>
          <w:snapToGrid w:val="0"/>
          <w:kern w:val="0"/>
          <w:sz w:val="32"/>
          <w:szCs w:val="32"/>
          <w:highlight w:val="none"/>
        </w:rPr>
        <w:t>合格后</w:t>
      </w:r>
      <w:r>
        <w:rPr>
          <w:rFonts w:hint="eastAsia" w:ascii="彩虹粗仿宋" w:hAnsi="宋体" w:eastAsia="彩虹粗仿宋" w:cs="Times New Roman"/>
          <w:bCs/>
          <w:snapToGrid w:val="0"/>
          <w:kern w:val="0"/>
          <w:sz w:val="32"/>
          <w:szCs w:val="32"/>
          <w:highlight w:val="none"/>
          <w:lang w:eastAsia="zh-CN"/>
        </w:rPr>
        <w:t>按季度</w:t>
      </w:r>
      <w:r>
        <w:rPr>
          <w:rFonts w:hint="eastAsia" w:ascii="彩虹粗仿宋" w:hAnsi="宋体" w:eastAsia="彩虹粗仿宋" w:cs="Times New Roman"/>
          <w:bCs/>
          <w:snapToGrid w:val="0"/>
          <w:kern w:val="0"/>
          <w:sz w:val="32"/>
          <w:szCs w:val="32"/>
          <w:highlight w:val="none"/>
        </w:rPr>
        <w:t>付款</w:t>
      </w:r>
      <w:r>
        <w:rPr>
          <w:rFonts w:hint="eastAsia" w:ascii="彩虹粗仿宋" w:hAnsi="宋体" w:eastAsia="彩虹粗仿宋" w:cs="Times New Roman"/>
          <w:bCs/>
          <w:snapToGrid w:val="0"/>
          <w:kern w:val="0"/>
          <w:sz w:val="32"/>
          <w:szCs w:val="32"/>
          <w:highlight w:val="none"/>
          <w:lang w:val="en-US" w:eastAsia="zh-CN"/>
        </w:rPr>
        <w:t>，每季度支付一次</w:t>
      </w:r>
      <w:r>
        <w:rPr>
          <w:rFonts w:hint="eastAsia" w:ascii="彩虹粗仿宋" w:hAnsi="宋体" w:eastAsia="彩虹粗仿宋" w:cs="Times New Roman"/>
          <w:bCs/>
          <w:snapToGrid w:val="0"/>
          <w:kern w:val="0"/>
          <w:sz w:val="32"/>
          <w:szCs w:val="32"/>
          <w:highlight w:val="none"/>
        </w:rPr>
        <w:t>。付款条件为</w:t>
      </w:r>
      <w:r>
        <w:rPr>
          <w:rFonts w:hint="eastAsia" w:ascii="彩虹粗仿宋" w:hAnsi="宋体" w:eastAsia="彩虹粗仿宋" w:cs="Times New Roman"/>
          <w:bCs/>
          <w:snapToGrid w:val="0"/>
          <w:kern w:val="0"/>
          <w:sz w:val="32"/>
          <w:szCs w:val="32"/>
          <w:highlight w:val="none"/>
          <w:lang w:eastAsia="zh-CN"/>
        </w:rPr>
        <w:t>期间相应广告版位</w:t>
      </w:r>
      <w:r>
        <w:rPr>
          <w:rFonts w:hint="eastAsia" w:ascii="彩虹粗仿宋" w:hAnsi="宋体" w:eastAsia="彩虹粗仿宋" w:cs="Times New Roman"/>
          <w:bCs/>
          <w:snapToGrid w:val="0"/>
          <w:kern w:val="0"/>
          <w:sz w:val="32"/>
          <w:szCs w:val="32"/>
          <w:highlight w:val="none"/>
        </w:rPr>
        <w:t>上画并经我行验收通过后，收到供应商出具符合规定要求的增值税</w:t>
      </w:r>
      <w:r>
        <w:rPr>
          <w:rFonts w:hint="eastAsia" w:ascii="彩虹粗仿宋" w:hAnsi="宋体" w:eastAsia="彩虹粗仿宋" w:cs="Times New Roman"/>
          <w:bCs/>
          <w:snapToGrid w:val="0"/>
          <w:kern w:val="0"/>
          <w:sz w:val="32"/>
          <w:szCs w:val="32"/>
        </w:rPr>
        <w:t>专用发票后</w:t>
      </w:r>
      <w:r>
        <w:rPr>
          <w:rFonts w:hint="eastAsia" w:ascii="彩虹粗仿宋" w:hAnsi="宋体" w:eastAsia="彩虹粗仿宋" w:cs="Times New Roman"/>
          <w:bCs/>
          <w:snapToGrid w:val="0"/>
          <w:kern w:val="0"/>
          <w:sz w:val="32"/>
          <w:szCs w:val="32"/>
          <w:lang w:val="en-US" w:eastAsia="zh-CN"/>
        </w:rPr>
        <w:t>30</w:t>
      </w:r>
      <w:r>
        <w:rPr>
          <w:rFonts w:hint="eastAsia" w:ascii="彩虹粗仿宋" w:hAnsi="宋体" w:eastAsia="彩虹粗仿宋" w:cs="Times New Roman"/>
          <w:bCs/>
          <w:snapToGrid w:val="0"/>
          <w:kern w:val="0"/>
          <w:sz w:val="32"/>
          <w:szCs w:val="32"/>
        </w:rPr>
        <w:t>个工作日内支付对应款项金额的95%</w:t>
      </w:r>
      <w:r>
        <w:rPr>
          <w:rFonts w:hint="eastAsia" w:ascii="彩虹粗仿宋" w:hAnsi="宋体" w:eastAsia="彩虹粗仿宋" w:cs="Times New Roman"/>
          <w:bCs/>
          <w:snapToGrid w:val="0"/>
          <w:kern w:val="0"/>
          <w:sz w:val="32"/>
          <w:szCs w:val="32"/>
          <w:highlight w:val="none"/>
        </w:rPr>
        <w:t>；</w:t>
      </w:r>
      <w:r>
        <w:rPr>
          <w:rFonts w:hint="eastAsia" w:ascii="彩虹粗仿宋" w:hAnsi="宋体" w:eastAsia="彩虹粗仿宋" w:cs="Times New Roman"/>
          <w:bCs/>
          <w:snapToGrid w:val="0"/>
          <w:kern w:val="0"/>
          <w:sz w:val="32"/>
          <w:szCs w:val="32"/>
        </w:rPr>
        <w:t>在乙方完成所有广告投放工作后的次月，甲方有权根据乙方在售后方面的履约情况，将剩余5%作为质保金尾款支付给乙方。</w:t>
      </w: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left"/>
        <w:textAlignment w:val="auto"/>
        <w:rPr>
          <w:rFonts w:hint="eastAsia" w:ascii="彩虹粗仿宋" w:hAnsi="宋体" w:eastAsia="彩虹粗仿宋" w:cs="Times New Roman"/>
          <w:bCs/>
          <w:snapToGrid w:val="0"/>
          <w:kern w:val="0"/>
          <w:sz w:val="32"/>
          <w:szCs w:val="32"/>
        </w:rPr>
      </w:pPr>
      <w:r>
        <w:rPr>
          <w:rFonts w:hint="eastAsia" w:ascii="彩虹粗仿宋" w:hAnsi="宋体" w:eastAsia="彩虹粗仿宋" w:cs="Times New Roman"/>
          <w:bCs/>
          <w:snapToGrid w:val="0"/>
          <w:kern w:val="0"/>
          <w:sz w:val="32"/>
          <w:szCs w:val="32"/>
        </w:rPr>
        <w:t>本合同项下的一切价款、费用、金额均以人民币结算及支付，供应商应开具正规的增值税专用发票。</w:t>
      </w:r>
    </w:p>
    <w:p>
      <w:pPr>
        <w:keepNext w:val="0"/>
        <w:keepLines w:val="0"/>
        <w:pageBreakBefore w:val="0"/>
        <w:numPr>
          <w:ilvl w:val="0"/>
          <w:numId w:val="0"/>
        </w:numPr>
        <w:kinsoku/>
        <w:wordWrap/>
        <w:overflowPunct/>
        <w:topLinePunct w:val="0"/>
        <w:autoSpaceDE/>
        <w:autoSpaceDN/>
        <w:bidi w:val="0"/>
        <w:spacing w:line="580" w:lineRule="exact"/>
        <w:ind w:firstLine="642" w:firstLineChars="200"/>
        <w:jc w:val="left"/>
        <w:textAlignment w:val="auto"/>
        <w:rPr>
          <w:rFonts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lang w:eastAsia="zh-CN"/>
        </w:rPr>
        <w:t>七、</w:t>
      </w:r>
      <w:r>
        <w:rPr>
          <w:rFonts w:hint="eastAsia" w:ascii="彩虹粗仿宋" w:hAnsi="宋体" w:eastAsia="彩虹粗仿宋" w:cs="Times New Roman"/>
          <w:b/>
          <w:snapToGrid w:val="0"/>
          <w:kern w:val="0"/>
          <w:sz w:val="32"/>
          <w:szCs w:val="32"/>
        </w:rPr>
        <w:t>售后服务要求</w:t>
      </w: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left"/>
        <w:textAlignment w:val="auto"/>
        <w:rPr>
          <w:rFonts w:ascii="彩虹粗仿宋" w:eastAsia="彩虹粗仿宋"/>
          <w:sz w:val="32"/>
          <w:szCs w:val="32"/>
        </w:rPr>
      </w:pPr>
      <w:r>
        <w:rPr>
          <w:rFonts w:hint="eastAsia" w:ascii="彩虹粗仿宋" w:eastAsia="彩虹粗仿宋"/>
          <w:sz w:val="32"/>
          <w:szCs w:val="32"/>
        </w:rPr>
        <w:t>发布后的广告信息内容应提供我行备查留存；供应商定期巡查我行广告画面时发现出现明显褪色、污秽、损坏等影响我行形象的情况，必须在24小时内予以清除，三日内完成画面更换，同时</w:t>
      </w:r>
      <w:r>
        <w:rPr>
          <w:rFonts w:hint="eastAsia" w:ascii="彩虹粗仿宋" w:eastAsia="彩虹粗仿宋"/>
          <w:sz w:val="32"/>
          <w:szCs w:val="32"/>
          <w:lang w:eastAsia="zh-CN"/>
        </w:rPr>
        <w:t>，</w:t>
      </w:r>
      <w:r>
        <w:rPr>
          <w:rFonts w:hint="eastAsia" w:ascii="彩虹粗仿宋" w:eastAsia="彩虹粗仿宋"/>
          <w:sz w:val="32"/>
          <w:szCs w:val="32"/>
        </w:rPr>
        <w:t>广告发布期按清除旧画面到新画面完成更换的实际天数予以顺延。上述清除与更换服务供应商免费提供。</w:t>
      </w:r>
    </w:p>
    <w:p>
      <w:pPr>
        <w:keepNext w:val="0"/>
        <w:keepLines w:val="0"/>
        <w:pageBreakBefore w:val="0"/>
        <w:numPr>
          <w:ilvl w:val="0"/>
          <w:numId w:val="0"/>
        </w:numPr>
        <w:kinsoku/>
        <w:wordWrap/>
        <w:overflowPunct/>
        <w:topLinePunct w:val="0"/>
        <w:autoSpaceDE/>
        <w:autoSpaceDN/>
        <w:bidi w:val="0"/>
        <w:spacing w:line="580" w:lineRule="exact"/>
        <w:ind w:firstLine="642" w:firstLineChars="200"/>
        <w:jc w:val="left"/>
        <w:textAlignment w:val="auto"/>
        <w:rPr>
          <w:rFonts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lang w:eastAsia="zh-CN"/>
        </w:rPr>
        <w:t>八、</w:t>
      </w:r>
      <w:r>
        <w:rPr>
          <w:rFonts w:hint="eastAsia" w:ascii="彩虹粗仿宋" w:hAnsi="宋体" w:eastAsia="彩虹粗仿宋" w:cs="Times New Roman"/>
          <w:b/>
          <w:snapToGrid w:val="0"/>
          <w:kern w:val="0"/>
          <w:sz w:val="32"/>
          <w:szCs w:val="32"/>
        </w:rPr>
        <w:t>报价要求</w:t>
      </w:r>
    </w:p>
    <w:p>
      <w:pPr>
        <w:keepNext w:val="0"/>
        <w:keepLines w:val="0"/>
        <w:pageBreakBefore w:val="0"/>
        <w:kinsoku/>
        <w:wordWrap/>
        <w:overflowPunct/>
        <w:topLinePunct w:val="0"/>
        <w:autoSpaceDE/>
        <w:autoSpaceDN/>
        <w:bidi w:val="0"/>
        <w:spacing w:line="580" w:lineRule="exact"/>
        <w:ind w:firstLine="640" w:firstLineChars="200"/>
        <w:jc w:val="left"/>
        <w:textAlignment w:val="auto"/>
        <w:rPr>
          <w:rFonts w:hint="eastAsia" w:ascii="彩虹粗仿宋" w:hAnsi="彩虹粗仿宋" w:eastAsia="彩虹粗仿宋"/>
          <w:snapToGrid w:val="0"/>
          <w:sz w:val="32"/>
          <w:szCs w:val="32"/>
        </w:rPr>
      </w:pPr>
      <w:r>
        <w:rPr>
          <w:rFonts w:hint="eastAsia" w:ascii="彩虹粗仿宋" w:hAnsi="彩虹粗仿宋" w:eastAsia="彩虹粗仿宋"/>
          <w:snapToGrid w:val="0"/>
          <w:sz w:val="32"/>
          <w:szCs w:val="32"/>
        </w:rPr>
        <w:t>供应商根据我行采购需求提供报价，如有附加广告资源也请一并提供。</w:t>
      </w:r>
    </w:p>
    <w:tbl>
      <w:tblPr>
        <w:tblStyle w:val="2"/>
        <w:tblW w:w="99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77"/>
        <w:gridCol w:w="1467"/>
        <w:gridCol w:w="2523"/>
        <w:gridCol w:w="1263"/>
        <w:gridCol w:w="1198"/>
        <w:gridCol w:w="1144"/>
        <w:gridCol w:w="11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jc w:val="center"/>
        </w:trPr>
        <w:tc>
          <w:tcPr>
            <w:tcW w:w="11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采购项目</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具体区域</w:t>
            </w:r>
          </w:p>
        </w:tc>
        <w:tc>
          <w:tcPr>
            <w:tcW w:w="25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产品版位</w:t>
            </w:r>
          </w:p>
        </w:tc>
        <w:tc>
          <w:tcPr>
            <w:tcW w:w="12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1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需求数量</w:t>
            </w:r>
          </w:p>
        </w:tc>
        <w:tc>
          <w:tcPr>
            <w:tcW w:w="1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总价</w:t>
            </w:r>
            <w:r>
              <w:rPr>
                <w:rFonts w:hint="eastAsia" w:ascii="宋体" w:hAnsi="宋体" w:eastAsia="宋体" w:cs="宋体"/>
                <w:b w:val="0"/>
                <w:bCs w:val="0"/>
                <w:i w:val="0"/>
                <w:iCs w:val="0"/>
                <w:color w:val="000000"/>
                <w:kern w:val="0"/>
                <w:sz w:val="24"/>
                <w:szCs w:val="24"/>
                <w:u w:val="none"/>
                <w:lang w:val="en-US" w:eastAsia="zh-CN" w:bidi="ar"/>
              </w:rPr>
              <w:t>（元，含税）</w:t>
            </w:r>
          </w:p>
        </w:tc>
        <w:tc>
          <w:tcPr>
            <w:tcW w:w="1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税率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17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热门商圈广告投放</w:t>
            </w:r>
          </w:p>
        </w:tc>
        <w:tc>
          <w:tcPr>
            <w:tcW w:w="146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华润万象城</w:t>
            </w:r>
          </w:p>
        </w:tc>
        <w:tc>
          <w:tcPr>
            <w:tcW w:w="252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bidi="ar"/>
              </w:rPr>
              <w:t>华润万象城-冰场吊旗</w:t>
            </w:r>
          </w:p>
        </w:tc>
        <w:tc>
          <w:tcPr>
            <w:tcW w:w="126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bidi="ar"/>
              </w:rPr>
              <w:t>幅/</w:t>
            </w:r>
            <w:r>
              <w:rPr>
                <w:rFonts w:hint="eastAsia" w:ascii="宋体" w:hAnsi="宋体" w:eastAsia="宋体" w:cs="宋体"/>
                <w:color w:val="000000"/>
                <w:kern w:val="0"/>
                <w:sz w:val="24"/>
                <w:szCs w:val="24"/>
                <w:lang w:val="en-US" w:eastAsia="zh-CN" w:bidi="ar"/>
              </w:rPr>
              <w:t>30</w:t>
            </w:r>
            <w:r>
              <w:rPr>
                <w:rFonts w:hint="eastAsia" w:ascii="宋体" w:hAnsi="宋体" w:eastAsia="宋体" w:cs="宋体"/>
                <w:color w:val="000000"/>
                <w:kern w:val="0"/>
                <w:sz w:val="24"/>
                <w:szCs w:val="24"/>
                <w:lang w:bidi="ar"/>
              </w:rPr>
              <w:t>天</w:t>
            </w:r>
          </w:p>
        </w:tc>
        <w:tc>
          <w:tcPr>
            <w:tcW w:w="119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color w:val="000000"/>
                <w:kern w:val="0"/>
                <w:sz w:val="24"/>
                <w:szCs w:val="24"/>
                <w:lang w:val="en-US" w:eastAsia="zh-CN" w:bidi="ar"/>
              </w:rPr>
              <w:t>16</w:t>
            </w:r>
          </w:p>
        </w:tc>
        <w:tc>
          <w:tcPr>
            <w:tcW w:w="11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2"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u w:val="none"/>
              </w:rPr>
            </w:pPr>
          </w:p>
        </w:tc>
        <w:tc>
          <w:tcPr>
            <w:tcW w:w="146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u w:val="none"/>
              </w:rPr>
            </w:pPr>
          </w:p>
        </w:tc>
        <w:tc>
          <w:tcPr>
            <w:tcW w:w="252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bidi="ar"/>
              </w:rPr>
              <w:t>华润万象城-场内吊旗</w:t>
            </w:r>
          </w:p>
        </w:tc>
        <w:tc>
          <w:tcPr>
            <w:tcW w:w="126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bidi="ar"/>
              </w:rPr>
              <w:t>幅/</w:t>
            </w:r>
            <w:r>
              <w:rPr>
                <w:rFonts w:hint="eastAsia" w:ascii="宋体" w:hAnsi="宋体" w:eastAsia="宋体" w:cs="宋体"/>
                <w:color w:val="000000"/>
                <w:kern w:val="0"/>
                <w:sz w:val="24"/>
                <w:szCs w:val="24"/>
                <w:lang w:val="en-US" w:eastAsia="zh-CN" w:bidi="ar"/>
              </w:rPr>
              <w:t>30</w:t>
            </w:r>
            <w:r>
              <w:rPr>
                <w:rFonts w:hint="eastAsia" w:ascii="宋体" w:hAnsi="宋体" w:eastAsia="宋体" w:cs="宋体"/>
                <w:color w:val="000000"/>
                <w:kern w:val="0"/>
                <w:sz w:val="24"/>
                <w:szCs w:val="24"/>
                <w:lang w:bidi="ar"/>
              </w:rPr>
              <w:t>天</w:t>
            </w:r>
          </w:p>
        </w:tc>
        <w:tc>
          <w:tcPr>
            <w:tcW w:w="119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color w:val="000000"/>
                <w:kern w:val="0"/>
                <w:sz w:val="24"/>
                <w:szCs w:val="24"/>
                <w:lang w:val="en-US" w:eastAsia="zh-CN" w:bidi="ar"/>
              </w:rPr>
              <w:t>1</w:t>
            </w:r>
          </w:p>
        </w:tc>
        <w:tc>
          <w:tcPr>
            <w:tcW w:w="11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2"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u w:val="none"/>
              </w:rPr>
            </w:pPr>
          </w:p>
        </w:tc>
        <w:tc>
          <w:tcPr>
            <w:tcW w:w="1467"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u w:val="none"/>
              </w:rPr>
            </w:pPr>
          </w:p>
        </w:tc>
        <w:tc>
          <w:tcPr>
            <w:tcW w:w="252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bidi="ar"/>
              </w:rPr>
              <w:t>华润万象城-西北门（民族大道）电子屏</w:t>
            </w:r>
          </w:p>
        </w:tc>
        <w:tc>
          <w:tcPr>
            <w:tcW w:w="126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eastAsia="zh-CN" w:bidi="ar"/>
              </w:rPr>
              <w:t>周</w:t>
            </w:r>
          </w:p>
        </w:tc>
        <w:tc>
          <w:tcPr>
            <w:tcW w:w="119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color w:val="000000"/>
                <w:kern w:val="0"/>
                <w:sz w:val="24"/>
                <w:szCs w:val="24"/>
                <w:lang w:val="en-US" w:eastAsia="zh-CN" w:bidi="ar"/>
              </w:rPr>
              <w:t>2</w:t>
            </w:r>
          </w:p>
        </w:tc>
        <w:tc>
          <w:tcPr>
            <w:tcW w:w="11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17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u w:val="none"/>
              </w:rPr>
            </w:pPr>
          </w:p>
        </w:tc>
        <w:tc>
          <w:tcPr>
            <w:tcW w:w="1467"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南宁市内</w:t>
            </w:r>
          </w:p>
        </w:tc>
        <w:tc>
          <w:tcPr>
            <w:tcW w:w="252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bidi="ar"/>
              </w:rPr>
              <w:t>南宁市内-停车道闸</w:t>
            </w:r>
          </w:p>
        </w:tc>
        <w:tc>
          <w:tcPr>
            <w:tcW w:w="126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lang w:eastAsia="zh-CN" w:bidi="ar"/>
              </w:rPr>
              <w:t>杆</w:t>
            </w:r>
            <w:r>
              <w:rPr>
                <w:rFonts w:hint="eastAsia" w:ascii="宋体" w:hAnsi="宋体" w:eastAsia="宋体" w:cs="宋体"/>
                <w:color w:val="000000"/>
                <w:kern w:val="0"/>
                <w:sz w:val="24"/>
                <w:szCs w:val="24"/>
                <w:lang w:bidi="ar"/>
              </w:rPr>
              <w:t>/</w:t>
            </w:r>
            <w:r>
              <w:rPr>
                <w:rFonts w:hint="eastAsia" w:ascii="宋体" w:hAnsi="宋体" w:eastAsia="宋体" w:cs="宋体"/>
                <w:color w:val="000000"/>
                <w:kern w:val="0"/>
                <w:sz w:val="24"/>
                <w:szCs w:val="24"/>
                <w:lang w:val="en-US" w:eastAsia="zh-CN" w:bidi="ar"/>
              </w:rPr>
              <w:t>30</w:t>
            </w:r>
            <w:r>
              <w:rPr>
                <w:rFonts w:hint="eastAsia" w:ascii="宋体" w:hAnsi="宋体" w:eastAsia="宋体" w:cs="宋体"/>
                <w:color w:val="000000"/>
                <w:kern w:val="0"/>
                <w:sz w:val="24"/>
                <w:szCs w:val="24"/>
                <w:lang w:bidi="ar"/>
              </w:rPr>
              <w:t>天</w:t>
            </w:r>
          </w:p>
        </w:tc>
        <w:tc>
          <w:tcPr>
            <w:tcW w:w="119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color w:val="000000"/>
                <w:kern w:val="0"/>
                <w:sz w:val="24"/>
                <w:szCs w:val="24"/>
                <w:lang w:val="en-US" w:eastAsia="zh-CN" w:bidi="ar"/>
              </w:rPr>
              <w:t>26</w:t>
            </w:r>
          </w:p>
        </w:tc>
        <w:tc>
          <w:tcPr>
            <w:tcW w:w="11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彩虹粗仿宋" w:hAnsi="彩虹粗仿宋" w:eastAsia="彩虹粗仿宋"/>
          <w:snapToGrid w:val="0"/>
          <w:sz w:val="32"/>
          <w:szCs w:val="32"/>
        </w:rPr>
      </w:pP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彩虹粗仿宋" w:hAnsi="彩虹粗仿宋" w:eastAsia="彩虹粗仿宋"/>
          <w:snapToGrid w:val="0"/>
          <w:sz w:val="32"/>
          <w:szCs w:val="32"/>
        </w:rPr>
      </w:pPr>
    </w:p>
    <w:p>
      <w:pPr>
        <w:keepNext w:val="0"/>
        <w:keepLines w:val="0"/>
        <w:pageBreakBefore w:val="0"/>
        <w:widowControl w:val="0"/>
        <w:kinsoku/>
        <w:wordWrap/>
        <w:overflowPunct/>
        <w:topLinePunct w:val="0"/>
        <w:autoSpaceDE/>
        <w:autoSpaceDN/>
        <w:bidi w:val="0"/>
        <w:adjustRightInd/>
        <w:snapToGrid/>
        <w:spacing w:line="587" w:lineRule="exact"/>
        <w:ind w:firstLine="600" w:firstLineChars="200"/>
        <w:jc w:val="right"/>
        <w:textAlignment w:val="auto"/>
        <w:rPr>
          <w:rFonts w:hint="eastAsia" w:ascii="彩虹粗仿宋" w:eastAsia="彩虹粗仿宋"/>
          <w:sz w:val="30"/>
          <w:szCs w:val="30"/>
          <w:lang w:eastAsia="zh-CN"/>
        </w:rPr>
      </w:pPr>
      <w:r>
        <w:rPr>
          <w:rFonts w:hint="eastAsia" w:ascii="彩虹粗仿宋" w:eastAsia="彩虹粗仿宋"/>
          <w:sz w:val="30"/>
          <w:szCs w:val="30"/>
          <w:lang w:eastAsia="zh-CN"/>
        </w:rPr>
        <w:t>广西区分行个人金融部</w:t>
      </w:r>
    </w:p>
    <w:p>
      <w:pPr>
        <w:wordWrap w:val="0"/>
        <w:jc w:val="right"/>
        <w:rPr>
          <w:rFonts w:hint="default"/>
          <w:lang w:val="en-US"/>
        </w:rPr>
      </w:pPr>
      <w:r>
        <w:rPr>
          <w:rFonts w:hint="eastAsia" w:ascii="彩虹粗仿宋" w:eastAsia="彩虹粗仿宋"/>
          <w:sz w:val="30"/>
          <w:szCs w:val="30"/>
          <w:lang w:val="en-US" w:eastAsia="zh-CN"/>
        </w:rPr>
        <w:t xml:space="preserve">2026年10月26日  </w:t>
      </w:r>
    </w:p>
    <w:p/>
    <w:sectPr>
      <w:pgSz w:w="11906" w:h="16838"/>
      <w:pgMar w:top="1871" w:right="1531" w:bottom="187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方正宋体-人口信息-P2">
    <w:panose1 w:val="03000509000000000000"/>
    <w:charset w:val="86"/>
    <w:family w:val="auto"/>
    <w:pitch w:val="default"/>
    <w:sig w:usb0="10002003" w:usb1="BB1E0800" w:usb2="000A004E" w:usb3="00000000" w:csb0="003C0041" w:csb1="A00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5ODA5NTU4OGE1NGM4MTAxZTMyYjhlZGJhYmNlNDcifQ=="/>
  </w:docVars>
  <w:rsids>
    <w:rsidRoot w:val="EDBE5CDE"/>
    <w:rsid w:val="7797231E"/>
    <w:rsid w:val="BFFF4E41"/>
    <w:rsid w:val="EDBE5CDE"/>
    <w:rsid w:val="FFFA63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6</TotalTime>
  <ScaleCrop>false</ScaleCrop>
  <LinksUpToDate>false</LinksUpToDate>
  <CharactersWithSpaces>0</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2026-10-27T10:01:00Z</dcterms:created>
  <dc:creator>ccb</dc:creator>
  <cp:lastModifiedBy>ccb</cp:lastModifiedBy>
  <dcterms:modified xsi:type="dcterms:W3CDTF">2026-10-28T16:16:56Z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FE3747CE4B65132278AFE16A79E9767E_43</vt:lpwstr>
  </property>
</Properties>
</file>