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1440" w:firstLineChars="400"/>
        <w:rPr>
          <w:rFonts w:hint="eastAsia" w:ascii="彩虹小标宋" w:hAnsi="宋体" w:eastAsia="彩虹小标宋"/>
          <w:snapToGrid w:val="0"/>
          <w:kern w:val="0"/>
          <w:sz w:val="36"/>
          <w:szCs w:val="36"/>
        </w:rPr>
      </w:pPr>
      <w:r>
        <w:rPr>
          <w:rFonts w:hint="eastAsia" w:ascii="彩虹小标宋" w:hAnsi="宋体" w:eastAsia="彩虹小标宋"/>
          <w:snapToGrid w:val="0"/>
          <w:kern w:val="0"/>
          <w:sz w:val="36"/>
          <w:szCs w:val="36"/>
        </w:rPr>
        <w:t>梧州市住房保障和房产管理中心</w:t>
      </w:r>
    </w:p>
    <w:p>
      <w:pPr>
        <w:adjustRightInd w:val="0"/>
        <w:snapToGrid w:val="0"/>
        <w:spacing w:line="360" w:lineRule="auto"/>
        <w:ind w:firstLine="2160" w:firstLineChars="600"/>
        <w:rPr>
          <w:rFonts w:ascii="彩虹粗仿宋" w:hAnsi="宋体" w:eastAsia="彩虹粗仿宋" w:cs="Times New Roman"/>
          <w:snapToGrid w:val="0"/>
          <w:color w:val="FF0000"/>
          <w:kern w:val="0"/>
          <w:sz w:val="32"/>
          <w:szCs w:val="32"/>
        </w:rPr>
      </w:pPr>
      <w:r>
        <w:rPr>
          <w:rFonts w:hint="eastAsia" w:ascii="彩虹小标宋" w:hAnsi="宋体" w:eastAsia="彩虹小标宋"/>
          <w:snapToGrid w:val="0"/>
          <w:kern w:val="0"/>
          <w:sz w:val="36"/>
          <w:szCs w:val="36"/>
        </w:rPr>
        <w:t>信息化合作项目采购需求</w:t>
      </w:r>
    </w:p>
    <w:p>
      <w:pPr>
        <w:spacing w:line="360" w:lineRule="auto"/>
        <w:ind w:firstLine="642" w:firstLineChars="200"/>
        <w:rPr>
          <w:rFonts w:hint="eastAsia" w:ascii="彩虹粗仿宋" w:hAnsi="宋体" w:eastAsia="彩虹粗仿宋"/>
          <w:b/>
          <w:sz w:val="32"/>
          <w:szCs w:val="32"/>
        </w:rPr>
      </w:pPr>
    </w:p>
    <w:p>
      <w:pPr>
        <w:spacing w:line="360" w:lineRule="auto"/>
        <w:ind w:firstLine="642" w:firstLineChars="200"/>
        <w:rPr>
          <w:rFonts w:ascii="彩虹粗仿宋" w:hAnsi="宋体" w:eastAsia="彩虹粗仿宋"/>
          <w:color w:val="FF0000"/>
          <w:sz w:val="32"/>
          <w:szCs w:val="32"/>
        </w:rPr>
      </w:pPr>
      <w:r>
        <w:rPr>
          <w:rFonts w:hint="eastAsia" w:ascii="彩虹粗仿宋" w:hAnsi="宋体" w:eastAsia="彩虹粗仿宋"/>
          <w:b/>
          <w:sz w:val="32"/>
          <w:szCs w:val="32"/>
        </w:rPr>
        <w:t>一、采购内容及功能要求</w:t>
      </w:r>
    </w:p>
    <w:p>
      <w:pPr>
        <w:spacing w:line="360" w:lineRule="auto"/>
        <w:ind w:firstLine="640" w:firstLineChars="200"/>
        <w:rPr>
          <w:rFonts w:hint="eastAsia" w:ascii="彩虹粗仿宋" w:eastAsia="彩虹粗仿宋"/>
          <w:sz w:val="32"/>
          <w:szCs w:val="32"/>
          <w:lang w:val="en-US" w:eastAsia="zh-CN"/>
        </w:rPr>
      </w:pPr>
      <w:r>
        <w:rPr>
          <w:rFonts w:hint="eastAsia" w:ascii="彩虹粗仿宋" w:hAnsi="宋体" w:eastAsia="彩虹粗仿宋"/>
          <w:sz w:val="32"/>
          <w:szCs w:val="32"/>
        </w:rPr>
        <w:t>梧州市住房保障和房产管理中心信息化合作项目需采购</w:t>
      </w:r>
      <w:r>
        <w:rPr>
          <w:rFonts w:hint="eastAsia" w:ascii="彩虹粗仿宋" w:hAnsi="仿宋" w:eastAsia="彩虹粗仿宋"/>
          <w:sz w:val="32"/>
          <w:szCs w:val="32"/>
        </w:rPr>
        <w:t>住宅专项维修资金系统软件</w:t>
      </w:r>
      <w:r>
        <w:rPr>
          <w:rFonts w:hint="eastAsia" w:ascii="彩虹粗仿宋" w:eastAsia="彩虹粗仿宋"/>
          <w:sz w:val="32"/>
          <w:szCs w:val="32"/>
        </w:rPr>
        <w:t>一套</w:t>
      </w:r>
      <w:r>
        <w:rPr>
          <w:rFonts w:hint="eastAsia" w:ascii="彩虹粗仿宋" w:eastAsia="彩虹粗仿宋"/>
          <w:sz w:val="32"/>
          <w:szCs w:val="32"/>
          <w:lang w:val="en-US" w:eastAsia="zh-CN"/>
        </w:rPr>
        <w:t>及系统运营维护服务</w:t>
      </w:r>
      <w:r>
        <w:rPr>
          <w:rFonts w:hint="eastAsia" w:ascii="彩虹粗仿宋" w:eastAsia="彩虹粗仿宋"/>
          <w:sz w:val="32"/>
          <w:szCs w:val="32"/>
          <w:highlight w:val="none"/>
          <w:lang w:val="en-US" w:eastAsia="zh-CN"/>
        </w:rPr>
        <w:t>5年</w:t>
      </w:r>
      <w:r>
        <w:rPr>
          <w:rFonts w:hint="eastAsia" w:ascii="彩虹粗仿宋" w:eastAsia="彩虹粗仿宋"/>
          <w:sz w:val="32"/>
          <w:szCs w:val="32"/>
          <w:lang w:val="en-US" w:eastAsia="zh-CN"/>
        </w:rPr>
        <w:t>，合同期限5年，维护服务期5年，其中免费维护服务期1年，详细采购内容如下：</w:t>
      </w:r>
      <w:bookmarkStart w:id="0" w:name="_GoBack"/>
      <w:bookmarkEnd w:id="0"/>
    </w:p>
    <w:tbl>
      <w:tblPr>
        <w:tblStyle w:val="5"/>
        <w:tblW w:w="80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85"/>
        <w:gridCol w:w="1050"/>
        <w:gridCol w:w="4425"/>
        <w:gridCol w:w="975"/>
        <w:gridCol w:w="10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彩虹粗仿宋" w:hAnsi="彩虹粗仿宋" w:eastAsia="彩虹粗仿宋" w:cs="彩虹粗仿宋"/>
                <w:b/>
                <w:bCs/>
                <w:i w:val="0"/>
                <w:iCs w:val="0"/>
                <w:color w:val="000000"/>
                <w:sz w:val="24"/>
                <w:szCs w:val="24"/>
                <w:u w:val="none"/>
              </w:rPr>
            </w:pPr>
            <w:r>
              <w:rPr>
                <w:rFonts w:hint="eastAsia" w:ascii="彩虹粗仿宋" w:hAnsi="彩虹粗仿宋" w:eastAsia="彩虹粗仿宋" w:cs="彩虹粗仿宋"/>
                <w:b/>
                <w:bCs/>
                <w:i w:val="0"/>
                <w:iCs w:val="0"/>
                <w:color w:val="000000"/>
                <w:kern w:val="0"/>
                <w:sz w:val="24"/>
                <w:szCs w:val="24"/>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sz w:val="24"/>
                <w:szCs w:val="24"/>
                <w:u w:val="none"/>
              </w:rPr>
            </w:pPr>
            <w:r>
              <w:rPr>
                <w:rFonts w:hint="eastAsia" w:ascii="彩虹粗仿宋" w:hAnsi="彩虹粗仿宋" w:eastAsia="彩虹粗仿宋" w:cs="彩虹粗仿宋"/>
                <w:b/>
                <w:bCs/>
                <w:i w:val="0"/>
                <w:iCs w:val="0"/>
                <w:color w:val="000000"/>
                <w:kern w:val="0"/>
                <w:sz w:val="24"/>
                <w:szCs w:val="24"/>
                <w:u w:val="none"/>
                <w:lang w:val="en-US" w:eastAsia="zh-CN" w:bidi="ar"/>
              </w:rPr>
              <w:t>类型</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sz w:val="24"/>
                <w:szCs w:val="24"/>
                <w:u w:val="none"/>
              </w:rPr>
            </w:pPr>
            <w:r>
              <w:rPr>
                <w:rFonts w:hint="eastAsia" w:ascii="彩虹粗仿宋" w:hAnsi="彩虹粗仿宋" w:eastAsia="彩虹粗仿宋" w:cs="彩虹粗仿宋"/>
                <w:b/>
                <w:bCs/>
                <w:i w:val="0"/>
                <w:iCs w:val="0"/>
                <w:color w:val="000000"/>
                <w:kern w:val="0"/>
                <w:sz w:val="24"/>
                <w:szCs w:val="24"/>
                <w:u w:val="none"/>
                <w:lang w:val="en-US" w:eastAsia="zh-CN" w:bidi="ar"/>
              </w:rPr>
              <w:t>名称</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sz w:val="24"/>
                <w:szCs w:val="24"/>
                <w:u w:val="none"/>
              </w:rPr>
            </w:pPr>
            <w:r>
              <w:rPr>
                <w:rFonts w:hint="eastAsia" w:ascii="彩虹粗仿宋" w:hAnsi="彩虹粗仿宋" w:eastAsia="彩虹粗仿宋" w:cs="彩虹粗仿宋"/>
                <w:b/>
                <w:bCs/>
                <w:i w:val="0"/>
                <w:iCs w:val="0"/>
                <w:color w:val="000000"/>
                <w:kern w:val="0"/>
                <w:sz w:val="24"/>
                <w:szCs w:val="24"/>
                <w:u w:val="none"/>
                <w:lang w:val="en-US" w:eastAsia="zh-CN" w:bidi="ar"/>
              </w:rPr>
              <w:t>数量</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sz w:val="24"/>
                <w:szCs w:val="24"/>
                <w:u w:val="none"/>
              </w:rPr>
            </w:pPr>
            <w:r>
              <w:rPr>
                <w:rFonts w:hint="eastAsia" w:ascii="彩虹粗仿宋" w:hAnsi="彩虹粗仿宋" w:eastAsia="彩虹粗仿宋" w:cs="彩虹粗仿宋"/>
                <w:b/>
                <w:bCs/>
                <w:i w:val="0"/>
                <w:iCs w:val="0"/>
                <w:color w:val="000000"/>
                <w:kern w:val="0"/>
                <w:sz w:val="24"/>
                <w:szCs w:val="24"/>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软件</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住宅专项维修资金系统软件</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彩虹粗仿宋" w:hAnsi="彩虹粗仿宋" w:eastAsia="彩虹粗仿宋" w:cs="彩虹粗仿宋"/>
                <w:i w:val="0"/>
                <w:iCs w:val="0"/>
                <w:color w:val="000000"/>
                <w:sz w:val="24"/>
                <w:szCs w:val="24"/>
                <w:u w:val="none"/>
                <w:lang w:val="en-US"/>
              </w:rPr>
            </w:pPr>
            <w:r>
              <w:rPr>
                <w:rFonts w:hint="eastAsia" w:ascii="彩虹粗仿宋" w:hAnsi="彩虹粗仿宋" w:eastAsia="彩虹粗仿宋" w:cs="彩虹粗仿宋"/>
                <w:i w:val="0"/>
                <w:iCs w:val="0"/>
                <w:color w:val="000000"/>
                <w:kern w:val="0"/>
                <w:sz w:val="24"/>
                <w:szCs w:val="24"/>
                <w:u w:val="none"/>
                <w:lang w:val="en-US" w:eastAsia="zh-CN" w:bidi="ar"/>
              </w:rPr>
              <w:t>维护服务</w:t>
            </w:r>
          </w:p>
        </w:tc>
        <w:tc>
          <w:tcPr>
            <w:tcW w:w="44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梧州市住宅专项维修资金系统维护费用</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lang w:val="en-US" w:eastAsia="zh-CN"/>
              </w:rPr>
            </w:pPr>
            <w:r>
              <w:rPr>
                <w:rFonts w:hint="eastAsia" w:ascii="彩虹粗仿宋" w:hAnsi="彩虹粗仿宋" w:eastAsia="彩虹粗仿宋" w:cs="彩虹粗仿宋"/>
                <w:i w:val="0"/>
                <w:iCs w:val="0"/>
                <w:color w:val="000000"/>
                <w:sz w:val="24"/>
                <w:szCs w:val="24"/>
                <w:u w:val="none"/>
                <w:lang w:val="en-US" w:eastAsia="zh-CN"/>
              </w:rPr>
              <w:t>4</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i w:val="0"/>
                <w:iCs w:val="0"/>
                <w:color w:val="000000"/>
                <w:sz w:val="24"/>
                <w:szCs w:val="24"/>
                <w:u w:val="none"/>
              </w:rPr>
            </w:pPr>
            <w:r>
              <w:rPr>
                <w:rFonts w:hint="eastAsia" w:ascii="彩虹粗仿宋" w:hAnsi="彩虹粗仿宋" w:eastAsia="彩虹粗仿宋" w:cs="彩虹粗仿宋"/>
                <w:i w:val="0"/>
                <w:iCs w:val="0"/>
                <w:color w:val="000000"/>
                <w:kern w:val="0"/>
                <w:sz w:val="24"/>
                <w:szCs w:val="24"/>
                <w:u w:val="none"/>
                <w:lang w:val="en-US" w:eastAsia="zh-CN" w:bidi="ar"/>
              </w:rPr>
              <w:t>年</w:t>
            </w:r>
          </w:p>
        </w:tc>
      </w:tr>
    </w:tbl>
    <w:p>
      <w:pPr>
        <w:spacing w:line="360" w:lineRule="auto"/>
        <w:ind w:firstLine="640" w:firstLineChars="200"/>
        <w:rPr>
          <w:rFonts w:hint="eastAsia" w:ascii="彩虹粗仿宋" w:eastAsia="彩虹粗仿宋"/>
          <w:sz w:val="32"/>
          <w:szCs w:val="32"/>
          <w:lang w:val="en-US" w:eastAsia="zh-CN"/>
        </w:rPr>
      </w:pPr>
    </w:p>
    <w:p>
      <w:pPr>
        <w:spacing w:line="360" w:lineRule="auto"/>
        <w:ind w:firstLine="640" w:firstLineChars="200"/>
        <w:rPr>
          <w:rFonts w:hint="default" w:ascii="彩虹粗仿宋" w:eastAsia="彩虹粗仿宋"/>
          <w:sz w:val="32"/>
          <w:szCs w:val="32"/>
          <w:lang w:val="en-US" w:eastAsia="zh-CN"/>
        </w:rPr>
      </w:pPr>
      <w:r>
        <w:rPr>
          <w:rFonts w:hint="eastAsia" w:ascii="彩虹粗仿宋" w:eastAsia="彩虹粗仿宋"/>
          <w:sz w:val="32"/>
          <w:szCs w:val="32"/>
          <w:lang w:val="en-US" w:eastAsia="zh-CN"/>
        </w:rPr>
        <w:t>采购软件各子功能要求如下：</w:t>
      </w:r>
    </w:p>
    <w:tbl>
      <w:tblPr>
        <w:tblStyle w:val="5"/>
        <w:tblW w:w="4856" w:type="pct"/>
        <w:jc w:val="center"/>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Layout w:type="autofit"/>
        <w:tblCellMar>
          <w:top w:w="0" w:type="dxa"/>
          <w:left w:w="57" w:type="dxa"/>
          <w:bottom w:w="0" w:type="dxa"/>
          <w:right w:w="57" w:type="dxa"/>
        </w:tblCellMar>
      </w:tblPr>
      <w:tblGrid>
        <w:gridCol w:w="1158"/>
        <w:gridCol w:w="1438"/>
        <w:gridCol w:w="5562"/>
        <w:gridCol w:w="20"/>
      </w:tblGrid>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20" w:hRule="atLeast"/>
          <w:jc w:val="center"/>
        </w:trPr>
        <w:tc>
          <w:tcPr>
            <w:tcW w:w="708" w:type="pct"/>
            <w:shd w:val="clear" w:color="auto" w:fill="E6E6E6"/>
          </w:tcPr>
          <w:p>
            <w:pPr>
              <w:tabs>
                <w:tab w:val="left" w:pos="420"/>
              </w:tabs>
              <w:adjustRightInd w:val="0"/>
              <w:snapToGrid w:val="0"/>
              <w:spacing w:line="400" w:lineRule="exact"/>
              <w:jc w:val="both"/>
              <w:textAlignment w:val="center"/>
              <w:rPr>
                <w:rFonts w:hint="eastAsia" w:asciiTheme="minorEastAsia" w:hAnsiTheme="minorEastAsia" w:eastAsiaTheme="minorEastAsia" w:cstheme="minorEastAsia"/>
                <w:b/>
                <w:bCs w:val="0"/>
                <w:color w:val="auto"/>
                <w:sz w:val="22"/>
                <w:szCs w:val="22"/>
                <w:shd w:val="clear" w:color="auto" w:fill="auto"/>
                <w:lang w:val="zh-CN"/>
              </w:rPr>
            </w:pPr>
            <w:r>
              <w:rPr>
                <w:rFonts w:hint="eastAsia" w:asciiTheme="minorEastAsia" w:hAnsiTheme="minorEastAsia" w:eastAsiaTheme="minorEastAsia" w:cstheme="minorEastAsia"/>
                <w:b/>
                <w:bCs w:val="0"/>
                <w:color w:val="auto"/>
                <w:sz w:val="22"/>
                <w:szCs w:val="22"/>
                <w:shd w:val="clear" w:color="auto" w:fill="auto"/>
                <w:lang w:val="zh-CN"/>
              </w:rPr>
              <w:t>设备(软件）名称</w:t>
            </w:r>
          </w:p>
        </w:tc>
        <w:tc>
          <w:tcPr>
            <w:tcW w:w="879" w:type="pct"/>
            <w:shd w:val="clear" w:color="auto" w:fill="E6E6E6"/>
          </w:tcPr>
          <w:p>
            <w:pPr>
              <w:tabs>
                <w:tab w:val="left" w:pos="420"/>
              </w:tabs>
              <w:adjustRightInd w:val="0"/>
              <w:snapToGrid w:val="0"/>
              <w:spacing w:line="400" w:lineRule="exact"/>
              <w:jc w:val="both"/>
              <w:textAlignment w:val="center"/>
              <w:rPr>
                <w:rFonts w:hint="eastAsia" w:asciiTheme="minorEastAsia" w:hAnsiTheme="minorEastAsia" w:eastAsiaTheme="minorEastAsia" w:cstheme="minorEastAsia"/>
                <w:b/>
                <w:bCs w:val="0"/>
                <w:color w:val="auto"/>
                <w:sz w:val="22"/>
                <w:szCs w:val="22"/>
                <w:shd w:val="clear" w:color="auto" w:fill="auto"/>
                <w:lang w:val="zh-CN"/>
              </w:rPr>
            </w:pPr>
            <w:r>
              <w:rPr>
                <w:rFonts w:hint="eastAsia" w:asciiTheme="minorEastAsia" w:hAnsiTheme="minorEastAsia" w:eastAsiaTheme="minorEastAsia" w:cstheme="minorEastAsia"/>
                <w:b/>
                <w:bCs w:val="0"/>
                <w:color w:val="auto"/>
                <w:sz w:val="22"/>
                <w:szCs w:val="22"/>
                <w:shd w:val="clear" w:color="auto" w:fill="auto"/>
                <w:lang w:val="zh-CN"/>
              </w:rPr>
              <w:t>子功能</w:t>
            </w:r>
          </w:p>
        </w:tc>
        <w:tc>
          <w:tcPr>
            <w:tcW w:w="3412" w:type="pct"/>
            <w:gridSpan w:val="2"/>
            <w:tcBorders>
              <w:bottom w:val="single" w:color="auto" w:sz="4" w:space="0"/>
            </w:tcBorders>
            <w:shd w:val="clear" w:color="auto" w:fill="E6E6E6"/>
          </w:tcPr>
          <w:p>
            <w:pPr>
              <w:tabs>
                <w:tab w:val="left" w:pos="420"/>
              </w:tabs>
              <w:adjustRightInd w:val="0"/>
              <w:snapToGrid w:val="0"/>
              <w:spacing w:line="400" w:lineRule="exact"/>
              <w:jc w:val="both"/>
              <w:textAlignment w:val="center"/>
              <w:rPr>
                <w:rFonts w:hint="eastAsia" w:asciiTheme="minorEastAsia" w:hAnsiTheme="minorEastAsia" w:eastAsiaTheme="minorEastAsia" w:cstheme="minorEastAsia"/>
                <w:b/>
                <w:bCs w:val="0"/>
                <w:color w:val="auto"/>
                <w:sz w:val="22"/>
                <w:szCs w:val="22"/>
                <w:shd w:val="clear" w:color="auto" w:fill="auto"/>
                <w:lang w:val="zh-CN"/>
              </w:rPr>
            </w:pPr>
            <w:r>
              <w:rPr>
                <w:rFonts w:hint="eastAsia" w:asciiTheme="minorEastAsia" w:hAnsiTheme="minorEastAsia" w:eastAsiaTheme="minorEastAsia" w:cstheme="minorEastAsia"/>
                <w:b/>
                <w:bCs w:val="0"/>
                <w:color w:val="auto"/>
                <w:sz w:val="22"/>
                <w:szCs w:val="22"/>
                <w:shd w:val="clear" w:color="auto" w:fill="auto"/>
                <w:lang w:val="zh-CN"/>
              </w:rPr>
              <w:t>功能配置说明</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784" w:hRule="atLeast"/>
          <w:jc w:val="center"/>
        </w:trPr>
        <w:tc>
          <w:tcPr>
            <w:tcW w:w="708" w:type="pct"/>
            <w:vMerge w:val="restart"/>
          </w:tcPr>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hint="eastAsia" w:ascii="彩虹粗仿宋" w:hAnsi="彩虹粗仿宋" w:eastAsia="彩虹粗仿宋" w:cs="彩虹粗仿宋"/>
                <w:b/>
                <w:bCs/>
                <w:sz w:val="22"/>
                <w:szCs w:val="22"/>
              </w:rPr>
            </w:pPr>
          </w:p>
          <w:p>
            <w:pPr>
              <w:widowControl w:val="0"/>
              <w:tabs>
                <w:tab w:val="left" w:pos="142"/>
              </w:tabs>
              <w:spacing w:line="400" w:lineRule="exact"/>
              <w:jc w:val="both"/>
              <w:textAlignment w:val="center"/>
              <w:rPr>
                <w:rFonts w:ascii="仿宋" w:hAnsi="仿宋" w:eastAsia="仿宋" w:cs="宋体"/>
                <w:szCs w:val="21"/>
              </w:rPr>
            </w:pPr>
            <w:r>
              <w:rPr>
                <w:rFonts w:hint="eastAsia" w:ascii="彩虹粗仿宋" w:hAnsi="彩虹粗仿宋" w:eastAsia="彩虹粗仿宋" w:cs="彩虹粗仿宋"/>
                <w:b/>
                <w:bCs/>
                <w:sz w:val="22"/>
                <w:szCs w:val="22"/>
              </w:rPr>
              <w:t>住宅专项维修资金系统软件</w:t>
            </w:r>
          </w:p>
        </w:tc>
        <w:tc>
          <w:tcPr>
            <w:tcW w:w="879" w:type="pct"/>
            <w:vMerge w:val="restart"/>
            <w:vAlign w:val="center"/>
          </w:tcPr>
          <w:p>
            <w:pPr>
              <w:keepNext w:val="0"/>
              <w:keepLines w:val="0"/>
              <w:widowControl/>
              <w:suppressLineNumbers w:val="0"/>
              <w:jc w:val="center"/>
              <w:textAlignment w:val="center"/>
              <w:rPr>
                <w:rFonts w:ascii="仿宋" w:hAnsi="仿宋" w:eastAsia="仿宋" w:cs="Arial"/>
                <w:b/>
                <w:bCs/>
                <w:color w:val="000000"/>
                <w:lang w:val="zh-CN"/>
              </w:rPr>
            </w:pPr>
            <w:r>
              <w:rPr>
                <w:rFonts w:hint="eastAsia" w:ascii="彩虹粗仿宋" w:hAnsi="彩虹粗仿宋" w:eastAsia="彩虹粗仿宋" w:cs="彩虹粗仿宋"/>
                <w:i w:val="0"/>
                <w:iCs w:val="0"/>
                <w:color w:val="000000"/>
                <w:kern w:val="0"/>
                <w:sz w:val="24"/>
                <w:szCs w:val="24"/>
                <w:u w:val="none"/>
                <w:lang w:val="en-US" w:eastAsia="zh-CN" w:bidi="ar"/>
              </w:rPr>
              <w:t>楼盘管理</w:t>
            </w:r>
          </w:p>
        </w:tc>
        <w:tc>
          <w:tcPr>
            <w:tcW w:w="3412" w:type="pct"/>
            <w:gridSpan w:val="2"/>
            <w:tcBorders>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zh-CN"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小区楼盘表：提供银行专户关联小区楼盘表查看。</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405"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vAlign w:val="center"/>
          </w:tcPr>
          <w:p>
            <w:pPr>
              <w:jc w:val="center"/>
              <w:rPr>
                <w:rFonts w:ascii="仿宋" w:hAnsi="仿宋" w:eastAsia="仿宋" w:cs="Arial"/>
                <w:b/>
                <w:bCs/>
                <w:color w:val="000000"/>
                <w:lang w:val="zh-CN"/>
              </w:rPr>
            </w:pP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zh-CN"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住宅专项维修金动态展示房屋信息个性展示：对专项物业维修金使用进度，包括幢楼盘展示、户维修金金额、不同颜色展示物业维修金剩余情况，等方面进行动态更新展示。</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405"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restart"/>
            <w:vAlign w:val="center"/>
          </w:tcPr>
          <w:p>
            <w:pPr>
              <w:keepNext w:val="0"/>
              <w:keepLines w:val="0"/>
              <w:widowControl/>
              <w:suppressLineNumbers w:val="0"/>
              <w:jc w:val="center"/>
              <w:textAlignment w:val="center"/>
              <w:rPr>
                <w:rFonts w:ascii="仿宋" w:hAnsi="仿宋" w:eastAsia="仿宋" w:cs="Arial"/>
                <w:bCs/>
                <w:color w:val="000000"/>
                <w:lang w:val="zh-CN"/>
              </w:rPr>
            </w:pPr>
            <w:r>
              <w:rPr>
                <w:rFonts w:hint="eastAsia" w:ascii="彩虹粗仿宋" w:hAnsi="彩虹粗仿宋" w:eastAsia="彩虹粗仿宋" w:cs="彩虹粗仿宋"/>
                <w:i w:val="0"/>
                <w:iCs w:val="0"/>
                <w:color w:val="000000"/>
                <w:kern w:val="0"/>
                <w:sz w:val="24"/>
                <w:szCs w:val="24"/>
                <w:u w:val="none"/>
                <w:lang w:val="en-US" w:eastAsia="zh-CN" w:bidi="ar"/>
              </w:rPr>
              <w:t>账户管理</w:t>
            </w: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zh-CN"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银行专户信息维护：为每个小区、楼幢甚至房屋建立唯一维修资金专户，记录账户编号、开户行、关联房源范围等基础信息，确保“一户一账”精准对应。</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405"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vAlign w:val="center"/>
          </w:tcPr>
          <w:p>
            <w:pPr>
              <w:jc w:val="center"/>
              <w:rPr>
                <w:rFonts w:ascii="仿宋" w:hAnsi="仿宋" w:eastAsia="仿宋" w:cs="Arial"/>
                <w:bCs/>
                <w:color w:val="000000"/>
                <w:lang w:val="zh-CN"/>
              </w:rPr>
            </w:pP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en-US"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账户状态实时更新：与银行系统实时同步账户状态（正常/冻结），在房屋查封、项目风险预警等场景下，按监管端指令冻结账户操作；在解封或风险解除后，同步解锁，保障资金安全可控。</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380"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vAlign w:val="center"/>
          </w:tcPr>
          <w:p>
            <w:pPr>
              <w:jc w:val="center"/>
              <w:rPr>
                <w:rFonts w:ascii="仿宋" w:hAnsi="仿宋" w:eastAsia="仿宋" w:cs="Arial"/>
                <w:bCs/>
                <w:color w:val="000000"/>
                <w:lang w:val="zh-CN"/>
              </w:rPr>
            </w:pPr>
          </w:p>
        </w:tc>
        <w:tc>
          <w:tcPr>
            <w:tcW w:w="3412" w:type="pct"/>
            <w:gridSpan w:val="2"/>
            <w:tcBorders>
              <w:top w:val="single" w:color="auto" w:sz="4" w:space="0"/>
              <w:right w:val="single" w:color="auto" w:sz="4" w:space="0"/>
            </w:tcBorders>
            <w:vAlign w:val="center"/>
          </w:tcPr>
          <w:p>
            <w:pPr>
              <w:keepNext w:val="0"/>
              <w:keepLines w:val="0"/>
              <w:widowControl/>
              <w:suppressLineNumbers w:val="0"/>
              <w:jc w:val="left"/>
              <w:textAlignment w:val="center"/>
              <w:rPr>
                <w:rFonts w:ascii="仿宋" w:hAnsi="仿宋" w:eastAsia="仿宋" w:cs="Arial"/>
                <w:bCs/>
                <w:color w:val="000000"/>
                <w:lang w:val="zh-CN"/>
              </w:rPr>
            </w:pPr>
            <w:r>
              <w:rPr>
                <w:rFonts w:hint="eastAsia" w:ascii="彩虹粗仿宋" w:hAnsi="彩虹粗仿宋" w:eastAsia="彩虹粗仿宋" w:cs="彩虹粗仿宋"/>
                <w:i w:val="0"/>
                <w:iCs w:val="0"/>
                <w:color w:val="000000"/>
                <w:kern w:val="0"/>
                <w:sz w:val="24"/>
                <w:szCs w:val="24"/>
                <w:u w:val="none"/>
                <w:lang w:val="en-US" w:eastAsia="zh-CN" w:bidi="ar"/>
              </w:rPr>
              <w:t>账户余额查询：与银行系统实时同步账户余额、为监管部门提供精准数据支撑。</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457"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restart"/>
            <w:vAlign w:val="center"/>
          </w:tcPr>
          <w:p>
            <w:pPr>
              <w:keepNext w:val="0"/>
              <w:keepLines w:val="0"/>
              <w:widowControl/>
              <w:suppressLineNumbers w:val="0"/>
              <w:jc w:val="center"/>
              <w:textAlignment w:val="center"/>
              <w:rPr>
                <w:rFonts w:ascii="仿宋" w:hAnsi="仿宋" w:eastAsia="仿宋" w:cs="Arial"/>
                <w:bCs/>
                <w:color w:val="000000"/>
                <w:lang w:val="zh-CN"/>
              </w:rPr>
            </w:pPr>
            <w:r>
              <w:rPr>
                <w:rFonts w:hint="eastAsia" w:ascii="彩虹粗仿宋" w:hAnsi="彩虹粗仿宋" w:eastAsia="彩虹粗仿宋" w:cs="彩虹粗仿宋"/>
                <w:i w:val="0"/>
                <w:iCs w:val="0"/>
                <w:color w:val="000000"/>
                <w:kern w:val="0"/>
                <w:sz w:val="24"/>
                <w:szCs w:val="24"/>
                <w:u w:val="none"/>
                <w:lang w:val="en-US" w:eastAsia="zh-CN" w:bidi="ar"/>
              </w:rPr>
              <w:t>缴存管理</w:t>
            </w:r>
          </w:p>
        </w:tc>
        <w:tc>
          <w:tcPr>
            <w:tcW w:w="3412" w:type="pct"/>
            <w:gridSpan w:val="2"/>
            <w:tcBorders>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en-US"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缴存列表：列表整合房源基础信息、应缴信息、缴款单信息及缴存状态，支持按小区、楼幢、缴存状态等多维度筛选查询。</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391"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vAlign w:val="center"/>
          </w:tcPr>
          <w:p>
            <w:pPr>
              <w:jc w:val="center"/>
              <w:rPr>
                <w:rFonts w:ascii="仿宋" w:hAnsi="仿宋" w:eastAsia="仿宋" w:cs="Arial"/>
                <w:bCs/>
                <w:color w:val="000000"/>
                <w:lang w:val="zh-CN"/>
              </w:rPr>
            </w:pPr>
          </w:p>
        </w:tc>
        <w:tc>
          <w:tcPr>
            <w:tcW w:w="3412" w:type="pct"/>
            <w:gridSpan w:val="2"/>
            <w:tcBorders>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zh-CN"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资金线上缴存：业主通过APP确认应缴金额，银行端实时接收支付结果并更新账户状态，同步反馈至网签备案系统。</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391"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vAlign w:val="center"/>
          </w:tcPr>
          <w:p>
            <w:pPr>
              <w:jc w:val="center"/>
              <w:rPr>
                <w:rFonts w:ascii="仿宋" w:hAnsi="仿宋" w:eastAsia="仿宋" w:cs="Arial"/>
                <w:bCs/>
                <w:color w:val="000000"/>
                <w:lang w:val="zh-CN"/>
              </w:rPr>
            </w:pP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仿宋"/>
                <w:i w:val="0"/>
                <w:iCs w:val="0"/>
                <w:color w:val="000000"/>
                <w:kern w:val="2"/>
                <w:sz w:val="22"/>
                <w:szCs w:val="22"/>
                <w:u w:val="none"/>
                <w:lang w:val="zh-CN"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缴存信息查询：业主通过APP查询名下房屋维修资金余额、缴存记录、使用明细及利息结算情况，数据由银行端账户信息库实时同步，确保与专户状态一致。</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391"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restart"/>
            <w:vAlign w:val="center"/>
          </w:tcPr>
          <w:p>
            <w:pPr>
              <w:keepNext w:val="0"/>
              <w:keepLines w:val="0"/>
              <w:widowControl/>
              <w:suppressLineNumbers w:val="0"/>
              <w:jc w:val="center"/>
              <w:textAlignment w:val="center"/>
              <w:rPr>
                <w:rFonts w:hint="eastAsia" w:ascii="彩虹粗仿宋" w:hAnsi="彩虹粗仿宋" w:eastAsia="彩虹粗仿宋" w:cs="彩虹粗仿宋"/>
                <w:b/>
                <w:bCs w:val="0"/>
                <w:color w:val="000000"/>
                <w:sz w:val="22"/>
                <w:szCs w:val="22"/>
                <w:lang w:val="zh-CN"/>
              </w:rPr>
            </w:pPr>
            <w:r>
              <w:rPr>
                <w:rFonts w:hint="eastAsia" w:ascii="彩虹粗仿宋" w:hAnsi="彩虹粗仿宋" w:eastAsia="彩虹粗仿宋" w:cs="彩虹粗仿宋"/>
                <w:i w:val="0"/>
                <w:iCs w:val="0"/>
                <w:color w:val="000000"/>
                <w:kern w:val="0"/>
                <w:sz w:val="24"/>
                <w:szCs w:val="24"/>
                <w:u w:val="none"/>
                <w:lang w:val="en-US" w:eastAsia="zh-CN" w:bidi="ar"/>
              </w:rPr>
              <w:t>收益管理</w:t>
            </w: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维修资金派息管理：按年、季度通过调用银行标准利率，系统一键点击执行，即可自动进行计息，同时重新计算更新可用余额。</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391"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vAlign w:val="center"/>
          </w:tcPr>
          <w:p>
            <w:pPr>
              <w:jc w:val="center"/>
              <w:rPr>
                <w:rFonts w:ascii="仿宋" w:hAnsi="仿宋" w:eastAsia="仿宋" w:cs="Arial"/>
                <w:bCs/>
                <w:color w:val="000000"/>
                <w:lang w:val="zh-CN"/>
              </w:rPr>
            </w:pP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增值收益分摊：输入增值收益总金额及分摊时间，系统即可根据监管部门提供的增值收益分摊公式逐户计算增值收益，得出总增值收益与银行系统实时比对一致。</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391" w:hRule="atLeast"/>
          <w:jc w:val="center"/>
        </w:trPr>
        <w:tc>
          <w:tcPr>
            <w:tcW w:w="708" w:type="pct"/>
            <w:vMerge w:val="continue"/>
          </w:tcPr>
          <w:p>
            <w:pPr>
              <w:tabs>
                <w:tab w:val="left" w:pos="142"/>
              </w:tabs>
              <w:spacing w:line="400" w:lineRule="exact"/>
              <w:ind w:left="256" w:hanging="114"/>
              <w:jc w:val="both"/>
              <w:textAlignment w:val="center"/>
              <w:rPr>
                <w:rFonts w:ascii="仿宋" w:hAnsi="仿宋" w:eastAsia="仿宋" w:cs="宋体"/>
                <w:szCs w:val="21"/>
              </w:rPr>
            </w:pPr>
          </w:p>
        </w:tc>
        <w:tc>
          <w:tcPr>
            <w:tcW w:w="879" w:type="pct"/>
            <w:vMerge w:val="continue"/>
            <w:shd w:val="clear" w:color="auto" w:fill="auto"/>
            <w:vAlign w:val="center"/>
          </w:tcPr>
          <w:p>
            <w:pPr>
              <w:jc w:val="center"/>
              <w:rPr>
                <w:rFonts w:hint="eastAsia" w:ascii="彩虹粗仿宋" w:hAnsi="彩虹粗仿宋" w:eastAsia="彩虹粗仿宋" w:cs="彩虹粗仿宋"/>
                <w:b/>
                <w:bCs/>
                <w:i w:val="0"/>
                <w:iCs w:val="0"/>
                <w:color w:val="000000"/>
                <w:kern w:val="2"/>
                <w:sz w:val="22"/>
                <w:szCs w:val="22"/>
                <w:u w:val="none"/>
                <w:lang w:val="zh-CN" w:eastAsia="zh-CN" w:bidi="ar-SA"/>
              </w:rPr>
            </w:pPr>
          </w:p>
        </w:tc>
        <w:tc>
          <w:tcPr>
            <w:tcW w:w="3412" w:type="pct"/>
            <w:gridSpan w:val="2"/>
            <w:tcBorders>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2"/>
                <w:sz w:val="22"/>
                <w:szCs w:val="22"/>
                <w:u w:val="none"/>
                <w:lang w:val="en-US" w:eastAsia="zh-CN" w:bidi="ar-SA"/>
              </w:rPr>
            </w:pPr>
            <w:r>
              <w:rPr>
                <w:rFonts w:hint="eastAsia" w:ascii="彩虹粗仿宋" w:hAnsi="彩虹粗仿宋" w:eastAsia="彩虹粗仿宋" w:cs="彩虹粗仿宋"/>
                <w:i w:val="0"/>
                <w:iCs w:val="0"/>
                <w:color w:val="000000"/>
                <w:kern w:val="0"/>
                <w:sz w:val="24"/>
                <w:szCs w:val="24"/>
                <w:u w:val="none"/>
                <w:lang w:val="en-US" w:eastAsia="zh-CN" w:bidi="ar"/>
              </w:rPr>
              <w:t>小区账户管理：针对创建的小区账户，根据监管部门要求，将小区下所有增值收益合计在小区账户中，进行统一展示。</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vMerge w:val="restar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资金使用管理</w:t>
            </w:r>
          </w:p>
        </w:tc>
        <w:tc>
          <w:tcPr>
            <w:tcW w:w="3412" w:type="pct"/>
            <w:gridSpan w:val="2"/>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资金使用划拨：实现资金拨付。监管部门发出拨付证明后，银行端通过拨付编号查询并验证拨付证明的有效性，验证通过后支付。</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vMerge w:val="continue"/>
            <w:tcBorders>
              <w:left w:val="single" w:color="auto" w:sz="4" w:space="0"/>
              <w:bottom w:val="single" w:color="auto" w:sz="4" w:space="0"/>
            </w:tcBorders>
            <w:shd w:val="clear" w:color="auto" w:fill="auto"/>
            <w:vAlign w:val="center"/>
          </w:tcPr>
          <w:p>
            <w:pPr>
              <w:jc w:val="center"/>
              <w:rPr>
                <w:rFonts w:hint="eastAsia" w:ascii="彩虹粗仿宋" w:hAnsi="彩虹粗仿宋" w:eastAsia="彩虹粗仿宋" w:cs="彩虹粗仿宋"/>
                <w:b/>
                <w:bCs/>
                <w:i w:val="0"/>
                <w:iCs w:val="0"/>
                <w:color w:val="000000"/>
                <w:kern w:val="0"/>
                <w:sz w:val="22"/>
                <w:szCs w:val="22"/>
                <w:u w:val="none"/>
                <w:lang w:val="en-US" w:eastAsia="zh-CN" w:bidi="ar"/>
              </w:rPr>
            </w:pPr>
          </w:p>
        </w:tc>
        <w:tc>
          <w:tcPr>
            <w:tcW w:w="3412" w:type="pct"/>
            <w:gridSpan w:val="2"/>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资金退款划拨：实现系统根据账面余额及当前利息全额退还给业主。因客户原因或其他原因导致资金退款的情况，由客户发起退款申请，监管部门审核出具退款拨付证明，银行端通过退款拨付编号查询并验证拨付证明的有效性，验证通过后支付。</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财务对账</w:t>
            </w:r>
          </w:p>
        </w:tc>
        <w:tc>
          <w:tcPr>
            <w:tcW w:w="3412" w:type="pct"/>
            <w:gridSpan w:val="2"/>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财务对账功能在通过系统化比对确保维修资金业务账与财务账的一致性。功能支持按日开展对账。</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vMerge w:val="restar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统计分析</w:t>
            </w:r>
          </w:p>
        </w:tc>
        <w:tc>
          <w:tcPr>
            <w:tcW w:w="3412" w:type="pct"/>
            <w:gridSpan w:val="2"/>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实现维修资金楼幢明细表查询、维修资金收支明细表查询、维修资金综合统计、保修资金汇总统计、专户银行维修资金管理工作考核统计分析。</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vMerge w:val="continue"/>
            <w:tcBorders>
              <w:left w:val="single" w:color="auto" w:sz="4" w:space="0"/>
              <w:bottom w:val="single" w:color="auto" w:sz="4" w:space="0"/>
            </w:tcBorders>
            <w:shd w:val="clear" w:color="auto" w:fill="auto"/>
            <w:vAlign w:val="center"/>
          </w:tcPr>
          <w:p>
            <w:pPr>
              <w:jc w:val="center"/>
              <w:rPr>
                <w:rFonts w:hint="eastAsia" w:ascii="彩虹粗仿宋" w:hAnsi="彩虹粗仿宋" w:eastAsia="彩虹粗仿宋" w:cs="彩虹粗仿宋"/>
                <w:b/>
                <w:bCs/>
                <w:i w:val="0"/>
                <w:iCs w:val="0"/>
                <w:color w:val="000000"/>
                <w:kern w:val="0"/>
                <w:sz w:val="22"/>
                <w:szCs w:val="22"/>
                <w:u w:val="none"/>
                <w:lang w:val="en-US" w:eastAsia="zh-CN" w:bidi="ar"/>
              </w:rPr>
            </w:pPr>
          </w:p>
        </w:tc>
        <w:tc>
          <w:tcPr>
            <w:tcW w:w="3412" w:type="pct"/>
            <w:gridSpan w:val="2"/>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统计展示：定制化指标统计展示楼栋整体缴存情况以及维修资金缴存、住房保修金收取、物业维修资金使用、住房保修资金使用、住房保修金到期年限等细化数据。</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vMerge w:val="continue"/>
            <w:tcBorders>
              <w:left w:val="single" w:color="auto" w:sz="4" w:space="0"/>
              <w:bottom w:val="single" w:color="auto" w:sz="4" w:space="0"/>
            </w:tcBorders>
            <w:shd w:val="clear" w:color="auto" w:fill="auto"/>
            <w:vAlign w:val="center"/>
          </w:tcPr>
          <w:p>
            <w:pPr>
              <w:jc w:val="center"/>
              <w:rPr>
                <w:rFonts w:hint="eastAsia" w:ascii="彩虹粗仿宋" w:hAnsi="彩虹粗仿宋" w:eastAsia="彩虹粗仿宋" w:cs="彩虹粗仿宋"/>
                <w:b/>
                <w:bCs/>
                <w:i w:val="0"/>
                <w:iCs w:val="0"/>
                <w:color w:val="000000"/>
                <w:kern w:val="0"/>
                <w:sz w:val="22"/>
                <w:szCs w:val="22"/>
                <w:u w:val="none"/>
                <w:lang w:val="en-US" w:eastAsia="zh-CN" w:bidi="ar"/>
              </w:rPr>
            </w:pPr>
          </w:p>
        </w:tc>
        <w:tc>
          <w:tcPr>
            <w:tcW w:w="3412" w:type="pct"/>
            <w:gridSpan w:val="2"/>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图形展示：建设图形展示界面，对银行关注账户资金、划拨情况，以大屏多模块模式进行综合全局展示，辅助银行对维修资金管理，提高银行下年度维修资金的分配额度。</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gridAfter w:val="1"/>
          <w:wAfter w:w="11" w:type="pct"/>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vMerge w:val="continue"/>
            <w:tcBorders>
              <w:left w:val="single" w:color="auto" w:sz="4" w:space="0"/>
              <w:bottom w:val="single" w:color="auto" w:sz="4" w:space="0"/>
            </w:tcBorders>
            <w:shd w:val="clear" w:color="auto" w:fill="auto"/>
            <w:vAlign w:val="center"/>
          </w:tcPr>
          <w:p>
            <w:pPr>
              <w:jc w:val="center"/>
              <w:rPr>
                <w:rFonts w:hint="eastAsia" w:ascii="彩虹粗仿宋" w:hAnsi="彩虹粗仿宋" w:eastAsia="彩虹粗仿宋" w:cs="彩虹粗仿宋"/>
                <w:b/>
                <w:bCs/>
                <w:i w:val="0"/>
                <w:iCs w:val="0"/>
                <w:color w:val="000000"/>
                <w:kern w:val="0"/>
                <w:sz w:val="22"/>
                <w:szCs w:val="22"/>
                <w:u w:val="none"/>
                <w:lang w:val="en-US" w:eastAsia="zh-CN" w:bidi="ar"/>
              </w:rPr>
            </w:pPr>
          </w:p>
        </w:tc>
        <w:tc>
          <w:tcPr>
            <w:tcW w:w="3400" w:type="pct"/>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详情查看：对大屏所展示的重要指标数据分析结果进行详细展示，点击大屏展示的统计分析对象，详细展示该对象具体信息以及统计结果。</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gridAfter w:val="1"/>
          <w:wAfter w:w="11" w:type="pct"/>
          <w:trHeight w:val="421"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对接房屋网签备案系统</w:t>
            </w:r>
          </w:p>
        </w:tc>
        <w:tc>
          <w:tcPr>
            <w:tcW w:w="3400" w:type="pct"/>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通过接口接收银行端请求，获取房屋网签信息及购房人信息，自动计算应缴金额并生成缴存单线上缴费后，同步反馈缴存状态至监管端及网签系统。</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gridAfter w:val="1"/>
          <w:wAfter w:w="11" w:type="pct"/>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对接预售资金监管系统</w:t>
            </w:r>
          </w:p>
        </w:tc>
        <w:tc>
          <w:tcPr>
            <w:tcW w:w="3400" w:type="pct"/>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通过预售资金拨付与维修资金缴存的联动校验，确保开发企业在申请预售资金拨付前完成对应房源的维修资金缴存的义务。</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gridAfter w:val="1"/>
          <w:wAfter w:w="11" w:type="pct"/>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对接与不动产登记系统</w:t>
            </w:r>
          </w:p>
        </w:tc>
        <w:tc>
          <w:tcPr>
            <w:tcW w:w="3400" w:type="pct"/>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通过接口接收银行端请求，对接后，既能确保维修资金缴存、使用与不动产登记状态精准匹配，又能为业主提供“产权变更即资金过户”“维修资金状态实时查”的便捷服务。</w:t>
            </w:r>
          </w:p>
        </w:tc>
      </w:tr>
      <w:tr>
        <w:tblPrEx>
          <w:tblBorders>
            <w:top w:val="single" w:color="000000" w:sz="12" w:space="0"/>
            <w:left w:val="single" w:color="000000" w:sz="12" w:space="0"/>
            <w:bottom w:val="single" w:color="000000" w:sz="12" w:space="0"/>
            <w:right w:val="single" w:color="000000" w:sz="12" w:space="0"/>
            <w:insideH w:val="single" w:color="000000" w:sz="2" w:space="0"/>
            <w:insideV w:val="single" w:color="000000" w:sz="2" w:space="0"/>
          </w:tblBorders>
          <w:tblCellMar>
            <w:top w:w="0" w:type="dxa"/>
            <w:left w:w="57" w:type="dxa"/>
            <w:bottom w:w="0" w:type="dxa"/>
            <w:right w:w="57" w:type="dxa"/>
          </w:tblCellMar>
        </w:tblPrEx>
        <w:trPr>
          <w:gridAfter w:val="1"/>
          <w:wAfter w:w="11" w:type="pct"/>
          <w:trHeight w:val="810" w:hRule="atLeast"/>
          <w:jc w:val="center"/>
        </w:trPr>
        <w:tc>
          <w:tcPr>
            <w:tcW w:w="708" w:type="pct"/>
            <w:vMerge w:val="continue"/>
            <w:tcBorders>
              <w:bottom w:val="single" w:color="auto" w:sz="4" w:space="0"/>
            </w:tcBorders>
          </w:tcPr>
          <w:p>
            <w:pPr>
              <w:tabs>
                <w:tab w:val="left" w:pos="420"/>
              </w:tabs>
              <w:adjustRightInd w:val="0"/>
              <w:snapToGrid w:val="0"/>
              <w:spacing w:line="400" w:lineRule="exact"/>
              <w:jc w:val="both"/>
              <w:textAlignment w:val="center"/>
              <w:rPr>
                <w:rFonts w:ascii="仿宋" w:hAnsi="仿宋" w:eastAsia="仿宋" w:cs="Arial"/>
                <w:bCs/>
                <w:color w:val="000000"/>
                <w:lang w:val="zh-CN"/>
              </w:rPr>
            </w:pPr>
          </w:p>
        </w:tc>
        <w:tc>
          <w:tcPr>
            <w:tcW w:w="879" w:type="pct"/>
            <w:tcBorders>
              <w:left w:val="single" w:color="auto" w:sz="4" w:space="0"/>
              <w:bottom w:val="single" w:color="auto" w:sz="4" w:space="0"/>
            </w:tcBorders>
            <w:shd w:val="clear" w:color="auto" w:fill="auto"/>
            <w:vAlign w:val="center"/>
          </w:tcPr>
          <w:p>
            <w:pPr>
              <w:keepNext w:val="0"/>
              <w:keepLines w:val="0"/>
              <w:widowControl/>
              <w:suppressLineNumbers w:val="0"/>
              <w:jc w:val="center"/>
              <w:textAlignment w:val="center"/>
              <w:rPr>
                <w:rFonts w:hint="eastAsia" w:ascii="彩虹粗仿宋" w:hAnsi="彩虹粗仿宋" w:eastAsia="彩虹粗仿宋" w:cs="彩虹粗仿宋"/>
                <w:b/>
                <w:bCs/>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对接监管银行系统</w:t>
            </w:r>
          </w:p>
        </w:tc>
        <w:tc>
          <w:tcPr>
            <w:tcW w:w="3400" w:type="pct"/>
            <w:tcBorders>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2"/>
                <w:szCs w:val="22"/>
                <w:u w:val="none"/>
                <w:lang w:val="en-US" w:eastAsia="zh-CN" w:bidi="ar"/>
              </w:rPr>
            </w:pPr>
            <w:r>
              <w:rPr>
                <w:rFonts w:hint="eastAsia" w:ascii="彩虹粗仿宋" w:hAnsi="彩虹粗仿宋" w:eastAsia="彩虹粗仿宋" w:cs="彩虹粗仿宋"/>
                <w:i w:val="0"/>
                <w:iCs w:val="0"/>
                <w:color w:val="000000"/>
                <w:kern w:val="0"/>
                <w:sz w:val="24"/>
                <w:szCs w:val="24"/>
                <w:u w:val="none"/>
                <w:lang w:val="en-US" w:eastAsia="zh-CN" w:bidi="ar"/>
              </w:rPr>
              <w:t>与监管银行系统对接，实现通过系统自动导入银行对账单流水、匹配业务记录、生成对账结果，为“三账统一”（业务账、财务账、银行账）提供技术支撑，强化资金监管的规范性与安全性。</w:t>
            </w:r>
          </w:p>
        </w:tc>
      </w:tr>
    </w:tbl>
    <w:p>
      <w:pPr>
        <w:spacing w:line="360" w:lineRule="auto"/>
        <w:rPr>
          <w:rFonts w:hint="eastAsia" w:eastAsiaTheme="minorEastAsia"/>
          <w:lang w:val="en-US" w:eastAsia="zh-CN"/>
        </w:rPr>
      </w:pPr>
    </w:p>
    <w:p>
      <w:pPr>
        <w:spacing w:line="360" w:lineRule="auto"/>
        <w:ind w:firstLine="642" w:firstLineChars="200"/>
        <w:rPr>
          <w:rFonts w:ascii="彩虹粗仿宋" w:hAnsi="宋体" w:eastAsia="彩虹粗仿宋"/>
          <w:b/>
          <w:sz w:val="32"/>
          <w:szCs w:val="32"/>
        </w:rPr>
      </w:pPr>
      <w:r>
        <w:rPr>
          <w:rFonts w:hint="eastAsia" w:ascii="彩虹粗仿宋" w:hAnsi="宋体" w:eastAsia="彩虹粗仿宋"/>
          <w:b/>
          <w:sz w:val="32"/>
          <w:szCs w:val="32"/>
        </w:rPr>
        <w:t>二、供应商资质要求建议</w:t>
      </w:r>
    </w:p>
    <w:p>
      <w:pPr>
        <w:spacing w:line="360" w:lineRule="auto"/>
        <w:ind w:firstLine="640" w:firstLineChars="200"/>
        <w:rPr>
          <w:rFonts w:hint="eastAsia" w:ascii="彩虹粗仿宋" w:hAnsi="宋体" w:eastAsia="彩虹粗仿宋"/>
          <w:sz w:val="32"/>
          <w:szCs w:val="32"/>
          <w:highlight w:val="none"/>
          <w:lang w:eastAsia="zh-CN"/>
        </w:rPr>
      </w:pPr>
      <w:r>
        <w:rPr>
          <w:rFonts w:hint="eastAsia" w:ascii="彩虹粗仿宋" w:hAnsi="宋体" w:eastAsia="彩虹粗仿宋"/>
          <w:sz w:val="32"/>
          <w:szCs w:val="32"/>
          <w:highlight w:val="none"/>
        </w:rPr>
        <w:t>供应商注册地在广西或在广西区域开设有分支机构（</w:t>
      </w:r>
      <w:r>
        <w:rPr>
          <w:rFonts w:hint="eastAsia" w:ascii="彩虹粗仿宋" w:hAnsi="宋体" w:eastAsia="彩虹粗仿宋"/>
          <w:sz w:val="32"/>
          <w:szCs w:val="32"/>
          <w:highlight w:val="yellow"/>
          <w:lang w:val="en-US" w:eastAsia="zh-CN"/>
        </w:rPr>
        <w:t>包括</w:t>
      </w:r>
      <w:r>
        <w:rPr>
          <w:rFonts w:hint="eastAsia" w:ascii="彩虹粗仿宋" w:hAnsi="宋体" w:eastAsia="彩虹粗仿宋"/>
          <w:sz w:val="32"/>
          <w:szCs w:val="32"/>
          <w:highlight w:val="yellow"/>
        </w:rPr>
        <w:t>分公司</w:t>
      </w:r>
      <w:r>
        <w:rPr>
          <w:rFonts w:hint="eastAsia" w:ascii="彩虹粗仿宋" w:hAnsi="宋体" w:eastAsia="彩虹粗仿宋"/>
          <w:sz w:val="32"/>
          <w:szCs w:val="32"/>
          <w:highlight w:val="yellow"/>
          <w:lang w:val="en-US" w:eastAsia="zh-CN"/>
        </w:rPr>
        <w:t>或办事处，分公司的提供营业执照，办事处的提供以公司名义签署的租赁合同</w:t>
      </w:r>
      <w:r>
        <w:rPr>
          <w:rFonts w:hint="eastAsia" w:ascii="彩虹粗仿宋" w:hAnsi="宋体" w:eastAsia="彩虹粗仿宋"/>
          <w:sz w:val="32"/>
          <w:szCs w:val="32"/>
          <w:highlight w:val="none"/>
        </w:rPr>
        <w:t>）</w:t>
      </w:r>
      <w:r>
        <w:rPr>
          <w:rFonts w:hint="eastAsia" w:ascii="彩虹粗仿宋" w:hAnsi="宋体" w:eastAsia="彩虹粗仿宋"/>
          <w:sz w:val="32"/>
          <w:szCs w:val="32"/>
          <w:highlight w:val="none"/>
          <w:lang w:eastAsia="zh-CN"/>
        </w:rPr>
        <w:t>。</w:t>
      </w:r>
    </w:p>
    <w:p>
      <w:pPr>
        <w:ind w:firstLine="642" w:firstLineChars="200"/>
        <w:rPr>
          <w:rFonts w:ascii="彩虹粗仿宋" w:hAnsi="宋体" w:eastAsia="彩虹粗仿宋"/>
          <w:b/>
          <w:sz w:val="32"/>
          <w:szCs w:val="32"/>
        </w:rPr>
      </w:pPr>
      <w:r>
        <w:rPr>
          <w:rFonts w:hint="eastAsia" w:ascii="彩虹粗仿宋" w:hAnsi="宋体" w:eastAsia="彩虹粗仿宋" w:cs="Times New Roman"/>
          <w:b/>
          <w:snapToGrid w:val="0"/>
          <w:kern w:val="0"/>
          <w:sz w:val="32"/>
          <w:szCs w:val="32"/>
        </w:rPr>
        <w:t xml:space="preserve"> </w:t>
      </w:r>
      <w:r>
        <w:rPr>
          <w:rFonts w:hint="eastAsia" w:ascii="彩虹粗仿宋" w:hAnsi="宋体" w:eastAsia="彩虹粗仿宋"/>
          <w:b/>
          <w:sz w:val="32"/>
          <w:szCs w:val="32"/>
        </w:rPr>
        <w:t>三、基本要求：</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1.软件产品必须具有在中国境内的正式合法使用权和销售权；</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2.软件产品在国内有可靠的技术支持力量；</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3.软件产品必须为正式版本；</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rPr>
        <w:t>4.软件产品必须具有完整的技术资料。</w:t>
      </w:r>
    </w:p>
    <w:p>
      <w:pPr>
        <w:spacing w:line="360" w:lineRule="auto"/>
        <w:ind w:firstLine="640" w:firstLineChars="200"/>
        <w:rPr>
          <w:rFonts w:ascii="彩虹粗仿宋" w:hAnsi="宋体" w:eastAsia="彩虹粗仿宋"/>
          <w:color w:val="FF0000"/>
          <w:sz w:val="32"/>
          <w:szCs w:val="32"/>
        </w:rPr>
      </w:pPr>
      <w:r>
        <w:rPr>
          <w:rFonts w:hint="eastAsia" w:ascii="彩虹粗仿宋" w:hAnsi="宋体" w:eastAsia="彩虹粗仿宋"/>
          <w:sz w:val="32"/>
          <w:szCs w:val="32"/>
        </w:rPr>
        <w:t>5</w:t>
      </w:r>
      <w:r>
        <w:rPr>
          <w:rFonts w:ascii="彩虹粗仿宋" w:hAnsi="宋体" w:eastAsia="彩虹粗仿宋"/>
          <w:sz w:val="32"/>
          <w:szCs w:val="32"/>
        </w:rPr>
        <w:t>.</w:t>
      </w:r>
      <w:r>
        <w:rPr>
          <w:rFonts w:hint="eastAsia" w:ascii="彩虹粗仿宋" w:hAnsi="宋体" w:eastAsia="彩虹粗仿宋"/>
          <w:color w:val="auto"/>
          <w:sz w:val="32"/>
          <w:szCs w:val="32"/>
        </w:rPr>
        <w:t>本次采购的软件</w:t>
      </w:r>
      <w:r>
        <w:rPr>
          <w:rFonts w:hint="eastAsia" w:ascii="彩虹粗仿宋" w:hAnsi="宋体" w:eastAsia="彩虹粗仿宋"/>
          <w:color w:val="auto"/>
          <w:sz w:val="32"/>
          <w:szCs w:val="32"/>
          <w:lang w:val="en-US" w:eastAsia="zh-CN"/>
        </w:rPr>
        <w:t>产品</w:t>
      </w:r>
      <w:r>
        <w:rPr>
          <w:rFonts w:hint="eastAsia" w:ascii="彩虹粗仿宋" w:hAnsi="宋体" w:eastAsia="彩虹粗仿宋"/>
          <w:color w:val="auto"/>
          <w:sz w:val="32"/>
          <w:szCs w:val="32"/>
        </w:rPr>
        <w:t>应</w:t>
      </w:r>
      <w:r>
        <w:rPr>
          <w:rFonts w:hint="eastAsia" w:ascii="彩虹粗仿宋" w:hAnsi="宋体" w:eastAsia="彩虹粗仿宋"/>
          <w:color w:val="auto"/>
          <w:kern w:val="0"/>
          <w:sz w:val="32"/>
          <w:szCs w:val="32"/>
        </w:rPr>
        <w:t>当具备我行要求的功能，</w:t>
      </w:r>
      <w:r>
        <w:rPr>
          <w:rFonts w:hint="eastAsia" w:ascii="彩虹粗仿宋" w:hAnsi="宋体" w:eastAsia="彩虹粗仿宋"/>
          <w:color w:val="auto"/>
          <w:kern w:val="0"/>
          <w:sz w:val="32"/>
          <w:szCs w:val="32"/>
          <w:lang w:val="en-US" w:eastAsia="zh-CN"/>
        </w:rPr>
        <w:t>且</w:t>
      </w:r>
      <w:r>
        <w:rPr>
          <w:rFonts w:hint="eastAsia" w:ascii="彩虹粗仿宋" w:hAnsi="宋体" w:eastAsia="彩虹粗仿宋"/>
          <w:color w:val="auto"/>
          <w:kern w:val="0"/>
          <w:sz w:val="32"/>
          <w:szCs w:val="32"/>
        </w:rPr>
        <w:t>不存在任何侵犯第三方知识产权的情形</w:t>
      </w:r>
      <w:r>
        <w:rPr>
          <w:rFonts w:hint="eastAsia" w:ascii="彩虹粗仿宋" w:hAnsi="宋体" w:eastAsia="彩虹粗仿宋"/>
          <w:color w:val="auto"/>
          <w:sz w:val="32"/>
          <w:szCs w:val="32"/>
        </w:rPr>
        <w:t>。</w:t>
      </w:r>
    </w:p>
    <w:p>
      <w:pPr>
        <w:spacing w:line="360" w:lineRule="auto"/>
        <w:ind w:firstLine="642" w:firstLineChars="200"/>
        <w:rPr>
          <w:rFonts w:ascii="彩虹粗仿宋" w:hAnsi="宋体" w:eastAsia="彩虹粗仿宋"/>
          <w:color w:val="FF0000"/>
          <w:sz w:val="32"/>
          <w:szCs w:val="32"/>
        </w:rPr>
      </w:pPr>
      <w:r>
        <w:rPr>
          <w:rFonts w:hint="eastAsia" w:ascii="彩虹粗仿宋" w:hAnsi="宋体" w:eastAsia="彩虹粗仿宋"/>
          <w:b/>
          <w:sz w:val="32"/>
          <w:szCs w:val="32"/>
        </w:rPr>
        <w:t>四、技术要求</w:t>
      </w:r>
    </w:p>
    <w:p>
      <w:pPr>
        <w:spacing w:line="360" w:lineRule="auto"/>
        <w:ind w:firstLine="640" w:firstLineChars="200"/>
        <w:rPr>
          <w:rFonts w:ascii="彩虹粗仿宋" w:hAnsi="宋体" w:eastAsia="彩虹粗仿宋"/>
          <w:sz w:val="32"/>
          <w:szCs w:val="32"/>
        </w:rPr>
      </w:pPr>
      <w:r>
        <w:rPr>
          <w:rFonts w:hint="eastAsia" w:ascii="彩虹粗仿宋" w:hAnsi="宋体" w:eastAsia="彩虹粗仿宋"/>
          <w:sz w:val="32"/>
          <w:szCs w:val="32"/>
          <w:lang w:val="en-US" w:eastAsia="zh-CN"/>
        </w:rPr>
        <w:t>支持我行房维资金缴存单位和个人提供实时同步账户状态、完成资金缴交、资金划拨数据实时交互</w:t>
      </w:r>
      <w:r>
        <w:rPr>
          <w:rFonts w:hint="eastAsia" w:ascii="彩虹粗仿宋" w:hAnsi="宋体" w:eastAsia="彩虹粗仿宋"/>
          <w:sz w:val="32"/>
          <w:szCs w:val="32"/>
        </w:rPr>
        <w:t>，包括楼盘管理、账户管理、缴存管理、收益管理、资金使用管理、财务对账和统计分析等信息化应用功能</w:t>
      </w:r>
      <w:r>
        <w:rPr>
          <w:rFonts w:hint="eastAsia" w:ascii="彩虹粗仿宋" w:hAnsi="宋体" w:eastAsia="彩虹粗仿宋"/>
          <w:sz w:val="32"/>
          <w:szCs w:val="32"/>
          <w:lang w:eastAsia="zh-CN"/>
        </w:rPr>
        <w:t>，</w:t>
      </w:r>
      <w:r>
        <w:rPr>
          <w:rFonts w:hint="eastAsia" w:ascii="彩虹粗仿宋" w:hAnsi="宋体" w:eastAsia="彩虹粗仿宋"/>
          <w:sz w:val="32"/>
          <w:szCs w:val="32"/>
          <w:lang w:val="en-US" w:eastAsia="zh-CN"/>
        </w:rPr>
        <w:t>同时需要实现与房屋网签备案系统、预售资金监管系统、不动产登记系统、监管银行系统等相关</w:t>
      </w:r>
      <w:r>
        <w:rPr>
          <w:rFonts w:hint="eastAsia" w:ascii="彩虹粗仿宋" w:hAnsi="宋体" w:eastAsia="彩虹粗仿宋"/>
          <w:sz w:val="32"/>
          <w:szCs w:val="32"/>
        </w:rPr>
        <w:t>系统</w:t>
      </w:r>
      <w:r>
        <w:rPr>
          <w:rFonts w:hint="eastAsia" w:ascii="彩虹粗仿宋" w:hAnsi="宋体" w:eastAsia="彩虹粗仿宋"/>
          <w:sz w:val="32"/>
          <w:szCs w:val="32"/>
          <w:lang w:val="en-US" w:eastAsia="zh-CN"/>
        </w:rPr>
        <w:t>的</w:t>
      </w:r>
      <w:r>
        <w:rPr>
          <w:rFonts w:hint="eastAsia" w:ascii="彩虹粗仿宋" w:hAnsi="宋体" w:eastAsia="彩虹粗仿宋"/>
          <w:sz w:val="32"/>
          <w:szCs w:val="32"/>
        </w:rPr>
        <w:t>互联互通功能</w:t>
      </w:r>
      <w:r>
        <w:rPr>
          <w:rFonts w:hint="eastAsia" w:ascii="彩虹粗仿宋" w:hAnsi="宋体" w:eastAsia="彩虹粗仿宋"/>
          <w:sz w:val="32"/>
          <w:szCs w:val="32"/>
          <w:lang w:eastAsia="zh-CN"/>
        </w:rPr>
        <w:t>，后期系统运行</w:t>
      </w:r>
      <w:r>
        <w:rPr>
          <w:rFonts w:hint="eastAsia" w:ascii="彩虹粗仿宋" w:hAnsi="宋体" w:eastAsia="彩虹粗仿宋"/>
          <w:sz w:val="32"/>
          <w:szCs w:val="32"/>
          <w:lang w:val="en-US" w:eastAsia="zh-CN"/>
        </w:rPr>
        <w:t>维护</w:t>
      </w:r>
      <w:r>
        <w:rPr>
          <w:rFonts w:hint="eastAsia" w:ascii="彩虹粗仿宋" w:hAnsi="宋体" w:eastAsia="彩虹粗仿宋"/>
          <w:sz w:val="32"/>
          <w:szCs w:val="32"/>
          <w:lang w:eastAsia="zh-CN"/>
        </w:rPr>
        <w:t>支持</w:t>
      </w:r>
      <w:r>
        <w:rPr>
          <w:rFonts w:hint="eastAsia" w:ascii="彩虹粗仿宋" w:hAnsi="宋体" w:eastAsia="彩虹粗仿宋"/>
          <w:sz w:val="32"/>
          <w:szCs w:val="32"/>
        </w:rPr>
        <w:t>。</w:t>
      </w:r>
    </w:p>
    <w:p>
      <w:pPr>
        <w:spacing w:line="360" w:lineRule="auto"/>
        <w:ind w:firstLine="642" w:firstLineChars="200"/>
        <w:rPr>
          <w:rFonts w:ascii="彩虹粗仿宋" w:hAnsi="宋体" w:eastAsia="彩虹粗仿宋"/>
          <w:sz w:val="32"/>
          <w:szCs w:val="32"/>
        </w:rPr>
      </w:pPr>
      <w:r>
        <w:rPr>
          <w:rFonts w:hint="eastAsia" w:ascii="彩虹粗仿宋" w:hAnsi="宋体" w:eastAsia="彩虹粗仿宋"/>
          <w:b/>
          <w:sz w:val="32"/>
          <w:szCs w:val="32"/>
        </w:rPr>
        <w:t>五、交付日期及验收标准</w:t>
      </w:r>
    </w:p>
    <w:p>
      <w:pPr>
        <w:widowControl/>
        <w:tabs>
          <w:tab w:val="left" w:pos="6313"/>
        </w:tabs>
        <w:spacing w:after="156" w:afterLines="50" w:line="360" w:lineRule="auto"/>
        <w:ind w:firstLine="640" w:firstLineChars="200"/>
        <w:jc w:val="left"/>
        <w:rPr>
          <w:rFonts w:ascii="彩虹粗仿宋" w:hAnsi="Times New Roman" w:eastAsia="彩虹粗仿宋" w:cs="Times New Roman"/>
          <w:color w:val="000000" w:themeColor="text1"/>
          <w:kern w:val="0"/>
          <w:sz w:val="32"/>
          <w:szCs w:val="32"/>
        </w:rPr>
      </w:pPr>
      <w:r>
        <w:rPr>
          <w:rFonts w:hint="eastAsia" w:ascii="彩虹粗仿宋" w:hAnsi="Times New Roman" w:eastAsia="彩虹粗仿宋" w:cs="Times New Roman"/>
          <w:color w:val="000000" w:themeColor="text1"/>
          <w:kern w:val="0"/>
          <w:sz w:val="32"/>
          <w:szCs w:val="32"/>
        </w:rPr>
        <w:t>合同签订生效之日起</w:t>
      </w:r>
      <w:r>
        <w:rPr>
          <w:rFonts w:hint="eastAsia" w:ascii="彩虹粗仿宋" w:hAnsi="Times New Roman" w:eastAsia="彩虹粗仿宋" w:cs="Times New Roman"/>
          <w:color w:val="000000" w:themeColor="text1"/>
          <w:kern w:val="0"/>
          <w:sz w:val="32"/>
          <w:szCs w:val="32"/>
          <w:lang w:val="en-US" w:eastAsia="zh-CN"/>
        </w:rPr>
        <w:t>6</w:t>
      </w:r>
      <w:r>
        <w:rPr>
          <w:rFonts w:hint="eastAsia" w:ascii="彩虹粗仿宋" w:hAnsi="Times New Roman" w:eastAsia="彩虹粗仿宋" w:cs="Times New Roman"/>
          <w:color w:val="000000" w:themeColor="text1"/>
          <w:kern w:val="0"/>
          <w:sz w:val="32"/>
          <w:szCs w:val="32"/>
          <w:u w:val="single" w:color="FFFFFF" w:themeColor="background1"/>
        </w:rPr>
        <w:t>0</w:t>
      </w:r>
      <w:r>
        <w:rPr>
          <w:rFonts w:hint="eastAsia" w:ascii="彩虹粗仿宋" w:hAnsi="Times New Roman" w:eastAsia="彩虹粗仿宋" w:cs="Times New Roman"/>
          <w:color w:val="000000" w:themeColor="text1"/>
          <w:kern w:val="0"/>
          <w:sz w:val="32"/>
          <w:szCs w:val="32"/>
        </w:rPr>
        <w:t>日内完成本项目并交付使用，确保系统按时、正常上线，并配合完成本项目验收工作。</w:t>
      </w:r>
    </w:p>
    <w:p>
      <w:pPr>
        <w:widowControl/>
        <w:tabs>
          <w:tab w:val="left" w:pos="6313"/>
        </w:tabs>
        <w:spacing w:after="156" w:afterLines="50" w:line="360" w:lineRule="auto"/>
        <w:ind w:firstLine="640" w:firstLineChars="200"/>
        <w:jc w:val="left"/>
        <w:rPr>
          <w:rFonts w:ascii="彩虹粗仿宋" w:hAnsi="Times New Roman" w:eastAsia="彩虹粗仿宋" w:cs="Times New Roman"/>
          <w:color w:val="000000" w:themeColor="text1"/>
          <w:kern w:val="0"/>
          <w:sz w:val="32"/>
          <w:szCs w:val="32"/>
        </w:rPr>
      </w:pPr>
      <w:r>
        <w:rPr>
          <w:rFonts w:hint="eastAsia" w:ascii="彩虹粗仿宋" w:hAnsi="Times New Roman" w:eastAsia="彩虹粗仿宋" w:cs="Times New Roman"/>
          <w:color w:val="000000" w:themeColor="text1"/>
          <w:kern w:val="0"/>
          <w:sz w:val="32"/>
          <w:szCs w:val="32"/>
        </w:rPr>
        <w:t>验收标准：以我行与供应商双方确认的《需求分析说明书》为验收标准，采用现场验收的模式。在发生技术和需求歧义时，以《需求分析说明书》及合同承诺的要求为准。项目完成系统试运行，我行与供应商双方签订《试运行报告》后10天内，由我行组织供应商及相关技术小组参与对项目联合验收完成项目验收工作，双方签订验收报告。</w:t>
      </w:r>
    </w:p>
    <w:p>
      <w:pPr>
        <w:adjustRightInd w:val="0"/>
        <w:snapToGrid w:val="0"/>
        <w:spacing w:line="360" w:lineRule="auto"/>
        <w:ind w:firstLine="642" w:firstLineChars="200"/>
        <w:rPr>
          <w:rFonts w:ascii="彩虹粗仿宋" w:hAnsi="宋体" w:eastAsia="彩虹粗仿宋" w:cs="Times New Roman"/>
          <w:b/>
          <w:snapToGrid w:val="0"/>
          <w:color w:val="FF0000"/>
          <w:kern w:val="0"/>
          <w:sz w:val="32"/>
          <w:szCs w:val="32"/>
        </w:rPr>
      </w:pPr>
      <w:r>
        <w:rPr>
          <w:rFonts w:hint="eastAsia" w:ascii="彩虹粗仿宋" w:hAnsi="宋体" w:eastAsia="彩虹粗仿宋" w:cs="Times New Roman"/>
          <w:b/>
          <w:snapToGrid w:val="0"/>
          <w:kern w:val="0"/>
          <w:sz w:val="32"/>
          <w:szCs w:val="32"/>
        </w:rPr>
        <w:t>六、款项支付要求</w:t>
      </w:r>
    </w:p>
    <w:p>
      <w:pPr>
        <w:adjustRightInd w:val="0"/>
        <w:snapToGrid w:val="0"/>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Calibri" w:eastAsia="彩虹粗仿宋" w:cs="宋体"/>
          <w:sz w:val="32"/>
          <w:szCs w:val="32"/>
        </w:rPr>
        <w:t>项目上线交付使用并经我行与供应商双方验收确认后，供应商向我行提交付款申请、验收报告、增值税专用发票，我行支付供应商本项目</w:t>
      </w:r>
      <w:r>
        <w:rPr>
          <w:rFonts w:hint="eastAsia" w:ascii="彩虹粗仿宋" w:hAnsi="Calibri" w:eastAsia="彩虹粗仿宋" w:cs="宋体"/>
          <w:sz w:val="32"/>
          <w:szCs w:val="32"/>
          <w:lang w:val="en-US" w:eastAsia="zh-CN"/>
        </w:rPr>
        <w:t>软件</w:t>
      </w:r>
      <w:r>
        <w:rPr>
          <w:rFonts w:hint="eastAsia" w:ascii="彩虹粗仿宋" w:hAnsi="Calibri" w:eastAsia="彩虹粗仿宋" w:cs="宋体"/>
          <w:sz w:val="32"/>
          <w:szCs w:val="32"/>
        </w:rPr>
        <w:t>款项的</w:t>
      </w:r>
      <w:r>
        <w:rPr>
          <w:rFonts w:hint="eastAsia" w:ascii="彩虹粗仿宋" w:hAnsi="Calibri" w:eastAsia="彩虹粗仿宋" w:cs="宋体"/>
          <w:sz w:val="32"/>
          <w:szCs w:val="32"/>
          <w:lang w:val="en-US" w:eastAsia="zh-CN"/>
        </w:rPr>
        <w:t>95</w:t>
      </w:r>
      <w:r>
        <w:rPr>
          <w:rFonts w:hint="eastAsia" w:ascii="彩虹粗仿宋" w:hAnsi="Calibri" w:eastAsia="彩虹粗仿宋" w:cs="宋体"/>
          <w:sz w:val="32"/>
          <w:szCs w:val="32"/>
        </w:rPr>
        <w:t>%，软件款项剩余的5%作为质量保证金，在系统验收满一年且无违约情形下，经供应商、建行双方验收确认后不计息支付</w:t>
      </w:r>
      <w:r>
        <w:rPr>
          <w:rFonts w:hint="eastAsia" w:ascii="彩虹粗仿宋" w:hAnsi="Calibri" w:eastAsia="彩虹粗仿宋" w:cs="宋体"/>
          <w:sz w:val="32"/>
          <w:szCs w:val="32"/>
          <w:lang w:val="en-US" w:eastAsia="zh-CN"/>
        </w:rPr>
        <w:t>；系统运营维护服务费</w:t>
      </w:r>
      <w:r>
        <w:rPr>
          <w:rFonts w:hint="eastAsia" w:ascii="彩虹粗仿宋" w:hAnsi="Calibri" w:eastAsia="彩虹粗仿宋" w:cs="宋体"/>
          <w:sz w:val="32"/>
          <w:szCs w:val="32"/>
          <w:highlight w:val="none"/>
        </w:rPr>
        <w:t>在每年到期前</w:t>
      </w:r>
      <w:r>
        <w:rPr>
          <w:rFonts w:hint="eastAsia" w:ascii="彩虹粗仿宋" w:hAnsi="Calibri" w:eastAsia="彩虹粗仿宋" w:cs="宋体"/>
          <w:sz w:val="32"/>
          <w:szCs w:val="32"/>
          <w:highlight w:val="none"/>
          <w:lang w:val="en-US" w:eastAsia="zh-CN"/>
        </w:rPr>
        <w:t>30</w:t>
      </w:r>
      <w:r>
        <w:rPr>
          <w:rFonts w:hint="eastAsia" w:ascii="彩虹粗仿宋" w:hAnsi="Calibri" w:eastAsia="彩虹粗仿宋" w:cs="宋体"/>
          <w:sz w:val="32"/>
          <w:szCs w:val="32"/>
          <w:highlight w:val="none"/>
        </w:rPr>
        <w:t>个工作日</w:t>
      </w:r>
      <w:r>
        <w:rPr>
          <w:rFonts w:hint="eastAsia" w:ascii="彩虹粗仿宋" w:hAnsi="Calibri" w:eastAsia="彩虹粗仿宋" w:cs="宋体"/>
          <w:sz w:val="32"/>
          <w:szCs w:val="32"/>
          <w:highlight w:val="none"/>
          <w:lang w:val="en-US" w:eastAsia="zh-CN"/>
        </w:rPr>
        <w:t>内</w:t>
      </w:r>
      <w:r>
        <w:rPr>
          <w:rFonts w:hint="eastAsia" w:ascii="彩虹粗仿宋" w:hAnsi="Calibri" w:eastAsia="彩虹粗仿宋" w:cs="宋体"/>
          <w:sz w:val="32"/>
          <w:szCs w:val="32"/>
          <w:highlight w:val="none"/>
        </w:rPr>
        <w:t>一次性</w:t>
      </w:r>
      <w:r>
        <w:rPr>
          <w:rFonts w:hint="eastAsia" w:ascii="彩虹粗仿宋" w:hAnsi="Calibri" w:eastAsia="彩虹粗仿宋" w:cs="宋体"/>
          <w:sz w:val="32"/>
          <w:szCs w:val="32"/>
        </w:rPr>
        <w:t>支付下一年的系统维护费。款项支付由我行以人民币电汇或转帐方式付至供应商书面指定的帐户</w:t>
      </w:r>
      <w:r>
        <w:rPr>
          <w:rFonts w:hint="eastAsia" w:ascii="彩虹粗仿宋" w:hAnsi="宋体" w:eastAsia="彩虹粗仿宋"/>
          <w:sz w:val="32"/>
          <w:szCs w:val="32"/>
        </w:rPr>
        <w:t>。</w:t>
      </w:r>
    </w:p>
    <w:p>
      <w:pPr>
        <w:adjustRightInd w:val="0"/>
        <w:snapToGrid w:val="0"/>
        <w:spacing w:line="360" w:lineRule="auto"/>
        <w:ind w:firstLine="640" w:firstLineChars="200"/>
        <w:rPr>
          <w:rFonts w:ascii="彩虹粗仿宋" w:hAnsi="宋体" w:eastAsia="彩虹粗仿宋" w:cs="Times New Roman"/>
          <w:b/>
          <w:snapToGrid w:val="0"/>
          <w:color w:val="548DD4" w:themeColor="text2" w:themeTint="99"/>
          <w:kern w:val="0"/>
          <w:sz w:val="32"/>
          <w:szCs w:val="32"/>
        </w:rPr>
      </w:pPr>
      <w:r>
        <w:rPr>
          <w:rFonts w:hint="eastAsia" w:ascii="彩虹粗仿宋" w:hAnsi="宋体" w:eastAsia="彩虹粗仿宋" w:cs="Times New Roman"/>
          <w:snapToGrid w:val="0"/>
          <w:kern w:val="0"/>
          <w:sz w:val="32"/>
          <w:szCs w:val="32"/>
        </w:rPr>
        <w:t>增值税专用发票开票要求：供应商所开具的本项目软件系统增值税专用发票须为系统或软件产品销售发票，我行不接受开票内容为软件开发服务的增值税专用发票。</w:t>
      </w:r>
      <w:r>
        <w:rPr>
          <w:rFonts w:hint="eastAsia" w:ascii="彩虹粗仿宋" w:hAnsi="宋体" w:eastAsia="彩虹粗仿宋" w:cs="Times New Roman"/>
          <w:b/>
          <w:snapToGrid w:val="0"/>
          <w:color w:val="FF0000"/>
          <w:kern w:val="0"/>
          <w:sz w:val="32"/>
          <w:szCs w:val="32"/>
        </w:rPr>
        <w:t xml:space="preserve"> </w:t>
      </w:r>
    </w:p>
    <w:p>
      <w:pPr>
        <w:adjustRightInd w:val="0"/>
        <w:snapToGrid w:val="0"/>
        <w:spacing w:line="360" w:lineRule="auto"/>
        <w:ind w:firstLine="642" w:firstLineChars="200"/>
        <w:rPr>
          <w:rFonts w:ascii="彩虹粗仿宋" w:hAnsi="宋体" w:eastAsia="彩虹粗仿宋" w:cs="Times New Roman"/>
          <w:b/>
          <w:snapToGrid w:val="0"/>
          <w:color w:val="FF0000"/>
          <w:kern w:val="0"/>
          <w:sz w:val="32"/>
          <w:szCs w:val="32"/>
        </w:rPr>
      </w:pPr>
      <w:r>
        <w:rPr>
          <w:rFonts w:hint="eastAsia" w:ascii="彩虹粗仿宋" w:hAnsi="宋体" w:eastAsia="彩虹粗仿宋" w:cs="Times New Roman"/>
          <w:b/>
          <w:snapToGrid w:val="0"/>
          <w:kern w:val="0"/>
          <w:sz w:val="32"/>
          <w:szCs w:val="32"/>
        </w:rPr>
        <w:t>七、报价要求</w:t>
      </w:r>
    </w:p>
    <w:p>
      <w:pPr>
        <w:adjustRightInd w:val="0"/>
        <w:snapToGrid w:val="0"/>
        <w:spacing w:line="360" w:lineRule="auto"/>
        <w:ind w:firstLine="640" w:firstLineChars="200"/>
        <w:rPr>
          <w:rFonts w:ascii="彩虹粗仿宋" w:hAnsi="宋体" w:eastAsia="彩虹粗仿宋" w:cs="Times New Roman"/>
          <w:b/>
          <w:snapToGrid w:val="0"/>
          <w:kern w:val="0"/>
          <w:sz w:val="32"/>
          <w:szCs w:val="32"/>
        </w:rPr>
      </w:pPr>
      <w:r>
        <w:rPr>
          <w:rFonts w:hint="eastAsia" w:ascii="彩虹粗仿宋" w:eastAsia="彩虹粗仿宋"/>
          <w:sz w:val="32"/>
          <w:szCs w:val="32"/>
        </w:rPr>
        <w:t>项目报价为</w:t>
      </w:r>
      <w:r>
        <w:rPr>
          <w:rFonts w:hint="eastAsia" w:ascii="彩虹粗仿宋" w:hAnsi="仿宋" w:eastAsia="彩虹粗仿宋"/>
          <w:color w:val="000000" w:themeColor="text1"/>
          <w:sz w:val="32"/>
          <w:szCs w:val="32"/>
        </w:rPr>
        <w:t>供应商</w:t>
      </w:r>
      <w:r>
        <w:rPr>
          <w:rFonts w:hint="eastAsia" w:ascii="彩虹粗仿宋" w:hAnsi="宋体" w:eastAsia="彩虹粗仿宋"/>
          <w:sz w:val="32"/>
          <w:szCs w:val="32"/>
        </w:rPr>
        <w:t>负责为我行提供</w:t>
      </w:r>
      <w:r>
        <w:rPr>
          <w:rFonts w:hint="eastAsia" w:ascii="彩虹粗仿宋" w:hAnsi="仿宋" w:eastAsia="彩虹粗仿宋"/>
          <w:color w:val="000000" w:themeColor="text1"/>
          <w:sz w:val="32"/>
          <w:szCs w:val="32"/>
        </w:rPr>
        <w:t>梧州市住宅专项维修资金系统</w:t>
      </w:r>
      <w:r>
        <w:rPr>
          <w:rFonts w:hint="eastAsia" w:ascii="彩虹粗仿宋" w:eastAsia="彩虹粗仿宋"/>
          <w:sz w:val="32"/>
          <w:szCs w:val="32"/>
        </w:rPr>
        <w:t>软件</w:t>
      </w:r>
      <w:r>
        <w:rPr>
          <w:rFonts w:hint="eastAsia" w:ascii="彩虹粗仿宋" w:eastAsia="彩虹粗仿宋"/>
          <w:sz w:val="32"/>
          <w:szCs w:val="32"/>
          <w:lang w:val="en-US" w:eastAsia="zh-CN"/>
        </w:rPr>
        <w:t>款项和4年的系统维护服务费</w:t>
      </w:r>
      <w:r>
        <w:rPr>
          <w:rFonts w:hint="eastAsia" w:ascii="彩虹粗仿宋" w:eastAsia="彩虹粗仿宋"/>
          <w:sz w:val="32"/>
          <w:szCs w:val="32"/>
        </w:rPr>
        <w:t>投入总价,</w:t>
      </w:r>
      <w:r>
        <w:rPr>
          <w:rFonts w:hint="eastAsia"/>
        </w:rPr>
        <w:t xml:space="preserve"> </w:t>
      </w:r>
      <w:r>
        <w:rPr>
          <w:rFonts w:hint="eastAsia" w:ascii="彩虹粗仿宋" w:eastAsia="彩虹粗仿宋"/>
          <w:sz w:val="32"/>
          <w:szCs w:val="32"/>
        </w:rPr>
        <w:t>包括该软件的设计、安装、调试、验收合格交付使用及</w:t>
      </w:r>
      <w:r>
        <w:rPr>
          <w:rFonts w:hint="eastAsia" w:ascii="彩虹粗仿宋" w:eastAsia="彩虹粗仿宋"/>
          <w:sz w:val="32"/>
          <w:szCs w:val="32"/>
          <w:lang w:val="en-US" w:eastAsia="zh-CN"/>
        </w:rPr>
        <w:t>维护</w:t>
      </w:r>
      <w:r>
        <w:rPr>
          <w:rFonts w:hint="eastAsia" w:ascii="彩虹粗仿宋" w:eastAsia="彩虹粗仿宋"/>
          <w:sz w:val="32"/>
          <w:szCs w:val="32"/>
        </w:rPr>
        <w:t>服务，及其他有关各项的含税费用。执行期间总价不变，我行无须另向供应商支付规定之外的其他任何费用。</w:t>
      </w:r>
    </w:p>
    <w:p>
      <w:pPr>
        <w:adjustRightInd w:val="0"/>
        <w:snapToGrid w:val="0"/>
        <w:spacing w:line="360" w:lineRule="auto"/>
        <w:ind w:firstLine="642" w:firstLineChars="200"/>
        <w:rPr>
          <w:rFonts w:ascii="彩虹粗仿宋" w:hAnsi="宋体" w:eastAsia="彩虹粗仿宋" w:cs="Times New Roman"/>
          <w:b/>
          <w:snapToGrid w:val="0"/>
          <w:color w:val="FF0000"/>
          <w:kern w:val="0"/>
          <w:sz w:val="32"/>
          <w:szCs w:val="32"/>
        </w:rPr>
      </w:pPr>
      <w:r>
        <w:rPr>
          <w:rFonts w:hint="eastAsia" w:ascii="彩虹粗仿宋" w:hAnsi="宋体" w:eastAsia="彩虹粗仿宋"/>
          <w:b/>
          <w:sz w:val="32"/>
          <w:szCs w:val="32"/>
        </w:rPr>
        <w:t>八、</w:t>
      </w:r>
      <w:r>
        <w:rPr>
          <w:rFonts w:hint="eastAsia" w:ascii="彩虹粗仿宋" w:hAnsi="宋体" w:eastAsia="彩虹粗仿宋" w:cs="Times New Roman"/>
          <w:b/>
          <w:snapToGrid w:val="0"/>
          <w:kern w:val="0"/>
          <w:sz w:val="32"/>
          <w:szCs w:val="32"/>
        </w:rPr>
        <w:t>售后服务要求</w:t>
      </w:r>
    </w:p>
    <w:p>
      <w:pPr>
        <w:adjustRightInd w:val="0"/>
        <w:snapToGrid w:val="0"/>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1、项目验收合格之日后由供应商提供为期 5年</w:t>
      </w:r>
      <w:r>
        <w:rPr>
          <w:rFonts w:hint="eastAsia" w:ascii="彩虹粗仿宋" w:hAnsi="宋体" w:eastAsia="彩虹粗仿宋" w:cs="Times New Roman"/>
          <w:snapToGrid w:val="0"/>
          <w:kern w:val="0"/>
          <w:sz w:val="32"/>
          <w:szCs w:val="32"/>
          <w:lang w:val="en-US" w:eastAsia="zh-CN"/>
        </w:rPr>
        <w:t>维护支持服务</w:t>
      </w:r>
      <w:r>
        <w:rPr>
          <w:rFonts w:hint="eastAsia" w:ascii="彩虹粗仿宋" w:hAnsi="宋体" w:eastAsia="彩虹粗仿宋" w:cs="Times New Roman"/>
          <w:snapToGrid w:val="0"/>
          <w:kern w:val="0"/>
          <w:sz w:val="32"/>
          <w:szCs w:val="32"/>
        </w:rPr>
        <w:t>。</w:t>
      </w:r>
    </w:p>
    <w:p>
      <w:pPr>
        <w:adjustRightInd w:val="0"/>
        <w:snapToGrid w:val="0"/>
        <w:spacing w:line="360" w:lineRule="auto"/>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2、自项目验收合格之日起5年内7×10（每天：8：30-18：30）电话、电子邮件的技术支持服务。</w:t>
      </w:r>
    </w:p>
    <w:p>
      <w:pPr>
        <w:adjustRightInd w:val="0"/>
        <w:snapToGrid w:val="0"/>
        <w:spacing w:line="360" w:lineRule="auto"/>
        <w:ind w:firstLine="640" w:firstLineChars="200"/>
        <w:rPr>
          <w:rFonts w:hint="eastAsia"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3、自项目验收合格之日起</w:t>
      </w:r>
      <w:r>
        <w:rPr>
          <w:rFonts w:hint="eastAsia" w:ascii="彩虹粗仿宋" w:hAnsi="宋体" w:eastAsia="彩虹粗仿宋" w:cs="Times New Roman"/>
          <w:snapToGrid w:val="0"/>
          <w:kern w:val="0"/>
          <w:sz w:val="32"/>
          <w:szCs w:val="32"/>
          <w:lang w:val="en-US" w:eastAsia="zh-CN"/>
        </w:rPr>
        <w:t>5</w:t>
      </w:r>
      <w:r>
        <w:rPr>
          <w:rFonts w:hint="eastAsia" w:ascii="彩虹粗仿宋" w:hAnsi="宋体" w:eastAsia="彩虹粗仿宋" w:cs="Times New Roman"/>
          <w:snapToGrid w:val="0"/>
          <w:kern w:val="0"/>
          <w:sz w:val="32"/>
          <w:szCs w:val="32"/>
        </w:rPr>
        <w:t>年内，系统出现紧急问题，项目供应商应于我行发出书面维修通知后 24小时内到达现场或远程登录并解决问题；若系统出现重大故障，供应商应于我行发出书面维修通知 12小时内到达现场或远程登录并恢复系统运行正常。</w:t>
      </w:r>
    </w:p>
    <w:p>
      <w:pPr>
        <w:adjustRightInd w:val="0"/>
        <w:snapToGrid w:val="0"/>
        <w:spacing w:line="360" w:lineRule="auto"/>
        <w:ind w:firstLine="642" w:firstLineChars="200"/>
        <w:rPr>
          <w:rFonts w:hint="eastAsia"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b/>
          <w:bCs/>
          <w:snapToGrid w:val="0"/>
          <w:kern w:val="0"/>
          <w:sz w:val="32"/>
          <w:szCs w:val="32"/>
          <w:lang w:val="en-US" w:eastAsia="zh-CN"/>
        </w:rPr>
        <w:t>九、其他要求</w:t>
      </w:r>
    </w:p>
    <w:p>
      <w:pPr>
        <w:spacing w:line="360" w:lineRule="auto"/>
        <w:ind w:firstLine="640" w:firstLineChars="200"/>
        <w:rPr>
          <w:rFonts w:hint="eastAsia" w:ascii="彩虹粗仿宋" w:hAnsi="宋体" w:eastAsia="彩虹粗仿宋" w:cs="Times New Roman"/>
          <w:color w:val="000000"/>
          <w:sz w:val="32"/>
          <w:szCs w:val="32"/>
          <w:lang w:val="en-US" w:eastAsia="zh-CN"/>
        </w:rPr>
      </w:pPr>
      <w:r>
        <w:rPr>
          <w:rFonts w:hint="eastAsia" w:ascii="彩虹粗仿宋" w:hAnsi="宋体" w:eastAsia="彩虹粗仿宋" w:cs="Times New Roman"/>
          <w:color w:val="000000"/>
          <w:sz w:val="32"/>
          <w:szCs w:val="32"/>
        </w:rPr>
        <w:t>1、禁止进行低价格恶意竞争，一旦发现、查实，取消候选资格和入选资格</w:t>
      </w:r>
      <w:r>
        <w:rPr>
          <w:rFonts w:hint="eastAsia" w:ascii="彩虹粗仿宋" w:hAnsi="宋体" w:eastAsia="彩虹粗仿宋" w:cs="Times New Roman"/>
          <w:color w:val="000000"/>
          <w:sz w:val="32"/>
          <w:szCs w:val="32"/>
          <w:lang w:eastAsia="zh-CN"/>
        </w:rPr>
        <w:t>。</w:t>
      </w:r>
    </w:p>
    <w:p>
      <w:pPr>
        <w:spacing w:line="360" w:lineRule="auto"/>
        <w:ind w:firstLine="640" w:firstLineChars="200"/>
        <w:rPr>
          <w:rFonts w:ascii="彩虹粗仿宋" w:hAnsi="宋体" w:eastAsia="彩虹粗仿宋" w:cs="Times New Roman"/>
          <w:color w:val="000000"/>
          <w:sz w:val="32"/>
          <w:szCs w:val="32"/>
        </w:rPr>
      </w:pPr>
      <w:r>
        <w:rPr>
          <w:rFonts w:hint="eastAsia" w:ascii="彩虹粗仿宋" w:hAnsi="宋体" w:eastAsia="彩虹粗仿宋" w:cs="Times New Roman"/>
          <w:color w:val="000000"/>
          <w:sz w:val="32"/>
          <w:szCs w:val="32"/>
          <w:lang w:val="en-US" w:eastAsia="zh-CN"/>
        </w:rPr>
        <w:t>2、</w:t>
      </w:r>
      <w:r>
        <w:rPr>
          <w:rFonts w:hint="eastAsia" w:ascii="彩虹粗仿宋" w:hAnsi="宋体" w:eastAsia="彩虹粗仿宋" w:cs="Times New Roman"/>
          <w:color w:val="000000"/>
          <w:sz w:val="32"/>
          <w:szCs w:val="32"/>
        </w:rPr>
        <w:t>合同签订单位、发票开具单位必须与本次谈判邀请单位完全一致。</w:t>
      </w:r>
    </w:p>
    <w:p>
      <w:pPr>
        <w:spacing w:line="360" w:lineRule="auto"/>
        <w:ind w:firstLine="640" w:firstLineChars="200"/>
        <w:rPr>
          <w:rFonts w:ascii="彩虹粗仿宋" w:hAnsi="宋体" w:eastAsia="彩虹粗仿宋" w:cs="Times New Roman"/>
          <w:snapToGrid w:val="0"/>
          <w:color w:val="0070C0"/>
          <w:kern w:val="0"/>
          <w:sz w:val="32"/>
          <w:szCs w:val="32"/>
        </w:rPr>
      </w:pPr>
      <w:r>
        <w:rPr>
          <w:rFonts w:hint="eastAsia" w:ascii="彩虹粗仿宋" w:hAnsi="宋体" w:eastAsia="彩虹粗仿宋" w:cs="Times New Roman"/>
          <w:color w:val="auto"/>
          <w:sz w:val="32"/>
          <w:szCs w:val="32"/>
          <w:lang w:val="en-US" w:eastAsia="zh-CN"/>
        </w:rPr>
        <w:t>3</w:t>
      </w:r>
      <w:r>
        <w:rPr>
          <w:rFonts w:hint="eastAsia" w:ascii="彩虹粗仿宋" w:hAnsi="宋体" w:eastAsia="彩虹粗仿宋" w:cs="Times New Roman"/>
          <w:color w:val="auto"/>
          <w:sz w:val="32"/>
          <w:szCs w:val="32"/>
        </w:rPr>
        <w:t>、关于我行及我行客户方面的任何信息均属于商业秘密，供应商须对以上信息严格保密，否则须承担由于泄密对我行造成的一切损失</w:t>
      </w:r>
      <w:r>
        <w:rPr>
          <w:rFonts w:hint="eastAsia" w:ascii="彩虹粗仿宋" w:hAnsi="宋体" w:eastAsia="彩虹粗仿宋" w:cs="Times New Roman"/>
          <w:snapToGrid w:val="0"/>
          <w:color w:val="auto"/>
          <w:kern w:val="0"/>
          <w:sz w:val="32"/>
          <w:szCs w:val="32"/>
        </w:rPr>
        <w:t>。</w:t>
      </w:r>
    </w:p>
    <w:p>
      <w:pPr>
        <w:adjustRightInd w:val="0"/>
        <w:snapToGrid w:val="0"/>
        <w:spacing w:line="360" w:lineRule="auto"/>
        <w:ind w:firstLine="640" w:firstLineChars="200"/>
        <w:rPr>
          <w:rFonts w:hint="default" w:ascii="彩虹粗仿宋" w:hAnsi="宋体" w:eastAsia="彩虹粗仿宋" w:cs="Times New Roman"/>
          <w:snapToGrid w:val="0"/>
          <w:kern w:val="0"/>
          <w:sz w:val="32"/>
          <w:szCs w:val="32"/>
          <w:lang w:val="en-US" w:eastAsia="zh-CN"/>
        </w:rPr>
      </w:pPr>
    </w:p>
    <w:p>
      <w:pPr>
        <w:spacing w:line="360" w:lineRule="auto"/>
        <w:ind w:firstLine="420" w:firstLineChars="200"/>
        <w:rPr>
          <w:rFonts w:ascii="Calibri" w:hAnsi="Calibri" w:eastAsia="宋体"/>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方正宋体-人口信息-P2">
    <w:panose1 w:val="03000509000000000000"/>
    <w:charset w:val="86"/>
    <w:family w:val="auto"/>
    <w:pitch w:val="default"/>
    <w:sig w:usb0="10002003" w:usb1="BB1E0800" w:usb2="000A004E" w:usb3="00000000" w:csb0="003C0041" w:csb1="A00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73D9C"/>
    <w:rsid w:val="000A5436"/>
    <w:rsid w:val="00236636"/>
    <w:rsid w:val="00275204"/>
    <w:rsid w:val="002D1EAE"/>
    <w:rsid w:val="00373423"/>
    <w:rsid w:val="004110F0"/>
    <w:rsid w:val="00422A41"/>
    <w:rsid w:val="00505FFD"/>
    <w:rsid w:val="00536D44"/>
    <w:rsid w:val="005A216C"/>
    <w:rsid w:val="006322DD"/>
    <w:rsid w:val="00665BF6"/>
    <w:rsid w:val="006942A4"/>
    <w:rsid w:val="00696366"/>
    <w:rsid w:val="00727D10"/>
    <w:rsid w:val="00752A20"/>
    <w:rsid w:val="00792FBB"/>
    <w:rsid w:val="007A6CFA"/>
    <w:rsid w:val="007C3A6F"/>
    <w:rsid w:val="00884C12"/>
    <w:rsid w:val="009240EF"/>
    <w:rsid w:val="00937225"/>
    <w:rsid w:val="009E7F11"/>
    <w:rsid w:val="00A1461D"/>
    <w:rsid w:val="00A242B5"/>
    <w:rsid w:val="00A40E5D"/>
    <w:rsid w:val="00A54C9A"/>
    <w:rsid w:val="00AD33CB"/>
    <w:rsid w:val="00AE33CF"/>
    <w:rsid w:val="00B676B3"/>
    <w:rsid w:val="00B706DE"/>
    <w:rsid w:val="00BE2CDD"/>
    <w:rsid w:val="00CC441E"/>
    <w:rsid w:val="00CD3FBC"/>
    <w:rsid w:val="00D63337"/>
    <w:rsid w:val="00DE1648"/>
    <w:rsid w:val="00DE6DFD"/>
    <w:rsid w:val="00E071E3"/>
    <w:rsid w:val="00E65547"/>
    <w:rsid w:val="00E859F0"/>
    <w:rsid w:val="00F616E5"/>
    <w:rsid w:val="00FF2864"/>
    <w:rsid w:val="01092105"/>
    <w:rsid w:val="018F0B1E"/>
    <w:rsid w:val="04AE2BC4"/>
    <w:rsid w:val="054D3976"/>
    <w:rsid w:val="05B16FE4"/>
    <w:rsid w:val="069412EE"/>
    <w:rsid w:val="071D5D9A"/>
    <w:rsid w:val="078E32DA"/>
    <w:rsid w:val="084119A2"/>
    <w:rsid w:val="09E61F4C"/>
    <w:rsid w:val="0A223105"/>
    <w:rsid w:val="0A9913C6"/>
    <w:rsid w:val="0AF67B2D"/>
    <w:rsid w:val="0F037172"/>
    <w:rsid w:val="0F6A6C54"/>
    <w:rsid w:val="111C7A20"/>
    <w:rsid w:val="114E14F4"/>
    <w:rsid w:val="11577C91"/>
    <w:rsid w:val="12A37FBC"/>
    <w:rsid w:val="14271CC8"/>
    <w:rsid w:val="15154D22"/>
    <w:rsid w:val="15B17473"/>
    <w:rsid w:val="1A232908"/>
    <w:rsid w:val="1B7B2A6E"/>
    <w:rsid w:val="1CC452B3"/>
    <w:rsid w:val="1D1F2520"/>
    <w:rsid w:val="1DCC4819"/>
    <w:rsid w:val="1DDB6D9F"/>
    <w:rsid w:val="1E387E23"/>
    <w:rsid w:val="1F0307F1"/>
    <w:rsid w:val="1FE4496A"/>
    <w:rsid w:val="22F615BE"/>
    <w:rsid w:val="26FF288B"/>
    <w:rsid w:val="287E1BAB"/>
    <w:rsid w:val="2A35454B"/>
    <w:rsid w:val="2B922289"/>
    <w:rsid w:val="2CD47263"/>
    <w:rsid w:val="2D9774DB"/>
    <w:rsid w:val="2DC91AB9"/>
    <w:rsid w:val="2F2F7647"/>
    <w:rsid w:val="2F3C780C"/>
    <w:rsid w:val="2FEC166A"/>
    <w:rsid w:val="31487015"/>
    <w:rsid w:val="31573034"/>
    <w:rsid w:val="329D2581"/>
    <w:rsid w:val="344062C5"/>
    <w:rsid w:val="3566192B"/>
    <w:rsid w:val="363822A0"/>
    <w:rsid w:val="379E4A4D"/>
    <w:rsid w:val="37F54749"/>
    <w:rsid w:val="39C93574"/>
    <w:rsid w:val="3AA77A64"/>
    <w:rsid w:val="3D692C54"/>
    <w:rsid w:val="409C790E"/>
    <w:rsid w:val="41CF4830"/>
    <w:rsid w:val="4352195A"/>
    <w:rsid w:val="439B6F77"/>
    <w:rsid w:val="46325936"/>
    <w:rsid w:val="481D3E07"/>
    <w:rsid w:val="49480447"/>
    <w:rsid w:val="4A04378C"/>
    <w:rsid w:val="4AF41E93"/>
    <w:rsid w:val="4C751E7A"/>
    <w:rsid w:val="4CE82706"/>
    <w:rsid w:val="4F4954F7"/>
    <w:rsid w:val="4FC0713A"/>
    <w:rsid w:val="4FC43F73"/>
    <w:rsid w:val="50217371"/>
    <w:rsid w:val="513F263C"/>
    <w:rsid w:val="540C51F2"/>
    <w:rsid w:val="54DF0C4D"/>
    <w:rsid w:val="56AE57C6"/>
    <w:rsid w:val="57C00B06"/>
    <w:rsid w:val="57CC107C"/>
    <w:rsid w:val="57D97F9E"/>
    <w:rsid w:val="580C02BF"/>
    <w:rsid w:val="5A0D614D"/>
    <w:rsid w:val="5A616B5D"/>
    <w:rsid w:val="5BAB4CDE"/>
    <w:rsid w:val="5DE365E9"/>
    <w:rsid w:val="5DEF3829"/>
    <w:rsid w:val="5E5F75C5"/>
    <w:rsid w:val="5E974B49"/>
    <w:rsid w:val="5F0E17BA"/>
    <w:rsid w:val="5F130624"/>
    <w:rsid w:val="5F259E8A"/>
    <w:rsid w:val="600E6C05"/>
    <w:rsid w:val="609A2719"/>
    <w:rsid w:val="60EE5C2C"/>
    <w:rsid w:val="614E75B6"/>
    <w:rsid w:val="61946853"/>
    <w:rsid w:val="62A0195F"/>
    <w:rsid w:val="63621B0B"/>
    <w:rsid w:val="65D72426"/>
    <w:rsid w:val="66096893"/>
    <w:rsid w:val="66785936"/>
    <w:rsid w:val="66C6783F"/>
    <w:rsid w:val="66C77DA2"/>
    <w:rsid w:val="67E474DF"/>
    <w:rsid w:val="6A617017"/>
    <w:rsid w:val="6A8860E9"/>
    <w:rsid w:val="6B6B2FAD"/>
    <w:rsid w:val="6BFA4CF9"/>
    <w:rsid w:val="6C2F630D"/>
    <w:rsid w:val="6C867D4A"/>
    <w:rsid w:val="6C8B3796"/>
    <w:rsid w:val="6EB84D62"/>
    <w:rsid w:val="6FDC6A13"/>
    <w:rsid w:val="71A9476C"/>
    <w:rsid w:val="723F61FD"/>
    <w:rsid w:val="73245576"/>
    <w:rsid w:val="7455371B"/>
    <w:rsid w:val="754C4210"/>
    <w:rsid w:val="7559058D"/>
    <w:rsid w:val="75E605FD"/>
    <w:rsid w:val="772A798F"/>
    <w:rsid w:val="7869454A"/>
    <w:rsid w:val="7A2157DD"/>
    <w:rsid w:val="7B173167"/>
    <w:rsid w:val="7BC705F5"/>
    <w:rsid w:val="7DF57FB2"/>
    <w:rsid w:val="7EE74E7C"/>
    <w:rsid w:val="7F767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List Paragraph"/>
    <w:basedOn w:val="1"/>
    <w:qFormat/>
    <w:uiPriority w:val="34"/>
    <w:pPr>
      <w:ind w:firstLine="420" w:firstLineChars="200"/>
    </w:p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rFonts w:asciiTheme="minorHAnsi" w:hAnsiTheme="minorHAnsi" w:eastAsiaTheme="minorEastAsia" w:cstheme="minorBidi"/>
      <w:kern w:val="2"/>
      <w:sz w:val="18"/>
      <w:szCs w:val="18"/>
    </w:rPr>
  </w:style>
  <w:style w:type="paragraph" w:customStyle="1" w:styleId="11">
    <w:name w:val="5号_表格正文_左"/>
    <w:basedOn w:val="1"/>
    <w:qFormat/>
    <w:uiPriority w:val="0"/>
    <w:pPr>
      <w:widowControl w:val="0"/>
      <w:spacing w:before="40" w:after="40"/>
    </w:pPr>
    <w:rPr>
      <w:rFonts w:ascii="宋体" w:hAnsi="Calibri"/>
      <w:kern w:val="2"/>
      <w:sz w:val="21"/>
      <w:szCs w:val="21"/>
    </w:rPr>
  </w:style>
  <w:style w:type="paragraph" w:customStyle="1" w:styleId="12">
    <w:name w:val="表格正文_5"/>
    <w:basedOn w:val="1"/>
    <w:qFormat/>
    <w:uiPriority w:val="0"/>
    <w:pPr>
      <w:widowControl w:val="0"/>
      <w:spacing w:line="400" w:lineRule="exact"/>
      <w:textAlignment w:val="center"/>
    </w:pPr>
    <w:rPr>
      <w:rFonts w:ascii="宋体" w:hAnsi="Arial" w:cs="Arial"/>
      <w:bCs/>
      <w:color w:val="000000"/>
      <w:sz w:val="21"/>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192</Words>
  <Characters>1101</Characters>
  <Lines>9</Lines>
  <Paragraphs>2</Paragraphs>
  <TotalTime>72</TotalTime>
  <ScaleCrop>false</ScaleCrop>
  <LinksUpToDate>false</LinksUpToDate>
  <CharactersWithSpaces>1291</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2019-04-01T08:13:00Z</dcterms:created>
  <dc:creator>Apache POI</dc:creator>
  <cp:lastModifiedBy>ccb</cp:lastModifiedBy>
  <dcterms:modified xsi:type="dcterms:W3CDTF">2026-10-15T15:47:40Z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73C3D486B4F2DFB61C85D06A85C83001_43</vt:lpwstr>
  </property>
</Properties>
</file>