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9F7A79">
      <w:pPr>
        <w:adjustRightInd w:val="0"/>
        <w:snapToGrid w:val="0"/>
        <w:spacing w:line="360" w:lineRule="auto"/>
        <w:rPr>
          <w:rFonts w:hint="eastAsia" w:ascii="彩虹小标宋" w:hAnsi="宋体" w:eastAsia="彩虹小标宋"/>
          <w:snapToGrid w:val="0"/>
          <w:kern w:val="0"/>
          <w:sz w:val="36"/>
          <w:szCs w:val="36"/>
        </w:rPr>
      </w:pPr>
      <w:r>
        <w:rPr>
          <w:rFonts w:hint="eastAsia" w:ascii="彩虹小标宋" w:hAnsi="宋体" w:eastAsia="彩虹小标宋"/>
          <w:snapToGrid w:val="0"/>
          <w:kern w:val="0"/>
          <w:sz w:val="36"/>
          <w:szCs w:val="36"/>
        </w:rPr>
        <w:t>梧州市住房公积金管理中心与银行数据互联互通</w:t>
      </w:r>
    </w:p>
    <w:p w14:paraId="4AA6EE8F">
      <w:pPr>
        <w:adjustRightInd w:val="0"/>
        <w:snapToGrid w:val="0"/>
        <w:spacing w:line="360" w:lineRule="auto"/>
        <w:ind w:firstLine="720" w:firstLineChars="200"/>
        <w:rPr>
          <w:rFonts w:ascii="彩虹粗仿宋" w:hAnsi="宋体" w:eastAsia="彩虹粗仿宋" w:cs="Times New Roman"/>
          <w:snapToGrid w:val="0"/>
          <w:color w:val="FF0000"/>
          <w:kern w:val="0"/>
          <w:sz w:val="32"/>
          <w:szCs w:val="32"/>
        </w:rPr>
      </w:pPr>
      <w:r>
        <w:rPr>
          <w:rFonts w:hint="eastAsia" w:ascii="彩虹小标宋" w:hAnsi="宋体" w:eastAsia="彩虹小标宋"/>
          <w:snapToGrid w:val="0"/>
          <w:kern w:val="0"/>
          <w:sz w:val="36"/>
          <w:szCs w:val="36"/>
        </w:rPr>
        <w:t>系统升级改造建设信息化项目采购需求</w:t>
      </w:r>
    </w:p>
    <w:p w14:paraId="4B57AF11">
      <w:pPr>
        <w:spacing w:line="360" w:lineRule="auto"/>
        <w:ind w:firstLine="643" w:firstLineChars="200"/>
        <w:rPr>
          <w:rFonts w:ascii="彩虹粗仿宋" w:hAnsi="宋体" w:eastAsia="彩虹粗仿宋"/>
          <w:color w:val="FF0000"/>
          <w:sz w:val="32"/>
          <w:szCs w:val="32"/>
        </w:rPr>
      </w:pPr>
      <w:r>
        <w:rPr>
          <w:rFonts w:hint="eastAsia" w:ascii="彩虹粗仿宋" w:hAnsi="宋体" w:eastAsia="彩虹粗仿宋"/>
          <w:b/>
          <w:sz w:val="32"/>
          <w:szCs w:val="32"/>
        </w:rPr>
        <w:t>一、采购内容及功能要求</w:t>
      </w:r>
    </w:p>
    <w:p w14:paraId="40C06331">
      <w:pPr>
        <w:spacing w:line="360" w:lineRule="auto"/>
        <w:ind w:firstLine="640" w:firstLineChars="200"/>
        <w:rPr>
          <w:rFonts w:hint="eastAsia" w:ascii="彩虹粗仿宋" w:eastAsia="彩虹粗仿宋"/>
          <w:sz w:val="32"/>
          <w:szCs w:val="32"/>
          <w:lang w:val="en-US" w:eastAsia="zh-CN"/>
        </w:rPr>
      </w:pPr>
      <w:r>
        <w:rPr>
          <w:rFonts w:hint="eastAsia" w:ascii="彩虹粗仿宋" w:hAnsi="宋体" w:eastAsia="彩虹粗仿宋"/>
          <w:color w:val="auto"/>
          <w:sz w:val="32"/>
          <w:szCs w:val="32"/>
        </w:rPr>
        <w:t>梧州市住房公积金管理中心与银行数据互联互通系统升级改造建设信息化项目需采购</w:t>
      </w:r>
      <w:r>
        <w:rPr>
          <w:rFonts w:hint="eastAsia" w:ascii="彩虹粗仿宋" w:hAnsi="仿宋" w:eastAsia="彩虹粗仿宋"/>
          <w:color w:val="auto"/>
          <w:sz w:val="32"/>
          <w:szCs w:val="32"/>
        </w:rPr>
        <w:t>住房公积金管理系统软件</w:t>
      </w:r>
      <w:r>
        <w:rPr>
          <w:rFonts w:hint="eastAsia" w:ascii="彩虹粗仿宋" w:eastAsia="彩虹粗仿宋"/>
          <w:color w:val="auto"/>
          <w:sz w:val="32"/>
          <w:szCs w:val="32"/>
        </w:rPr>
        <w:t>一套</w:t>
      </w:r>
      <w:r>
        <w:rPr>
          <w:rFonts w:hint="eastAsia" w:ascii="彩虹粗仿宋" w:eastAsia="彩虹粗仿宋"/>
          <w:color w:val="auto"/>
          <w:sz w:val="32"/>
          <w:szCs w:val="32"/>
          <w:lang w:val="en-US" w:eastAsia="zh-CN"/>
        </w:rPr>
        <w:t>，</w:t>
      </w:r>
      <w:r>
        <w:rPr>
          <w:rFonts w:hint="eastAsia" w:ascii="彩虹粗仿宋" w:eastAsia="彩虹粗仿宋"/>
          <w:sz w:val="32"/>
          <w:szCs w:val="32"/>
          <w:lang w:val="en-US" w:eastAsia="zh-CN"/>
        </w:rPr>
        <w:t>详细采购内容如下：</w:t>
      </w:r>
    </w:p>
    <w:tbl>
      <w:tblPr>
        <w:tblStyle w:val="5"/>
        <w:tblW w:w="80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85"/>
        <w:gridCol w:w="1050"/>
        <w:gridCol w:w="4425"/>
        <w:gridCol w:w="975"/>
        <w:gridCol w:w="1050"/>
      </w:tblGrid>
      <w:tr w14:paraId="03E5EC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1B88D">
            <w:pPr>
              <w:keepNext w:val="0"/>
              <w:keepLines w:val="0"/>
              <w:widowControl/>
              <w:suppressLineNumbers w:val="0"/>
              <w:jc w:val="center"/>
              <w:textAlignment w:val="center"/>
              <w:rPr>
                <w:rFonts w:ascii="彩虹粗仿宋" w:hAnsi="彩虹粗仿宋" w:eastAsia="彩虹粗仿宋" w:cs="彩虹粗仿宋"/>
                <w:b/>
                <w:bCs/>
                <w:i w:val="0"/>
                <w:iCs w:val="0"/>
                <w:color w:val="000000"/>
                <w:sz w:val="24"/>
                <w:szCs w:val="24"/>
                <w:u w:val="none"/>
              </w:rPr>
            </w:pPr>
            <w:r>
              <w:rPr>
                <w:rFonts w:hint="eastAsia" w:ascii="彩虹粗仿宋" w:hAnsi="彩虹粗仿宋" w:eastAsia="彩虹粗仿宋" w:cs="彩虹粗仿宋"/>
                <w:b/>
                <w:bCs/>
                <w:i w:val="0"/>
                <w:iCs w:val="0"/>
                <w:color w:val="000000"/>
                <w:kern w:val="0"/>
                <w:sz w:val="24"/>
                <w:szCs w:val="24"/>
                <w:u w:val="none"/>
                <w:lang w:val="en-US" w:eastAsia="zh-CN" w:bidi="ar"/>
              </w:rPr>
              <w:t>序号</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AF489">
            <w:pPr>
              <w:keepNext w:val="0"/>
              <w:keepLines w:val="0"/>
              <w:widowControl/>
              <w:suppressLineNumbers w:val="0"/>
              <w:jc w:val="center"/>
              <w:textAlignment w:val="center"/>
              <w:rPr>
                <w:rFonts w:hint="eastAsia" w:ascii="彩虹粗仿宋" w:hAnsi="彩虹粗仿宋" w:eastAsia="彩虹粗仿宋" w:cs="彩虹粗仿宋"/>
                <w:b/>
                <w:bCs/>
                <w:i w:val="0"/>
                <w:iCs w:val="0"/>
                <w:color w:val="000000"/>
                <w:sz w:val="24"/>
                <w:szCs w:val="24"/>
                <w:u w:val="none"/>
              </w:rPr>
            </w:pPr>
            <w:r>
              <w:rPr>
                <w:rFonts w:hint="eastAsia" w:ascii="彩虹粗仿宋" w:hAnsi="彩虹粗仿宋" w:eastAsia="彩虹粗仿宋" w:cs="彩虹粗仿宋"/>
                <w:b/>
                <w:bCs/>
                <w:i w:val="0"/>
                <w:iCs w:val="0"/>
                <w:color w:val="000000"/>
                <w:kern w:val="0"/>
                <w:sz w:val="24"/>
                <w:szCs w:val="24"/>
                <w:u w:val="none"/>
                <w:lang w:val="en-US" w:eastAsia="zh-CN" w:bidi="ar"/>
              </w:rPr>
              <w:t>类型</w:t>
            </w:r>
          </w:p>
        </w:tc>
        <w:tc>
          <w:tcPr>
            <w:tcW w:w="4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A8944">
            <w:pPr>
              <w:keepNext w:val="0"/>
              <w:keepLines w:val="0"/>
              <w:widowControl/>
              <w:suppressLineNumbers w:val="0"/>
              <w:jc w:val="center"/>
              <w:textAlignment w:val="center"/>
              <w:rPr>
                <w:rFonts w:hint="eastAsia" w:ascii="彩虹粗仿宋" w:hAnsi="彩虹粗仿宋" w:eastAsia="彩虹粗仿宋" w:cs="彩虹粗仿宋"/>
                <w:b/>
                <w:bCs/>
                <w:i w:val="0"/>
                <w:iCs w:val="0"/>
                <w:color w:val="000000"/>
                <w:sz w:val="24"/>
                <w:szCs w:val="24"/>
                <w:u w:val="none"/>
              </w:rPr>
            </w:pPr>
            <w:r>
              <w:rPr>
                <w:rFonts w:hint="eastAsia" w:ascii="彩虹粗仿宋" w:hAnsi="彩虹粗仿宋" w:eastAsia="彩虹粗仿宋" w:cs="彩虹粗仿宋"/>
                <w:b/>
                <w:bCs/>
                <w:i w:val="0"/>
                <w:iCs w:val="0"/>
                <w:color w:val="000000"/>
                <w:kern w:val="0"/>
                <w:sz w:val="24"/>
                <w:szCs w:val="24"/>
                <w:u w:val="none"/>
                <w:lang w:val="en-US" w:eastAsia="zh-CN" w:bidi="ar"/>
              </w:rPr>
              <w:t>名称</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5A1D5">
            <w:pPr>
              <w:keepNext w:val="0"/>
              <w:keepLines w:val="0"/>
              <w:widowControl/>
              <w:suppressLineNumbers w:val="0"/>
              <w:jc w:val="center"/>
              <w:textAlignment w:val="center"/>
              <w:rPr>
                <w:rFonts w:hint="eastAsia" w:ascii="彩虹粗仿宋" w:hAnsi="彩虹粗仿宋" w:eastAsia="彩虹粗仿宋" w:cs="彩虹粗仿宋"/>
                <w:b/>
                <w:bCs/>
                <w:i w:val="0"/>
                <w:iCs w:val="0"/>
                <w:color w:val="000000"/>
                <w:sz w:val="24"/>
                <w:szCs w:val="24"/>
                <w:u w:val="none"/>
              </w:rPr>
            </w:pPr>
            <w:r>
              <w:rPr>
                <w:rFonts w:hint="eastAsia" w:ascii="彩虹粗仿宋" w:hAnsi="彩虹粗仿宋" w:eastAsia="彩虹粗仿宋" w:cs="彩虹粗仿宋"/>
                <w:b/>
                <w:bCs/>
                <w:i w:val="0"/>
                <w:iCs w:val="0"/>
                <w:color w:val="000000"/>
                <w:kern w:val="0"/>
                <w:sz w:val="24"/>
                <w:szCs w:val="24"/>
                <w:u w:val="none"/>
                <w:lang w:val="en-US" w:eastAsia="zh-CN" w:bidi="ar"/>
              </w:rPr>
              <w:t>数量</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662F1">
            <w:pPr>
              <w:keepNext w:val="0"/>
              <w:keepLines w:val="0"/>
              <w:widowControl/>
              <w:suppressLineNumbers w:val="0"/>
              <w:jc w:val="center"/>
              <w:textAlignment w:val="center"/>
              <w:rPr>
                <w:rFonts w:hint="eastAsia" w:ascii="彩虹粗仿宋" w:hAnsi="彩虹粗仿宋" w:eastAsia="彩虹粗仿宋" w:cs="彩虹粗仿宋"/>
                <w:b/>
                <w:bCs/>
                <w:i w:val="0"/>
                <w:iCs w:val="0"/>
                <w:color w:val="000000"/>
                <w:sz w:val="24"/>
                <w:szCs w:val="24"/>
                <w:u w:val="none"/>
              </w:rPr>
            </w:pPr>
            <w:r>
              <w:rPr>
                <w:rFonts w:hint="eastAsia" w:ascii="彩虹粗仿宋" w:hAnsi="彩虹粗仿宋" w:eastAsia="彩虹粗仿宋" w:cs="彩虹粗仿宋"/>
                <w:b/>
                <w:bCs/>
                <w:i w:val="0"/>
                <w:iCs w:val="0"/>
                <w:color w:val="000000"/>
                <w:kern w:val="0"/>
                <w:sz w:val="24"/>
                <w:szCs w:val="24"/>
                <w:u w:val="none"/>
                <w:lang w:val="en-US" w:eastAsia="zh-CN" w:bidi="ar"/>
              </w:rPr>
              <w:t>单位</w:t>
            </w:r>
          </w:p>
        </w:tc>
      </w:tr>
      <w:tr w14:paraId="4AEA6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C278D">
            <w:pPr>
              <w:keepNext w:val="0"/>
              <w:keepLines w:val="0"/>
              <w:widowControl/>
              <w:suppressLineNumbers w:val="0"/>
              <w:jc w:val="center"/>
              <w:textAlignment w:val="center"/>
              <w:rPr>
                <w:rFonts w:hint="eastAsia" w:ascii="彩虹粗仿宋" w:hAnsi="彩虹粗仿宋" w:eastAsia="彩虹粗仿宋" w:cs="彩虹粗仿宋"/>
                <w:i w:val="0"/>
                <w:iCs w:val="0"/>
                <w:color w:val="000000"/>
                <w:sz w:val="24"/>
                <w:szCs w:val="24"/>
                <w:u w:val="none"/>
              </w:rPr>
            </w:pPr>
            <w:r>
              <w:rPr>
                <w:rFonts w:hint="eastAsia" w:ascii="彩虹粗仿宋" w:hAnsi="彩虹粗仿宋" w:eastAsia="彩虹粗仿宋" w:cs="彩虹粗仿宋"/>
                <w:i w:val="0"/>
                <w:iCs w:val="0"/>
                <w:color w:val="000000"/>
                <w:kern w:val="0"/>
                <w:sz w:val="24"/>
                <w:szCs w:val="24"/>
                <w:u w:val="none"/>
                <w:lang w:val="en-US" w:eastAsia="zh-CN" w:bidi="ar"/>
              </w:rPr>
              <w:t>1</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681A1">
            <w:pPr>
              <w:keepNext w:val="0"/>
              <w:keepLines w:val="0"/>
              <w:widowControl/>
              <w:suppressLineNumbers w:val="0"/>
              <w:jc w:val="center"/>
              <w:textAlignment w:val="center"/>
              <w:rPr>
                <w:rFonts w:hint="eastAsia" w:ascii="彩虹粗仿宋" w:hAnsi="彩虹粗仿宋" w:eastAsia="彩虹粗仿宋" w:cs="彩虹粗仿宋"/>
                <w:i w:val="0"/>
                <w:iCs w:val="0"/>
                <w:color w:val="000000"/>
                <w:sz w:val="24"/>
                <w:szCs w:val="24"/>
                <w:u w:val="none"/>
              </w:rPr>
            </w:pPr>
            <w:r>
              <w:rPr>
                <w:rFonts w:hint="eastAsia" w:ascii="彩虹粗仿宋" w:hAnsi="彩虹粗仿宋" w:eastAsia="彩虹粗仿宋" w:cs="彩虹粗仿宋"/>
                <w:i w:val="0"/>
                <w:iCs w:val="0"/>
                <w:color w:val="000000"/>
                <w:kern w:val="0"/>
                <w:sz w:val="24"/>
                <w:szCs w:val="24"/>
                <w:u w:val="none"/>
                <w:lang w:val="en-US" w:eastAsia="zh-CN" w:bidi="ar"/>
              </w:rPr>
              <w:t>软件</w:t>
            </w:r>
          </w:p>
        </w:tc>
        <w:tc>
          <w:tcPr>
            <w:tcW w:w="4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4701A">
            <w:pPr>
              <w:keepNext w:val="0"/>
              <w:keepLines w:val="0"/>
              <w:widowControl/>
              <w:suppressLineNumbers w:val="0"/>
              <w:jc w:val="center"/>
              <w:textAlignment w:val="center"/>
              <w:rPr>
                <w:rFonts w:hint="eastAsia" w:ascii="彩虹粗仿宋" w:hAnsi="彩虹粗仿宋" w:eastAsia="彩虹粗仿宋" w:cs="彩虹粗仿宋"/>
                <w:i w:val="0"/>
                <w:iCs w:val="0"/>
                <w:color w:val="000000"/>
                <w:sz w:val="24"/>
                <w:szCs w:val="24"/>
                <w:u w:val="none"/>
              </w:rPr>
            </w:pPr>
            <w:r>
              <w:rPr>
                <w:rFonts w:hint="eastAsia" w:ascii="彩虹粗仿宋" w:hAnsi="彩虹粗仿宋" w:eastAsia="彩虹粗仿宋" w:cs="彩虹粗仿宋"/>
                <w:i w:val="0"/>
                <w:iCs w:val="0"/>
                <w:color w:val="000000"/>
                <w:kern w:val="0"/>
                <w:sz w:val="24"/>
                <w:szCs w:val="24"/>
                <w:u w:val="none"/>
                <w:lang w:val="en-US" w:eastAsia="zh-CN" w:bidi="ar"/>
              </w:rPr>
              <w:t>住房公积金管理系统软件</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644D1">
            <w:pPr>
              <w:keepNext w:val="0"/>
              <w:keepLines w:val="0"/>
              <w:widowControl/>
              <w:suppressLineNumbers w:val="0"/>
              <w:jc w:val="center"/>
              <w:textAlignment w:val="center"/>
              <w:rPr>
                <w:rFonts w:hint="eastAsia" w:ascii="彩虹粗仿宋" w:hAnsi="彩虹粗仿宋" w:eastAsia="彩虹粗仿宋" w:cs="彩虹粗仿宋"/>
                <w:i w:val="0"/>
                <w:iCs w:val="0"/>
                <w:color w:val="000000"/>
                <w:sz w:val="24"/>
                <w:szCs w:val="24"/>
                <w:u w:val="none"/>
              </w:rPr>
            </w:pPr>
            <w:r>
              <w:rPr>
                <w:rFonts w:hint="eastAsia" w:ascii="彩虹粗仿宋" w:hAnsi="彩虹粗仿宋" w:eastAsia="彩虹粗仿宋" w:cs="彩虹粗仿宋"/>
                <w:i w:val="0"/>
                <w:iCs w:val="0"/>
                <w:color w:val="000000"/>
                <w:kern w:val="0"/>
                <w:sz w:val="24"/>
                <w:szCs w:val="24"/>
                <w:u w:val="none"/>
                <w:lang w:val="en-US" w:eastAsia="zh-CN" w:bidi="ar"/>
              </w:rPr>
              <w:t>1</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989A1">
            <w:pPr>
              <w:keepNext w:val="0"/>
              <w:keepLines w:val="0"/>
              <w:widowControl/>
              <w:suppressLineNumbers w:val="0"/>
              <w:jc w:val="center"/>
              <w:textAlignment w:val="center"/>
              <w:rPr>
                <w:rFonts w:hint="eastAsia" w:ascii="彩虹粗仿宋" w:hAnsi="彩虹粗仿宋" w:eastAsia="彩虹粗仿宋" w:cs="彩虹粗仿宋"/>
                <w:i w:val="0"/>
                <w:iCs w:val="0"/>
                <w:color w:val="000000"/>
                <w:sz w:val="24"/>
                <w:szCs w:val="24"/>
                <w:u w:val="none"/>
              </w:rPr>
            </w:pPr>
            <w:r>
              <w:rPr>
                <w:rFonts w:hint="eastAsia" w:ascii="彩虹粗仿宋" w:hAnsi="彩虹粗仿宋" w:eastAsia="彩虹粗仿宋" w:cs="彩虹粗仿宋"/>
                <w:i w:val="0"/>
                <w:iCs w:val="0"/>
                <w:color w:val="000000"/>
                <w:kern w:val="0"/>
                <w:sz w:val="24"/>
                <w:szCs w:val="24"/>
                <w:u w:val="none"/>
                <w:lang w:val="en-US" w:eastAsia="zh-CN" w:bidi="ar"/>
              </w:rPr>
              <w:t>套</w:t>
            </w:r>
          </w:p>
        </w:tc>
      </w:tr>
    </w:tbl>
    <w:p w14:paraId="54DBC5EB">
      <w:pPr>
        <w:spacing w:line="360" w:lineRule="auto"/>
        <w:ind w:firstLine="640" w:firstLineChars="200"/>
        <w:rPr>
          <w:rFonts w:hint="eastAsia" w:ascii="彩虹粗仿宋" w:eastAsia="彩虹粗仿宋"/>
          <w:sz w:val="32"/>
          <w:szCs w:val="32"/>
          <w:lang w:val="en-US" w:eastAsia="zh-CN"/>
        </w:rPr>
      </w:pPr>
    </w:p>
    <w:p w14:paraId="68521217">
      <w:pPr>
        <w:spacing w:line="360" w:lineRule="auto"/>
        <w:ind w:firstLine="640" w:firstLineChars="200"/>
        <w:rPr>
          <w:rFonts w:hint="default" w:ascii="彩虹粗仿宋" w:eastAsia="彩虹粗仿宋"/>
          <w:sz w:val="32"/>
          <w:szCs w:val="32"/>
          <w:lang w:val="en-US" w:eastAsia="zh-CN"/>
        </w:rPr>
      </w:pPr>
      <w:r>
        <w:rPr>
          <w:rFonts w:hint="eastAsia" w:ascii="彩虹粗仿宋" w:eastAsia="彩虹粗仿宋"/>
          <w:sz w:val="32"/>
          <w:szCs w:val="32"/>
          <w:lang w:val="en-US" w:eastAsia="zh-CN"/>
        </w:rPr>
        <w:t>采购软件各子功能要求如下：</w:t>
      </w:r>
    </w:p>
    <w:tbl>
      <w:tblPr>
        <w:tblStyle w:val="5"/>
        <w:tblW w:w="4847" w:type="pct"/>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autofit"/>
        <w:tblCellMar>
          <w:top w:w="0" w:type="dxa"/>
          <w:left w:w="57" w:type="dxa"/>
          <w:bottom w:w="0" w:type="dxa"/>
          <w:right w:w="57" w:type="dxa"/>
        </w:tblCellMar>
      </w:tblPr>
      <w:tblGrid>
        <w:gridCol w:w="1161"/>
        <w:gridCol w:w="1439"/>
        <w:gridCol w:w="5562"/>
      </w:tblGrid>
      <w:tr w14:paraId="0886C36D">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820" w:hRule="atLeast"/>
          <w:jc w:val="center"/>
        </w:trPr>
        <w:tc>
          <w:tcPr>
            <w:tcW w:w="711" w:type="pct"/>
            <w:tcBorders>
              <w:top w:val="single" w:color="auto" w:sz="4" w:space="0"/>
              <w:left w:val="single" w:color="auto" w:sz="4" w:space="0"/>
              <w:bottom w:val="single" w:color="auto" w:sz="4" w:space="0"/>
            </w:tcBorders>
            <w:shd w:val="clear" w:color="auto" w:fill="E6E6E6"/>
          </w:tcPr>
          <w:p w14:paraId="1F4B2102">
            <w:pPr>
              <w:tabs>
                <w:tab w:val="left" w:pos="420"/>
              </w:tabs>
              <w:adjustRightInd w:val="0"/>
              <w:snapToGrid w:val="0"/>
              <w:spacing w:line="400" w:lineRule="exact"/>
              <w:jc w:val="both"/>
              <w:textAlignment w:val="center"/>
              <w:rPr>
                <w:rFonts w:hint="eastAsia" w:asciiTheme="minorEastAsia" w:hAnsiTheme="minorEastAsia" w:eastAsiaTheme="minorEastAsia" w:cstheme="minorEastAsia"/>
                <w:b/>
                <w:bCs w:val="0"/>
                <w:color w:val="auto"/>
                <w:sz w:val="22"/>
                <w:szCs w:val="22"/>
                <w:shd w:val="clear" w:color="auto" w:fill="auto"/>
                <w:lang w:val="zh-CN"/>
              </w:rPr>
            </w:pPr>
            <w:r>
              <w:rPr>
                <w:rFonts w:hint="eastAsia" w:asciiTheme="minorEastAsia" w:hAnsiTheme="minorEastAsia" w:eastAsiaTheme="minorEastAsia" w:cstheme="minorEastAsia"/>
                <w:b/>
                <w:bCs w:val="0"/>
                <w:color w:val="auto"/>
                <w:sz w:val="22"/>
                <w:szCs w:val="22"/>
                <w:shd w:val="clear" w:color="auto" w:fill="auto"/>
                <w:lang w:val="zh-CN"/>
              </w:rPr>
              <w:t>设备(软件）名称</w:t>
            </w:r>
          </w:p>
        </w:tc>
        <w:tc>
          <w:tcPr>
            <w:tcW w:w="881" w:type="pct"/>
            <w:tcBorders>
              <w:top w:val="single" w:color="auto" w:sz="4" w:space="0"/>
              <w:bottom w:val="single" w:color="auto" w:sz="4" w:space="0"/>
            </w:tcBorders>
            <w:shd w:val="clear" w:color="auto" w:fill="E6E6E6"/>
          </w:tcPr>
          <w:p w14:paraId="5DAA215F">
            <w:pPr>
              <w:tabs>
                <w:tab w:val="left" w:pos="420"/>
              </w:tabs>
              <w:adjustRightInd w:val="0"/>
              <w:snapToGrid w:val="0"/>
              <w:spacing w:line="400" w:lineRule="exact"/>
              <w:jc w:val="both"/>
              <w:textAlignment w:val="center"/>
              <w:rPr>
                <w:rFonts w:hint="eastAsia" w:asciiTheme="minorEastAsia" w:hAnsiTheme="minorEastAsia" w:eastAsiaTheme="minorEastAsia" w:cstheme="minorEastAsia"/>
                <w:b/>
                <w:bCs w:val="0"/>
                <w:color w:val="auto"/>
                <w:sz w:val="22"/>
                <w:szCs w:val="22"/>
                <w:shd w:val="clear" w:color="auto" w:fill="auto"/>
                <w:lang w:val="zh-CN"/>
              </w:rPr>
            </w:pPr>
            <w:r>
              <w:rPr>
                <w:rFonts w:hint="eastAsia" w:asciiTheme="minorEastAsia" w:hAnsiTheme="minorEastAsia" w:eastAsiaTheme="minorEastAsia" w:cstheme="minorEastAsia"/>
                <w:b/>
                <w:bCs w:val="0"/>
                <w:color w:val="auto"/>
                <w:sz w:val="22"/>
                <w:szCs w:val="22"/>
                <w:shd w:val="clear" w:color="auto" w:fill="auto"/>
                <w:lang w:val="zh-CN"/>
              </w:rPr>
              <w:t>子功能</w:t>
            </w:r>
          </w:p>
        </w:tc>
        <w:tc>
          <w:tcPr>
            <w:tcW w:w="3406" w:type="pct"/>
            <w:tcBorders>
              <w:top w:val="single" w:color="auto" w:sz="4" w:space="0"/>
              <w:bottom w:val="single" w:color="auto" w:sz="4" w:space="0"/>
            </w:tcBorders>
            <w:shd w:val="clear" w:color="auto" w:fill="E6E6E6"/>
          </w:tcPr>
          <w:p w14:paraId="6E306035">
            <w:pPr>
              <w:tabs>
                <w:tab w:val="left" w:pos="420"/>
              </w:tabs>
              <w:adjustRightInd w:val="0"/>
              <w:snapToGrid w:val="0"/>
              <w:spacing w:line="400" w:lineRule="exact"/>
              <w:jc w:val="both"/>
              <w:textAlignment w:val="center"/>
              <w:rPr>
                <w:rFonts w:hint="eastAsia" w:asciiTheme="minorEastAsia" w:hAnsiTheme="minorEastAsia" w:eastAsiaTheme="minorEastAsia" w:cstheme="minorEastAsia"/>
                <w:b/>
                <w:bCs w:val="0"/>
                <w:color w:val="auto"/>
                <w:sz w:val="22"/>
                <w:szCs w:val="22"/>
                <w:shd w:val="clear" w:color="auto" w:fill="auto"/>
                <w:lang w:val="zh-CN"/>
              </w:rPr>
            </w:pPr>
            <w:r>
              <w:rPr>
                <w:rFonts w:hint="eastAsia" w:asciiTheme="minorEastAsia" w:hAnsiTheme="minorEastAsia" w:eastAsiaTheme="minorEastAsia" w:cstheme="minorEastAsia"/>
                <w:b/>
                <w:bCs w:val="0"/>
                <w:color w:val="auto"/>
                <w:sz w:val="22"/>
                <w:szCs w:val="22"/>
                <w:shd w:val="clear" w:color="auto" w:fill="auto"/>
                <w:lang w:val="zh-CN"/>
              </w:rPr>
              <w:t>功能配置说明</w:t>
            </w:r>
          </w:p>
        </w:tc>
      </w:tr>
      <w:tr w14:paraId="57F364C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784" w:hRule="atLeast"/>
          <w:jc w:val="center"/>
        </w:trPr>
        <w:tc>
          <w:tcPr>
            <w:tcW w:w="711" w:type="pct"/>
            <w:vMerge w:val="restart"/>
            <w:tcBorders>
              <w:top w:val="single" w:color="auto" w:sz="4" w:space="0"/>
            </w:tcBorders>
          </w:tcPr>
          <w:p w14:paraId="616A4F91">
            <w:pPr>
              <w:widowControl w:val="0"/>
              <w:tabs>
                <w:tab w:val="left" w:pos="142"/>
              </w:tabs>
              <w:spacing w:line="400" w:lineRule="exact"/>
              <w:jc w:val="both"/>
              <w:textAlignment w:val="center"/>
              <w:rPr>
                <w:rFonts w:hint="eastAsia" w:ascii="彩虹粗仿宋" w:hAnsi="彩虹粗仿宋" w:eastAsia="彩虹粗仿宋" w:cs="彩虹粗仿宋"/>
                <w:b/>
                <w:bCs/>
                <w:sz w:val="22"/>
                <w:szCs w:val="22"/>
              </w:rPr>
            </w:pPr>
          </w:p>
          <w:p w14:paraId="00DB91FD">
            <w:pPr>
              <w:widowControl w:val="0"/>
              <w:tabs>
                <w:tab w:val="left" w:pos="142"/>
              </w:tabs>
              <w:spacing w:line="400" w:lineRule="exact"/>
              <w:jc w:val="both"/>
              <w:textAlignment w:val="center"/>
              <w:rPr>
                <w:rFonts w:hint="eastAsia" w:ascii="彩虹粗仿宋" w:hAnsi="彩虹粗仿宋" w:eastAsia="彩虹粗仿宋" w:cs="彩虹粗仿宋"/>
                <w:b/>
                <w:bCs/>
                <w:sz w:val="22"/>
                <w:szCs w:val="22"/>
              </w:rPr>
            </w:pPr>
          </w:p>
          <w:p w14:paraId="63E08806">
            <w:pPr>
              <w:widowControl w:val="0"/>
              <w:tabs>
                <w:tab w:val="left" w:pos="142"/>
              </w:tabs>
              <w:spacing w:line="400" w:lineRule="exact"/>
              <w:jc w:val="both"/>
              <w:textAlignment w:val="center"/>
              <w:rPr>
                <w:rFonts w:hint="eastAsia" w:ascii="彩虹粗仿宋" w:hAnsi="彩虹粗仿宋" w:eastAsia="彩虹粗仿宋" w:cs="彩虹粗仿宋"/>
                <w:b/>
                <w:bCs/>
                <w:sz w:val="22"/>
                <w:szCs w:val="22"/>
              </w:rPr>
            </w:pPr>
          </w:p>
          <w:p w14:paraId="752F07D5">
            <w:pPr>
              <w:widowControl w:val="0"/>
              <w:tabs>
                <w:tab w:val="left" w:pos="142"/>
              </w:tabs>
              <w:spacing w:line="400" w:lineRule="exact"/>
              <w:jc w:val="both"/>
              <w:textAlignment w:val="center"/>
              <w:rPr>
                <w:rFonts w:hint="eastAsia" w:ascii="彩虹粗仿宋" w:hAnsi="彩虹粗仿宋" w:eastAsia="彩虹粗仿宋" w:cs="彩虹粗仿宋"/>
                <w:b/>
                <w:bCs/>
                <w:sz w:val="22"/>
                <w:szCs w:val="22"/>
              </w:rPr>
            </w:pPr>
          </w:p>
          <w:p w14:paraId="64DBAD53">
            <w:pPr>
              <w:widowControl w:val="0"/>
              <w:tabs>
                <w:tab w:val="left" w:pos="142"/>
              </w:tabs>
              <w:spacing w:line="400" w:lineRule="exact"/>
              <w:jc w:val="both"/>
              <w:textAlignment w:val="center"/>
              <w:rPr>
                <w:rFonts w:hint="eastAsia" w:ascii="彩虹粗仿宋" w:hAnsi="彩虹粗仿宋" w:eastAsia="彩虹粗仿宋" w:cs="彩虹粗仿宋"/>
                <w:b/>
                <w:bCs/>
                <w:sz w:val="22"/>
                <w:szCs w:val="22"/>
              </w:rPr>
            </w:pPr>
          </w:p>
          <w:p w14:paraId="16BCEB72">
            <w:pPr>
              <w:widowControl w:val="0"/>
              <w:tabs>
                <w:tab w:val="left" w:pos="142"/>
              </w:tabs>
              <w:spacing w:line="400" w:lineRule="exact"/>
              <w:jc w:val="both"/>
              <w:textAlignment w:val="center"/>
              <w:rPr>
                <w:rFonts w:hint="eastAsia" w:ascii="彩虹粗仿宋" w:hAnsi="彩虹粗仿宋" w:eastAsia="彩虹粗仿宋" w:cs="彩虹粗仿宋"/>
                <w:b/>
                <w:bCs/>
                <w:sz w:val="22"/>
                <w:szCs w:val="22"/>
              </w:rPr>
            </w:pPr>
          </w:p>
          <w:p w14:paraId="27440810">
            <w:pPr>
              <w:widowControl w:val="0"/>
              <w:tabs>
                <w:tab w:val="left" w:pos="142"/>
              </w:tabs>
              <w:spacing w:line="400" w:lineRule="exact"/>
              <w:jc w:val="both"/>
              <w:textAlignment w:val="center"/>
              <w:rPr>
                <w:rFonts w:hint="eastAsia" w:ascii="彩虹粗仿宋" w:hAnsi="彩虹粗仿宋" w:eastAsia="彩虹粗仿宋" w:cs="彩虹粗仿宋"/>
                <w:b/>
                <w:bCs/>
                <w:sz w:val="22"/>
                <w:szCs w:val="22"/>
              </w:rPr>
            </w:pPr>
          </w:p>
          <w:p w14:paraId="28C0F519">
            <w:pPr>
              <w:widowControl w:val="0"/>
              <w:tabs>
                <w:tab w:val="left" w:pos="142"/>
              </w:tabs>
              <w:spacing w:line="400" w:lineRule="exact"/>
              <w:jc w:val="both"/>
              <w:textAlignment w:val="center"/>
              <w:rPr>
                <w:rFonts w:hint="eastAsia" w:ascii="彩虹粗仿宋" w:hAnsi="彩虹粗仿宋" w:eastAsia="彩虹粗仿宋" w:cs="彩虹粗仿宋"/>
                <w:b/>
                <w:bCs/>
                <w:sz w:val="22"/>
                <w:szCs w:val="22"/>
              </w:rPr>
            </w:pPr>
          </w:p>
          <w:p w14:paraId="4DF86F73">
            <w:pPr>
              <w:widowControl w:val="0"/>
              <w:tabs>
                <w:tab w:val="left" w:pos="142"/>
              </w:tabs>
              <w:spacing w:line="400" w:lineRule="exact"/>
              <w:jc w:val="both"/>
              <w:textAlignment w:val="center"/>
              <w:rPr>
                <w:rFonts w:hint="eastAsia" w:ascii="彩虹粗仿宋" w:hAnsi="彩虹粗仿宋" w:eastAsia="彩虹粗仿宋" w:cs="彩虹粗仿宋"/>
                <w:b/>
                <w:bCs/>
                <w:sz w:val="22"/>
                <w:szCs w:val="22"/>
              </w:rPr>
            </w:pPr>
          </w:p>
          <w:p w14:paraId="5B063D95">
            <w:pPr>
              <w:widowControl w:val="0"/>
              <w:tabs>
                <w:tab w:val="left" w:pos="142"/>
              </w:tabs>
              <w:spacing w:line="400" w:lineRule="exact"/>
              <w:jc w:val="both"/>
              <w:textAlignment w:val="center"/>
              <w:rPr>
                <w:rFonts w:hint="eastAsia" w:ascii="彩虹粗仿宋" w:hAnsi="彩虹粗仿宋" w:eastAsia="彩虹粗仿宋" w:cs="彩虹粗仿宋"/>
                <w:b/>
                <w:bCs/>
                <w:sz w:val="22"/>
                <w:szCs w:val="22"/>
              </w:rPr>
            </w:pPr>
          </w:p>
          <w:p w14:paraId="6C4646EC">
            <w:pPr>
              <w:widowControl w:val="0"/>
              <w:tabs>
                <w:tab w:val="left" w:pos="142"/>
              </w:tabs>
              <w:spacing w:line="400" w:lineRule="exact"/>
              <w:jc w:val="both"/>
              <w:textAlignment w:val="center"/>
              <w:rPr>
                <w:rFonts w:hint="eastAsia" w:ascii="彩虹粗仿宋" w:hAnsi="彩虹粗仿宋" w:eastAsia="彩虹粗仿宋" w:cs="彩虹粗仿宋"/>
                <w:b/>
                <w:bCs/>
                <w:sz w:val="22"/>
                <w:szCs w:val="22"/>
              </w:rPr>
            </w:pPr>
          </w:p>
          <w:p w14:paraId="3D9001C1">
            <w:pPr>
              <w:widowControl w:val="0"/>
              <w:tabs>
                <w:tab w:val="left" w:pos="142"/>
              </w:tabs>
              <w:spacing w:line="400" w:lineRule="exact"/>
              <w:jc w:val="both"/>
              <w:textAlignment w:val="center"/>
              <w:rPr>
                <w:rFonts w:hint="eastAsia" w:ascii="彩虹粗仿宋" w:hAnsi="彩虹粗仿宋" w:eastAsia="彩虹粗仿宋" w:cs="彩虹粗仿宋"/>
                <w:b/>
                <w:bCs/>
                <w:sz w:val="22"/>
                <w:szCs w:val="22"/>
              </w:rPr>
            </w:pPr>
          </w:p>
          <w:p w14:paraId="00E2B900">
            <w:pPr>
              <w:widowControl w:val="0"/>
              <w:tabs>
                <w:tab w:val="left" w:pos="142"/>
              </w:tabs>
              <w:spacing w:line="400" w:lineRule="exact"/>
              <w:jc w:val="both"/>
              <w:textAlignment w:val="center"/>
              <w:rPr>
                <w:rFonts w:hint="eastAsia" w:ascii="彩虹粗仿宋" w:hAnsi="彩虹粗仿宋" w:eastAsia="彩虹粗仿宋" w:cs="彩虹粗仿宋"/>
                <w:b/>
                <w:bCs/>
                <w:sz w:val="22"/>
                <w:szCs w:val="22"/>
              </w:rPr>
            </w:pPr>
          </w:p>
          <w:p w14:paraId="4590EEB6">
            <w:pPr>
              <w:widowControl w:val="0"/>
              <w:tabs>
                <w:tab w:val="left" w:pos="142"/>
              </w:tabs>
              <w:spacing w:line="400" w:lineRule="exact"/>
              <w:jc w:val="both"/>
              <w:textAlignment w:val="center"/>
              <w:rPr>
                <w:rFonts w:hint="eastAsia" w:ascii="彩虹粗仿宋" w:hAnsi="彩虹粗仿宋" w:eastAsia="彩虹粗仿宋" w:cs="彩虹粗仿宋"/>
                <w:b/>
                <w:bCs/>
                <w:sz w:val="22"/>
                <w:szCs w:val="22"/>
              </w:rPr>
            </w:pPr>
          </w:p>
          <w:p w14:paraId="48E24FC1">
            <w:pPr>
              <w:widowControl w:val="0"/>
              <w:tabs>
                <w:tab w:val="left" w:pos="142"/>
              </w:tabs>
              <w:spacing w:line="400" w:lineRule="exact"/>
              <w:jc w:val="both"/>
              <w:textAlignment w:val="center"/>
              <w:rPr>
                <w:rFonts w:hint="eastAsia" w:ascii="彩虹粗仿宋" w:hAnsi="彩虹粗仿宋" w:eastAsia="彩虹粗仿宋" w:cs="彩虹粗仿宋"/>
                <w:b/>
                <w:bCs/>
                <w:sz w:val="22"/>
                <w:szCs w:val="22"/>
              </w:rPr>
            </w:pPr>
          </w:p>
          <w:p w14:paraId="709AF12A">
            <w:pPr>
              <w:widowControl w:val="0"/>
              <w:tabs>
                <w:tab w:val="left" w:pos="142"/>
              </w:tabs>
              <w:spacing w:line="400" w:lineRule="exact"/>
              <w:jc w:val="both"/>
              <w:textAlignment w:val="center"/>
              <w:rPr>
                <w:rFonts w:ascii="仿宋" w:hAnsi="仿宋" w:eastAsia="仿宋" w:cs="宋体"/>
                <w:szCs w:val="21"/>
              </w:rPr>
            </w:pPr>
            <w:r>
              <w:rPr>
                <w:rFonts w:hint="eastAsia" w:ascii="彩虹粗仿宋" w:hAnsi="彩虹粗仿宋" w:eastAsia="彩虹粗仿宋" w:cs="彩虹粗仿宋"/>
                <w:b/>
                <w:bCs/>
                <w:sz w:val="22"/>
                <w:szCs w:val="22"/>
              </w:rPr>
              <w:t>住房公积金管理系统软件</w:t>
            </w:r>
          </w:p>
        </w:tc>
        <w:tc>
          <w:tcPr>
            <w:tcW w:w="881" w:type="pct"/>
            <w:tcBorders>
              <w:top w:val="single" w:color="auto" w:sz="4" w:space="0"/>
            </w:tcBorders>
            <w:vAlign w:val="center"/>
          </w:tcPr>
          <w:p w14:paraId="19A65352">
            <w:pPr>
              <w:keepNext w:val="0"/>
              <w:keepLines w:val="0"/>
              <w:widowControl/>
              <w:suppressLineNumbers w:val="0"/>
              <w:jc w:val="left"/>
              <w:textAlignment w:val="center"/>
              <w:rPr>
                <w:rFonts w:ascii="仿宋" w:hAnsi="仿宋" w:eastAsia="仿宋" w:cs="Arial"/>
                <w:b/>
                <w:bCs/>
                <w:color w:val="000000"/>
                <w:lang w:val="zh-CN"/>
              </w:rPr>
            </w:pPr>
            <w:r>
              <w:rPr>
                <w:rFonts w:hint="eastAsia" w:ascii="彩虹粗仿宋" w:hAnsi="彩虹粗仿宋" w:eastAsia="彩虹粗仿宋" w:cs="彩虹粗仿宋"/>
                <w:i w:val="0"/>
                <w:iCs w:val="0"/>
                <w:color w:val="000000"/>
                <w:kern w:val="0"/>
                <w:sz w:val="24"/>
                <w:szCs w:val="24"/>
                <w:u w:val="none"/>
                <w:lang w:val="en-US" w:eastAsia="zh-CN" w:bidi="ar"/>
              </w:rPr>
              <w:t>数据源切换配置管理</w:t>
            </w:r>
          </w:p>
        </w:tc>
        <w:tc>
          <w:tcPr>
            <w:tcW w:w="3406" w:type="pct"/>
            <w:tcBorders>
              <w:top w:val="single" w:color="auto" w:sz="4" w:space="0"/>
              <w:right w:val="single" w:color="auto" w:sz="4" w:space="0"/>
            </w:tcBorders>
            <w:shd w:val="clear" w:color="auto" w:fill="auto"/>
            <w:vAlign w:val="center"/>
          </w:tcPr>
          <w:p w14:paraId="2390181E">
            <w:pPr>
              <w:keepNext w:val="0"/>
              <w:keepLines w:val="0"/>
              <w:widowControl/>
              <w:suppressLineNumbers w:val="0"/>
              <w:jc w:val="left"/>
              <w:textAlignment w:val="center"/>
              <w:rPr>
                <w:rFonts w:ascii="仿宋" w:hAnsi="仿宋" w:eastAsia="仿宋" w:cs="仿宋"/>
                <w:i w:val="0"/>
                <w:iCs w:val="0"/>
                <w:color w:val="000000"/>
                <w:kern w:val="2"/>
                <w:sz w:val="22"/>
                <w:szCs w:val="22"/>
                <w:u w:val="none"/>
                <w:lang w:val="zh-CN" w:eastAsia="zh-CN" w:bidi="ar-SA"/>
              </w:rPr>
            </w:pPr>
            <w:r>
              <w:rPr>
                <w:rFonts w:hint="eastAsia" w:ascii="彩虹粗仿宋" w:hAnsi="彩虹粗仿宋" w:eastAsia="彩虹粗仿宋" w:cs="彩虹粗仿宋"/>
                <w:i w:val="0"/>
                <w:iCs w:val="0"/>
                <w:color w:val="000000"/>
                <w:kern w:val="0"/>
                <w:sz w:val="24"/>
                <w:szCs w:val="24"/>
                <w:u w:val="none"/>
                <w:lang w:val="en-US" w:eastAsia="zh-CN" w:bidi="ar"/>
              </w:rPr>
              <w:t>实现新旧数据源动态切换，支持配置化管理，保障迁移期间业务连续性</w:t>
            </w:r>
          </w:p>
        </w:tc>
      </w:tr>
      <w:tr w14:paraId="15AE3DF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405" w:hRule="atLeast"/>
          <w:jc w:val="center"/>
        </w:trPr>
        <w:tc>
          <w:tcPr>
            <w:tcW w:w="711" w:type="pct"/>
            <w:vMerge w:val="continue"/>
          </w:tcPr>
          <w:p w14:paraId="40F5FE06">
            <w:pPr>
              <w:tabs>
                <w:tab w:val="left" w:pos="142"/>
              </w:tabs>
              <w:spacing w:line="400" w:lineRule="exact"/>
              <w:ind w:left="256" w:hanging="114"/>
              <w:jc w:val="both"/>
              <w:textAlignment w:val="center"/>
              <w:rPr>
                <w:rFonts w:ascii="仿宋" w:hAnsi="仿宋" w:eastAsia="仿宋" w:cs="宋体"/>
                <w:szCs w:val="21"/>
              </w:rPr>
            </w:pPr>
          </w:p>
        </w:tc>
        <w:tc>
          <w:tcPr>
            <w:tcW w:w="881" w:type="pct"/>
            <w:vAlign w:val="center"/>
          </w:tcPr>
          <w:p w14:paraId="50C0E7ED">
            <w:pPr>
              <w:keepNext w:val="0"/>
              <w:keepLines w:val="0"/>
              <w:widowControl/>
              <w:suppressLineNumbers w:val="0"/>
              <w:jc w:val="left"/>
              <w:textAlignment w:val="center"/>
              <w:rPr>
                <w:rFonts w:ascii="仿宋" w:hAnsi="仿宋" w:eastAsia="仿宋" w:cs="Arial"/>
                <w:b/>
                <w:bCs/>
                <w:color w:val="000000"/>
                <w:lang w:val="zh-CN"/>
              </w:rPr>
            </w:pPr>
            <w:r>
              <w:rPr>
                <w:rFonts w:hint="eastAsia" w:ascii="彩虹粗仿宋" w:hAnsi="彩虹粗仿宋" w:eastAsia="彩虹粗仿宋" w:cs="彩虹粗仿宋"/>
                <w:i w:val="0"/>
                <w:iCs w:val="0"/>
                <w:color w:val="000000"/>
                <w:kern w:val="0"/>
                <w:sz w:val="24"/>
                <w:szCs w:val="24"/>
                <w:u w:val="none"/>
                <w:lang w:val="en-US" w:eastAsia="zh-CN" w:bidi="ar"/>
              </w:rPr>
              <w:t>历史缴存数据查询接口</w:t>
            </w:r>
          </w:p>
        </w:tc>
        <w:tc>
          <w:tcPr>
            <w:tcW w:w="3406" w:type="pct"/>
            <w:tcBorders>
              <w:bottom w:val="single" w:color="auto" w:sz="4" w:space="0"/>
              <w:right w:val="single" w:color="auto" w:sz="4" w:space="0"/>
            </w:tcBorders>
            <w:shd w:val="clear" w:color="auto" w:fill="auto"/>
            <w:vAlign w:val="center"/>
          </w:tcPr>
          <w:p w14:paraId="151B5C89">
            <w:pPr>
              <w:keepNext w:val="0"/>
              <w:keepLines w:val="0"/>
              <w:widowControl/>
              <w:suppressLineNumbers w:val="0"/>
              <w:jc w:val="left"/>
              <w:textAlignment w:val="center"/>
              <w:rPr>
                <w:rFonts w:ascii="仿宋" w:hAnsi="仿宋" w:eastAsia="仿宋" w:cs="仿宋"/>
                <w:i w:val="0"/>
                <w:iCs w:val="0"/>
                <w:color w:val="000000"/>
                <w:kern w:val="2"/>
                <w:sz w:val="22"/>
                <w:szCs w:val="22"/>
                <w:u w:val="none"/>
                <w:lang w:val="zh-CN" w:eastAsia="zh-CN" w:bidi="ar-SA"/>
              </w:rPr>
            </w:pPr>
            <w:r>
              <w:rPr>
                <w:rFonts w:hint="eastAsia" w:ascii="彩虹粗仿宋" w:hAnsi="彩虹粗仿宋" w:eastAsia="彩虹粗仿宋" w:cs="彩虹粗仿宋"/>
                <w:i w:val="0"/>
                <w:iCs w:val="0"/>
                <w:color w:val="000000"/>
                <w:kern w:val="0"/>
                <w:sz w:val="24"/>
                <w:szCs w:val="24"/>
                <w:u w:val="none"/>
                <w:lang w:val="en-US" w:eastAsia="zh-CN" w:bidi="ar"/>
              </w:rPr>
              <w:t>查询2007年前及2007-2012年迁移历史数据，返回完整缴存、提取、贷款及财务凭证记录，支持多条件组合查询</w:t>
            </w:r>
          </w:p>
        </w:tc>
      </w:tr>
      <w:tr w14:paraId="71C5135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405" w:hRule="atLeast"/>
          <w:jc w:val="center"/>
        </w:trPr>
        <w:tc>
          <w:tcPr>
            <w:tcW w:w="711" w:type="pct"/>
            <w:vMerge w:val="continue"/>
          </w:tcPr>
          <w:p w14:paraId="7D2163FF">
            <w:pPr>
              <w:tabs>
                <w:tab w:val="left" w:pos="142"/>
              </w:tabs>
              <w:spacing w:line="400" w:lineRule="exact"/>
              <w:ind w:left="256" w:hanging="114"/>
              <w:jc w:val="both"/>
              <w:textAlignment w:val="center"/>
              <w:rPr>
                <w:rFonts w:ascii="仿宋" w:hAnsi="仿宋" w:eastAsia="仿宋" w:cs="宋体"/>
                <w:szCs w:val="21"/>
              </w:rPr>
            </w:pPr>
          </w:p>
        </w:tc>
        <w:tc>
          <w:tcPr>
            <w:tcW w:w="881" w:type="pct"/>
            <w:vAlign w:val="center"/>
          </w:tcPr>
          <w:p w14:paraId="3C325D59">
            <w:pPr>
              <w:keepNext w:val="0"/>
              <w:keepLines w:val="0"/>
              <w:widowControl/>
              <w:suppressLineNumbers w:val="0"/>
              <w:jc w:val="left"/>
              <w:textAlignment w:val="center"/>
              <w:rPr>
                <w:rFonts w:ascii="仿宋" w:hAnsi="仿宋" w:eastAsia="仿宋" w:cs="Arial"/>
                <w:bCs/>
                <w:color w:val="000000"/>
                <w:lang w:val="zh-CN"/>
              </w:rPr>
            </w:pPr>
            <w:r>
              <w:rPr>
                <w:rFonts w:hint="eastAsia" w:ascii="彩虹粗仿宋" w:hAnsi="彩虹粗仿宋" w:eastAsia="彩虹粗仿宋" w:cs="彩虹粗仿宋"/>
                <w:i w:val="0"/>
                <w:iCs w:val="0"/>
                <w:color w:val="000000"/>
                <w:kern w:val="0"/>
                <w:sz w:val="24"/>
                <w:szCs w:val="24"/>
                <w:u w:val="none"/>
                <w:lang w:val="en-US" w:eastAsia="zh-CN" w:bidi="ar"/>
              </w:rPr>
              <w:t>新旧系统数据字段映射转换</w:t>
            </w:r>
          </w:p>
        </w:tc>
        <w:tc>
          <w:tcPr>
            <w:tcW w:w="3406" w:type="pct"/>
            <w:tcBorders>
              <w:bottom w:val="single" w:color="auto" w:sz="4" w:space="0"/>
              <w:right w:val="single" w:color="auto" w:sz="4" w:space="0"/>
            </w:tcBorders>
            <w:shd w:val="clear" w:color="auto" w:fill="auto"/>
            <w:vAlign w:val="center"/>
          </w:tcPr>
          <w:p w14:paraId="28119449">
            <w:pPr>
              <w:keepNext w:val="0"/>
              <w:keepLines w:val="0"/>
              <w:widowControl/>
              <w:suppressLineNumbers w:val="0"/>
              <w:jc w:val="left"/>
              <w:textAlignment w:val="center"/>
              <w:rPr>
                <w:rFonts w:ascii="仿宋" w:hAnsi="仿宋" w:eastAsia="仿宋" w:cs="仿宋"/>
                <w:i w:val="0"/>
                <w:iCs w:val="0"/>
                <w:color w:val="000000"/>
                <w:kern w:val="2"/>
                <w:sz w:val="22"/>
                <w:szCs w:val="22"/>
                <w:u w:val="none"/>
                <w:lang w:val="zh-CN" w:eastAsia="zh-CN" w:bidi="ar-SA"/>
              </w:rPr>
            </w:pPr>
            <w:r>
              <w:rPr>
                <w:rFonts w:hint="eastAsia" w:ascii="彩虹粗仿宋" w:hAnsi="彩虹粗仿宋" w:eastAsia="彩虹粗仿宋" w:cs="彩虹粗仿宋"/>
                <w:i w:val="0"/>
                <w:iCs w:val="0"/>
                <w:color w:val="000000"/>
                <w:kern w:val="0"/>
                <w:sz w:val="24"/>
                <w:szCs w:val="24"/>
                <w:u w:val="none"/>
                <w:lang w:val="en-US" w:eastAsia="zh-CN" w:bidi="ar"/>
              </w:rPr>
              <w:t>建立新旧系统字段对照表，开发数据格式自动转换引擎，支持自定义映射规则配置</w:t>
            </w:r>
          </w:p>
        </w:tc>
      </w:tr>
      <w:tr w14:paraId="36FC831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405" w:hRule="atLeast"/>
          <w:jc w:val="center"/>
        </w:trPr>
        <w:tc>
          <w:tcPr>
            <w:tcW w:w="711" w:type="pct"/>
            <w:vMerge w:val="continue"/>
          </w:tcPr>
          <w:p w14:paraId="2AD3A6A3">
            <w:pPr>
              <w:tabs>
                <w:tab w:val="left" w:pos="142"/>
              </w:tabs>
              <w:spacing w:line="400" w:lineRule="exact"/>
              <w:ind w:left="256" w:hanging="114"/>
              <w:jc w:val="both"/>
              <w:textAlignment w:val="center"/>
              <w:rPr>
                <w:rFonts w:ascii="仿宋" w:hAnsi="仿宋" w:eastAsia="仿宋" w:cs="宋体"/>
                <w:szCs w:val="21"/>
              </w:rPr>
            </w:pPr>
          </w:p>
        </w:tc>
        <w:tc>
          <w:tcPr>
            <w:tcW w:w="881" w:type="pct"/>
            <w:vAlign w:val="center"/>
          </w:tcPr>
          <w:p w14:paraId="0A300F7C">
            <w:pPr>
              <w:keepNext w:val="0"/>
              <w:keepLines w:val="0"/>
              <w:widowControl/>
              <w:suppressLineNumbers w:val="0"/>
              <w:jc w:val="left"/>
              <w:textAlignment w:val="center"/>
              <w:rPr>
                <w:rFonts w:ascii="仿宋" w:hAnsi="仿宋" w:eastAsia="仿宋" w:cs="Arial"/>
                <w:bCs/>
                <w:color w:val="000000"/>
                <w:lang w:val="zh-CN"/>
              </w:rPr>
            </w:pPr>
            <w:r>
              <w:rPr>
                <w:rFonts w:hint="eastAsia" w:ascii="彩虹粗仿宋" w:hAnsi="彩虹粗仿宋" w:eastAsia="彩虹粗仿宋" w:cs="彩虹粗仿宋"/>
                <w:i w:val="0"/>
                <w:iCs w:val="0"/>
                <w:color w:val="000000"/>
                <w:kern w:val="0"/>
                <w:sz w:val="24"/>
                <w:szCs w:val="24"/>
                <w:u w:val="none"/>
                <w:lang w:val="en-US" w:eastAsia="zh-CN" w:bidi="ar"/>
              </w:rPr>
              <w:t>历史数据完整性校验程序</w:t>
            </w:r>
          </w:p>
        </w:tc>
        <w:tc>
          <w:tcPr>
            <w:tcW w:w="3406" w:type="pct"/>
            <w:tcBorders>
              <w:bottom w:val="single" w:color="auto" w:sz="4" w:space="0"/>
              <w:right w:val="single" w:color="auto" w:sz="4" w:space="0"/>
            </w:tcBorders>
            <w:shd w:val="clear" w:color="auto" w:fill="auto"/>
            <w:vAlign w:val="center"/>
          </w:tcPr>
          <w:p w14:paraId="19A826A2">
            <w:pPr>
              <w:keepNext w:val="0"/>
              <w:keepLines w:val="0"/>
              <w:widowControl/>
              <w:suppressLineNumbers w:val="0"/>
              <w:jc w:val="left"/>
              <w:textAlignment w:val="center"/>
              <w:rPr>
                <w:rFonts w:ascii="仿宋" w:hAnsi="仿宋" w:eastAsia="仿宋" w:cs="仿宋"/>
                <w:i w:val="0"/>
                <w:iCs w:val="0"/>
                <w:color w:val="000000"/>
                <w:kern w:val="2"/>
                <w:sz w:val="22"/>
                <w:szCs w:val="22"/>
                <w:u w:val="none"/>
                <w:lang w:val="en-US" w:eastAsia="zh-CN" w:bidi="ar-SA"/>
              </w:rPr>
            </w:pPr>
            <w:r>
              <w:rPr>
                <w:rFonts w:hint="eastAsia" w:ascii="彩虹粗仿宋" w:hAnsi="彩虹粗仿宋" w:eastAsia="彩虹粗仿宋" w:cs="彩虹粗仿宋"/>
                <w:i w:val="0"/>
                <w:iCs w:val="0"/>
                <w:color w:val="000000"/>
                <w:kern w:val="0"/>
                <w:sz w:val="24"/>
                <w:szCs w:val="24"/>
                <w:u w:val="none"/>
                <w:lang w:val="en-US" w:eastAsia="zh-CN" w:bidi="ar"/>
              </w:rPr>
              <w:t>校验迁移后数据完整性和一致性，自动生成差异报告及修复建议，支持批量校验和增量校验模式</w:t>
            </w:r>
          </w:p>
        </w:tc>
      </w:tr>
      <w:tr w14:paraId="0B82C2E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380" w:hRule="atLeast"/>
          <w:jc w:val="center"/>
        </w:trPr>
        <w:tc>
          <w:tcPr>
            <w:tcW w:w="711" w:type="pct"/>
            <w:vMerge w:val="continue"/>
          </w:tcPr>
          <w:p w14:paraId="0AB22304">
            <w:pPr>
              <w:tabs>
                <w:tab w:val="left" w:pos="142"/>
              </w:tabs>
              <w:spacing w:line="400" w:lineRule="exact"/>
              <w:ind w:left="256" w:hanging="114"/>
              <w:jc w:val="both"/>
              <w:textAlignment w:val="center"/>
              <w:rPr>
                <w:rFonts w:ascii="仿宋" w:hAnsi="仿宋" w:eastAsia="仿宋" w:cs="宋体"/>
                <w:szCs w:val="21"/>
              </w:rPr>
            </w:pPr>
          </w:p>
        </w:tc>
        <w:tc>
          <w:tcPr>
            <w:tcW w:w="881" w:type="pct"/>
            <w:vAlign w:val="center"/>
          </w:tcPr>
          <w:p w14:paraId="57537338">
            <w:pPr>
              <w:keepNext w:val="0"/>
              <w:keepLines w:val="0"/>
              <w:widowControl/>
              <w:suppressLineNumbers w:val="0"/>
              <w:jc w:val="left"/>
              <w:textAlignment w:val="center"/>
              <w:rPr>
                <w:rFonts w:ascii="仿宋" w:hAnsi="仿宋" w:eastAsia="仿宋" w:cs="Arial"/>
                <w:bCs/>
                <w:color w:val="000000"/>
                <w:lang w:val="zh-CN"/>
              </w:rPr>
            </w:pPr>
            <w:r>
              <w:rPr>
                <w:rFonts w:hint="eastAsia" w:ascii="彩虹粗仿宋" w:hAnsi="彩虹粗仿宋" w:eastAsia="彩虹粗仿宋" w:cs="彩虹粗仿宋"/>
                <w:i w:val="0"/>
                <w:iCs w:val="0"/>
                <w:color w:val="000000"/>
                <w:kern w:val="0"/>
                <w:sz w:val="24"/>
                <w:szCs w:val="24"/>
                <w:u w:val="none"/>
                <w:lang w:val="en-US" w:eastAsia="zh-CN" w:bidi="ar"/>
              </w:rPr>
              <w:t>商贷数据查询接口升级</w:t>
            </w:r>
          </w:p>
        </w:tc>
        <w:tc>
          <w:tcPr>
            <w:tcW w:w="3406" w:type="pct"/>
            <w:tcBorders>
              <w:top w:val="single" w:color="auto" w:sz="4" w:space="0"/>
              <w:right w:val="single" w:color="auto" w:sz="4" w:space="0"/>
            </w:tcBorders>
            <w:vAlign w:val="center"/>
          </w:tcPr>
          <w:p w14:paraId="374EE05B">
            <w:pPr>
              <w:keepNext w:val="0"/>
              <w:keepLines w:val="0"/>
              <w:widowControl/>
              <w:suppressLineNumbers w:val="0"/>
              <w:jc w:val="left"/>
              <w:textAlignment w:val="center"/>
              <w:rPr>
                <w:rFonts w:ascii="仿宋" w:hAnsi="仿宋" w:eastAsia="仿宋" w:cs="Arial"/>
                <w:bCs/>
                <w:color w:val="000000"/>
                <w:lang w:val="zh-CN"/>
              </w:rPr>
            </w:pPr>
            <w:r>
              <w:rPr>
                <w:rFonts w:hint="eastAsia" w:ascii="彩虹粗仿宋" w:hAnsi="彩虹粗仿宋" w:eastAsia="彩虹粗仿宋" w:cs="彩虹粗仿宋"/>
                <w:i w:val="0"/>
                <w:iCs w:val="0"/>
                <w:color w:val="000000"/>
                <w:kern w:val="0"/>
                <w:sz w:val="24"/>
                <w:szCs w:val="24"/>
                <w:u w:val="none"/>
                <w:lang w:val="en-US" w:eastAsia="zh-CN" w:bidi="ar"/>
              </w:rPr>
              <w:t>扩展接口返回字段，增加历史贷款合同、还款记录及还款计划明细查询功能</w:t>
            </w:r>
          </w:p>
        </w:tc>
      </w:tr>
      <w:tr w14:paraId="0CCA653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457" w:hRule="atLeast"/>
          <w:jc w:val="center"/>
        </w:trPr>
        <w:tc>
          <w:tcPr>
            <w:tcW w:w="711" w:type="pct"/>
            <w:vMerge w:val="continue"/>
          </w:tcPr>
          <w:p w14:paraId="2C0200D0">
            <w:pPr>
              <w:tabs>
                <w:tab w:val="left" w:pos="142"/>
              </w:tabs>
              <w:spacing w:line="400" w:lineRule="exact"/>
              <w:ind w:left="256" w:hanging="114"/>
              <w:jc w:val="both"/>
              <w:textAlignment w:val="center"/>
              <w:rPr>
                <w:rFonts w:ascii="仿宋" w:hAnsi="仿宋" w:eastAsia="仿宋" w:cs="宋体"/>
                <w:szCs w:val="21"/>
              </w:rPr>
            </w:pPr>
          </w:p>
        </w:tc>
        <w:tc>
          <w:tcPr>
            <w:tcW w:w="881" w:type="pct"/>
            <w:vAlign w:val="center"/>
          </w:tcPr>
          <w:p w14:paraId="460319F3">
            <w:pPr>
              <w:keepNext w:val="0"/>
              <w:keepLines w:val="0"/>
              <w:widowControl/>
              <w:suppressLineNumbers w:val="0"/>
              <w:jc w:val="left"/>
              <w:textAlignment w:val="center"/>
              <w:rPr>
                <w:rFonts w:ascii="仿宋" w:hAnsi="仿宋" w:eastAsia="仿宋" w:cs="Arial"/>
                <w:bCs/>
                <w:color w:val="000000"/>
                <w:lang w:val="zh-CN"/>
              </w:rPr>
            </w:pPr>
            <w:r>
              <w:rPr>
                <w:rFonts w:hint="eastAsia" w:ascii="彩虹粗仿宋" w:hAnsi="彩虹粗仿宋" w:eastAsia="彩虹粗仿宋" w:cs="彩虹粗仿宋"/>
                <w:i w:val="0"/>
                <w:iCs w:val="0"/>
                <w:color w:val="000000"/>
                <w:kern w:val="0"/>
                <w:sz w:val="24"/>
                <w:szCs w:val="24"/>
                <w:u w:val="none"/>
                <w:lang w:val="en-US" w:eastAsia="zh-CN" w:bidi="ar"/>
              </w:rPr>
              <w:t>个人信息查询接口升级</w:t>
            </w:r>
          </w:p>
        </w:tc>
        <w:tc>
          <w:tcPr>
            <w:tcW w:w="3406" w:type="pct"/>
            <w:tcBorders>
              <w:right w:val="single" w:color="auto" w:sz="4" w:space="0"/>
            </w:tcBorders>
            <w:shd w:val="clear" w:color="auto" w:fill="auto"/>
            <w:vAlign w:val="center"/>
          </w:tcPr>
          <w:p w14:paraId="7DBCC523">
            <w:pPr>
              <w:keepNext w:val="0"/>
              <w:keepLines w:val="0"/>
              <w:widowControl/>
              <w:suppressLineNumbers w:val="0"/>
              <w:jc w:val="left"/>
              <w:textAlignment w:val="center"/>
              <w:rPr>
                <w:rFonts w:ascii="仿宋" w:hAnsi="仿宋" w:eastAsia="仿宋" w:cs="仿宋"/>
                <w:i w:val="0"/>
                <w:iCs w:val="0"/>
                <w:color w:val="000000"/>
                <w:kern w:val="2"/>
                <w:sz w:val="22"/>
                <w:szCs w:val="22"/>
                <w:u w:val="none"/>
                <w:lang w:val="en-US" w:eastAsia="zh-CN" w:bidi="ar-SA"/>
              </w:rPr>
            </w:pPr>
            <w:r>
              <w:rPr>
                <w:rFonts w:hint="eastAsia" w:ascii="彩虹粗仿宋" w:hAnsi="彩虹粗仿宋" w:eastAsia="彩虹粗仿宋" w:cs="彩虹粗仿宋"/>
                <w:i w:val="0"/>
                <w:iCs w:val="0"/>
                <w:color w:val="000000"/>
                <w:kern w:val="0"/>
                <w:sz w:val="24"/>
                <w:szCs w:val="24"/>
                <w:u w:val="none"/>
                <w:lang w:val="en-US" w:eastAsia="zh-CN" w:bidi="ar"/>
              </w:rPr>
              <w:t>整合三套历史系统数据，返回完整缴存记录时间线及账户状态变更历史，提供数据溯源功能</w:t>
            </w:r>
          </w:p>
        </w:tc>
      </w:tr>
      <w:tr w14:paraId="23D8FF7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391" w:hRule="atLeast"/>
          <w:jc w:val="center"/>
        </w:trPr>
        <w:tc>
          <w:tcPr>
            <w:tcW w:w="711" w:type="pct"/>
            <w:vMerge w:val="continue"/>
          </w:tcPr>
          <w:p w14:paraId="7BD8AE7F">
            <w:pPr>
              <w:tabs>
                <w:tab w:val="left" w:pos="142"/>
              </w:tabs>
              <w:spacing w:line="400" w:lineRule="exact"/>
              <w:ind w:left="256" w:hanging="114"/>
              <w:jc w:val="both"/>
              <w:textAlignment w:val="center"/>
              <w:rPr>
                <w:rFonts w:ascii="仿宋" w:hAnsi="仿宋" w:eastAsia="仿宋" w:cs="宋体"/>
                <w:szCs w:val="21"/>
              </w:rPr>
            </w:pPr>
          </w:p>
        </w:tc>
        <w:tc>
          <w:tcPr>
            <w:tcW w:w="881" w:type="pct"/>
            <w:vAlign w:val="center"/>
          </w:tcPr>
          <w:p w14:paraId="388BB00A">
            <w:pPr>
              <w:keepNext w:val="0"/>
              <w:keepLines w:val="0"/>
              <w:widowControl/>
              <w:suppressLineNumbers w:val="0"/>
              <w:jc w:val="left"/>
              <w:textAlignment w:val="center"/>
              <w:rPr>
                <w:rFonts w:ascii="仿宋" w:hAnsi="仿宋" w:eastAsia="仿宋" w:cs="Arial"/>
                <w:bCs/>
                <w:color w:val="000000"/>
                <w:lang w:val="zh-CN"/>
              </w:rPr>
            </w:pPr>
            <w:r>
              <w:rPr>
                <w:rFonts w:hint="eastAsia" w:ascii="彩虹粗仿宋" w:hAnsi="彩虹粗仿宋" w:eastAsia="彩虹粗仿宋" w:cs="彩虹粗仿宋"/>
                <w:i w:val="0"/>
                <w:iCs w:val="0"/>
                <w:color w:val="000000"/>
                <w:kern w:val="0"/>
                <w:sz w:val="24"/>
                <w:szCs w:val="24"/>
                <w:u w:val="none"/>
                <w:lang w:val="en-US" w:eastAsia="zh-CN" w:bidi="ar"/>
              </w:rPr>
              <w:t>电子回单接口升级</w:t>
            </w:r>
          </w:p>
        </w:tc>
        <w:tc>
          <w:tcPr>
            <w:tcW w:w="3406" w:type="pct"/>
            <w:tcBorders>
              <w:right w:val="single" w:color="auto" w:sz="4" w:space="0"/>
            </w:tcBorders>
            <w:shd w:val="clear" w:color="auto" w:fill="auto"/>
            <w:vAlign w:val="center"/>
          </w:tcPr>
          <w:p w14:paraId="0BB83C77">
            <w:pPr>
              <w:keepNext w:val="0"/>
              <w:keepLines w:val="0"/>
              <w:widowControl/>
              <w:suppressLineNumbers w:val="0"/>
              <w:jc w:val="left"/>
              <w:textAlignment w:val="center"/>
              <w:rPr>
                <w:rFonts w:ascii="仿宋" w:hAnsi="仿宋" w:eastAsia="仿宋" w:cs="仿宋"/>
                <w:i w:val="0"/>
                <w:iCs w:val="0"/>
                <w:color w:val="000000"/>
                <w:kern w:val="2"/>
                <w:sz w:val="22"/>
                <w:szCs w:val="22"/>
                <w:u w:val="none"/>
                <w:lang w:val="zh-CN" w:eastAsia="zh-CN" w:bidi="ar-SA"/>
              </w:rPr>
            </w:pPr>
            <w:r>
              <w:rPr>
                <w:rFonts w:hint="eastAsia" w:ascii="彩虹粗仿宋" w:hAnsi="彩虹粗仿宋" w:eastAsia="彩虹粗仿宋" w:cs="彩虹粗仿宋"/>
                <w:i w:val="0"/>
                <w:iCs w:val="0"/>
                <w:color w:val="000000"/>
                <w:kern w:val="0"/>
                <w:sz w:val="24"/>
                <w:szCs w:val="24"/>
                <w:u w:val="none"/>
                <w:lang w:val="en-US" w:eastAsia="zh-CN" w:bidi="ar"/>
              </w:rPr>
              <w:t>支持按日期范围批量下载电子回单PDF，新增通过回单编号在线验真功能</w:t>
            </w:r>
          </w:p>
        </w:tc>
      </w:tr>
      <w:tr w14:paraId="42E98AE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391" w:hRule="atLeast"/>
          <w:jc w:val="center"/>
        </w:trPr>
        <w:tc>
          <w:tcPr>
            <w:tcW w:w="711" w:type="pct"/>
            <w:vMerge w:val="continue"/>
          </w:tcPr>
          <w:p w14:paraId="586614FE">
            <w:pPr>
              <w:tabs>
                <w:tab w:val="left" w:pos="142"/>
              </w:tabs>
              <w:spacing w:line="400" w:lineRule="exact"/>
              <w:ind w:left="256" w:hanging="114"/>
              <w:jc w:val="both"/>
              <w:textAlignment w:val="center"/>
              <w:rPr>
                <w:rFonts w:ascii="仿宋" w:hAnsi="仿宋" w:eastAsia="仿宋" w:cs="宋体"/>
                <w:szCs w:val="21"/>
              </w:rPr>
            </w:pPr>
          </w:p>
        </w:tc>
        <w:tc>
          <w:tcPr>
            <w:tcW w:w="881" w:type="pct"/>
            <w:vAlign w:val="center"/>
          </w:tcPr>
          <w:p w14:paraId="5E49C529">
            <w:pPr>
              <w:keepNext w:val="0"/>
              <w:keepLines w:val="0"/>
              <w:widowControl/>
              <w:suppressLineNumbers w:val="0"/>
              <w:jc w:val="left"/>
              <w:textAlignment w:val="center"/>
              <w:rPr>
                <w:rFonts w:ascii="仿宋" w:hAnsi="仿宋" w:eastAsia="仿宋" w:cs="Arial"/>
                <w:bCs/>
                <w:color w:val="000000"/>
                <w:lang w:val="zh-CN"/>
              </w:rPr>
            </w:pPr>
            <w:r>
              <w:rPr>
                <w:rFonts w:hint="eastAsia" w:ascii="彩虹粗仿宋" w:hAnsi="彩虹粗仿宋" w:eastAsia="彩虹粗仿宋" w:cs="彩虹粗仿宋"/>
                <w:i w:val="0"/>
                <w:iCs w:val="0"/>
                <w:color w:val="000000"/>
                <w:kern w:val="0"/>
                <w:sz w:val="24"/>
                <w:szCs w:val="24"/>
                <w:u w:val="none"/>
                <w:lang w:val="en-US" w:eastAsia="zh-CN" w:bidi="ar"/>
              </w:rPr>
              <w:t>电子对账单接口升级</w:t>
            </w:r>
          </w:p>
        </w:tc>
        <w:tc>
          <w:tcPr>
            <w:tcW w:w="3406" w:type="pct"/>
            <w:tcBorders>
              <w:bottom w:val="single" w:color="auto" w:sz="4" w:space="0"/>
              <w:right w:val="single" w:color="auto" w:sz="4" w:space="0"/>
            </w:tcBorders>
            <w:shd w:val="clear" w:color="auto" w:fill="auto"/>
            <w:vAlign w:val="center"/>
          </w:tcPr>
          <w:p w14:paraId="2870A1F2">
            <w:pPr>
              <w:keepNext w:val="0"/>
              <w:keepLines w:val="0"/>
              <w:widowControl/>
              <w:suppressLineNumbers w:val="0"/>
              <w:jc w:val="left"/>
              <w:textAlignment w:val="center"/>
              <w:rPr>
                <w:rFonts w:ascii="仿宋" w:hAnsi="仿宋" w:eastAsia="仿宋" w:cs="仿宋"/>
                <w:i w:val="0"/>
                <w:iCs w:val="0"/>
                <w:color w:val="000000"/>
                <w:kern w:val="2"/>
                <w:sz w:val="22"/>
                <w:szCs w:val="22"/>
                <w:u w:val="none"/>
                <w:lang w:val="zh-CN" w:eastAsia="zh-CN" w:bidi="ar-SA"/>
              </w:rPr>
            </w:pPr>
            <w:r>
              <w:rPr>
                <w:rFonts w:hint="eastAsia" w:ascii="彩虹粗仿宋" w:hAnsi="彩虹粗仿宋" w:eastAsia="彩虹粗仿宋" w:cs="彩虹粗仿宋"/>
                <w:i w:val="0"/>
                <w:iCs w:val="0"/>
                <w:color w:val="000000"/>
                <w:kern w:val="0"/>
                <w:sz w:val="24"/>
                <w:szCs w:val="24"/>
                <w:u w:val="none"/>
                <w:lang w:val="en-US" w:eastAsia="zh-CN" w:bidi="ar"/>
              </w:rPr>
              <w:t>优化大数据量分页查询性能，增加按账户、日期维度的收支汇总统计功能，支持导出 Excel 格式</w:t>
            </w:r>
          </w:p>
        </w:tc>
      </w:tr>
      <w:tr w14:paraId="562A79A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391" w:hRule="atLeast"/>
          <w:jc w:val="center"/>
        </w:trPr>
        <w:tc>
          <w:tcPr>
            <w:tcW w:w="711" w:type="pct"/>
            <w:vMerge w:val="continue"/>
          </w:tcPr>
          <w:p w14:paraId="5743CF33">
            <w:pPr>
              <w:tabs>
                <w:tab w:val="left" w:pos="142"/>
              </w:tabs>
              <w:spacing w:line="400" w:lineRule="exact"/>
              <w:ind w:left="256" w:hanging="114"/>
              <w:jc w:val="both"/>
              <w:textAlignment w:val="center"/>
              <w:rPr>
                <w:rFonts w:ascii="仿宋" w:hAnsi="仿宋" w:eastAsia="仿宋" w:cs="宋体"/>
                <w:szCs w:val="21"/>
              </w:rPr>
            </w:pPr>
          </w:p>
        </w:tc>
        <w:tc>
          <w:tcPr>
            <w:tcW w:w="881" w:type="pct"/>
            <w:vAlign w:val="center"/>
          </w:tcPr>
          <w:p w14:paraId="44265EAE">
            <w:pPr>
              <w:keepNext w:val="0"/>
              <w:keepLines w:val="0"/>
              <w:widowControl/>
              <w:suppressLineNumbers w:val="0"/>
              <w:jc w:val="left"/>
              <w:textAlignment w:val="center"/>
              <w:rPr>
                <w:rFonts w:hint="eastAsia" w:ascii="彩虹粗仿宋" w:hAnsi="彩虹粗仿宋" w:eastAsia="彩虹粗仿宋" w:cs="彩虹粗仿宋"/>
                <w:b/>
                <w:bCs w:val="0"/>
                <w:color w:val="000000"/>
                <w:sz w:val="22"/>
                <w:szCs w:val="22"/>
                <w:lang w:val="zh-CN"/>
              </w:rPr>
            </w:pPr>
            <w:r>
              <w:rPr>
                <w:rFonts w:hint="eastAsia" w:ascii="彩虹粗仿宋" w:hAnsi="彩虹粗仿宋" w:eastAsia="彩虹粗仿宋" w:cs="彩虹粗仿宋"/>
                <w:i w:val="0"/>
                <w:iCs w:val="0"/>
                <w:color w:val="000000"/>
                <w:kern w:val="0"/>
                <w:sz w:val="24"/>
                <w:szCs w:val="24"/>
                <w:u w:val="none"/>
                <w:lang w:val="en-US" w:eastAsia="zh-CN" w:bidi="ar"/>
              </w:rPr>
              <w:t>缴存信息查询接口升级</w:t>
            </w:r>
          </w:p>
        </w:tc>
        <w:tc>
          <w:tcPr>
            <w:tcW w:w="3406" w:type="pct"/>
            <w:tcBorders>
              <w:bottom w:val="single" w:color="auto" w:sz="4" w:space="0"/>
              <w:right w:val="single" w:color="auto" w:sz="4" w:space="0"/>
            </w:tcBorders>
            <w:shd w:val="clear" w:color="auto" w:fill="auto"/>
            <w:vAlign w:val="center"/>
          </w:tcPr>
          <w:p w14:paraId="2A32BF01">
            <w:pPr>
              <w:keepNext w:val="0"/>
              <w:keepLines w:val="0"/>
              <w:widowControl/>
              <w:suppressLineNumbers w:val="0"/>
              <w:jc w:val="left"/>
              <w:textAlignment w:val="center"/>
              <w:rPr>
                <w:rFonts w:hint="eastAsia" w:ascii="仿宋" w:hAnsi="仿宋" w:eastAsia="仿宋" w:cs="仿宋"/>
                <w:i w:val="0"/>
                <w:iCs w:val="0"/>
                <w:color w:val="000000"/>
                <w:kern w:val="2"/>
                <w:sz w:val="22"/>
                <w:szCs w:val="22"/>
                <w:u w:val="none"/>
                <w:lang w:val="en-US" w:eastAsia="zh-CN" w:bidi="ar-SA"/>
              </w:rPr>
            </w:pPr>
            <w:r>
              <w:rPr>
                <w:rFonts w:hint="eastAsia" w:ascii="彩虹粗仿宋" w:hAnsi="彩虹粗仿宋" w:eastAsia="彩虹粗仿宋" w:cs="彩虹粗仿宋"/>
                <w:i w:val="0"/>
                <w:iCs w:val="0"/>
                <w:color w:val="000000"/>
                <w:kern w:val="0"/>
                <w:sz w:val="24"/>
                <w:szCs w:val="24"/>
                <w:u w:val="none"/>
                <w:lang w:val="en-US" w:eastAsia="zh-CN" w:bidi="ar"/>
              </w:rPr>
              <w:t>在原有XML报文基础上增加JSON格式支持，提升数据传输效率和兼容性，支持 RESTful 风格调用</w:t>
            </w:r>
          </w:p>
        </w:tc>
      </w:tr>
      <w:tr w14:paraId="76AD8C8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391" w:hRule="atLeast"/>
          <w:jc w:val="center"/>
        </w:trPr>
        <w:tc>
          <w:tcPr>
            <w:tcW w:w="711" w:type="pct"/>
            <w:vMerge w:val="continue"/>
          </w:tcPr>
          <w:p w14:paraId="7778F34D">
            <w:pPr>
              <w:tabs>
                <w:tab w:val="left" w:pos="142"/>
              </w:tabs>
              <w:spacing w:line="400" w:lineRule="exact"/>
              <w:ind w:left="256" w:hanging="114"/>
              <w:jc w:val="both"/>
              <w:textAlignment w:val="center"/>
              <w:rPr>
                <w:rFonts w:ascii="仿宋" w:hAnsi="仿宋" w:eastAsia="仿宋" w:cs="宋体"/>
                <w:szCs w:val="21"/>
              </w:rPr>
            </w:pPr>
          </w:p>
        </w:tc>
        <w:tc>
          <w:tcPr>
            <w:tcW w:w="881" w:type="pct"/>
            <w:vAlign w:val="center"/>
          </w:tcPr>
          <w:p w14:paraId="73EC2A90">
            <w:pPr>
              <w:keepNext w:val="0"/>
              <w:keepLines w:val="0"/>
              <w:widowControl/>
              <w:suppressLineNumbers w:val="0"/>
              <w:jc w:val="left"/>
              <w:textAlignment w:val="center"/>
              <w:rPr>
                <w:rFonts w:ascii="仿宋" w:hAnsi="仿宋" w:eastAsia="仿宋" w:cs="Arial"/>
                <w:bCs/>
                <w:color w:val="000000"/>
                <w:lang w:val="zh-CN"/>
              </w:rPr>
            </w:pPr>
            <w:r>
              <w:rPr>
                <w:rFonts w:hint="eastAsia" w:ascii="彩虹粗仿宋" w:hAnsi="彩虹粗仿宋" w:eastAsia="彩虹粗仿宋" w:cs="彩虹粗仿宋"/>
                <w:i w:val="0"/>
                <w:iCs w:val="0"/>
                <w:color w:val="000000"/>
                <w:kern w:val="0"/>
                <w:sz w:val="24"/>
                <w:szCs w:val="24"/>
                <w:u w:val="none"/>
                <w:lang w:val="en-US" w:eastAsia="zh-CN" w:bidi="ar"/>
              </w:rPr>
              <w:t>商转公贷款接口</w:t>
            </w:r>
          </w:p>
        </w:tc>
        <w:tc>
          <w:tcPr>
            <w:tcW w:w="3406" w:type="pct"/>
            <w:tcBorders>
              <w:bottom w:val="single" w:color="auto" w:sz="4" w:space="0"/>
              <w:right w:val="single" w:color="auto" w:sz="4" w:space="0"/>
            </w:tcBorders>
            <w:shd w:val="clear" w:color="auto" w:fill="auto"/>
            <w:vAlign w:val="center"/>
          </w:tcPr>
          <w:p w14:paraId="7DCD94CE">
            <w:pPr>
              <w:keepNext w:val="0"/>
              <w:keepLines w:val="0"/>
              <w:widowControl/>
              <w:suppressLineNumbers w:val="0"/>
              <w:jc w:val="left"/>
              <w:textAlignment w:val="center"/>
              <w:rPr>
                <w:rFonts w:hint="eastAsia" w:ascii="仿宋" w:hAnsi="仿宋" w:eastAsia="仿宋" w:cs="仿宋"/>
                <w:i w:val="0"/>
                <w:iCs w:val="0"/>
                <w:color w:val="000000"/>
                <w:kern w:val="2"/>
                <w:sz w:val="22"/>
                <w:szCs w:val="22"/>
                <w:u w:val="none"/>
                <w:lang w:val="en-US" w:eastAsia="zh-CN" w:bidi="ar-SA"/>
              </w:rPr>
            </w:pPr>
            <w:r>
              <w:rPr>
                <w:rFonts w:hint="eastAsia" w:ascii="彩虹粗仿宋" w:hAnsi="彩虹粗仿宋" w:eastAsia="彩虹粗仿宋" w:cs="彩虹粗仿宋"/>
                <w:i w:val="0"/>
                <w:iCs w:val="0"/>
                <w:color w:val="000000"/>
                <w:kern w:val="0"/>
                <w:sz w:val="24"/>
                <w:szCs w:val="24"/>
                <w:u w:val="none"/>
                <w:lang w:val="en-US" w:eastAsia="zh-CN" w:bidi="ar"/>
              </w:rPr>
              <w:t>核验借款人商贷合同及余额，计算可转公积金贷款额度，同步审批状态，实现资金联动划转</w:t>
            </w:r>
          </w:p>
        </w:tc>
      </w:tr>
      <w:tr w14:paraId="43B7B95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391" w:hRule="atLeast"/>
          <w:jc w:val="center"/>
        </w:trPr>
        <w:tc>
          <w:tcPr>
            <w:tcW w:w="711" w:type="pct"/>
            <w:vMerge w:val="continue"/>
          </w:tcPr>
          <w:p w14:paraId="5D987813">
            <w:pPr>
              <w:tabs>
                <w:tab w:val="left" w:pos="142"/>
              </w:tabs>
              <w:spacing w:line="400" w:lineRule="exact"/>
              <w:ind w:left="256" w:hanging="114"/>
              <w:jc w:val="both"/>
              <w:textAlignment w:val="center"/>
              <w:rPr>
                <w:rFonts w:ascii="仿宋" w:hAnsi="仿宋" w:eastAsia="仿宋" w:cs="宋体"/>
                <w:szCs w:val="21"/>
              </w:rPr>
            </w:pPr>
          </w:p>
        </w:tc>
        <w:tc>
          <w:tcPr>
            <w:tcW w:w="881" w:type="pct"/>
            <w:shd w:val="clear" w:color="auto" w:fill="auto"/>
            <w:vAlign w:val="center"/>
          </w:tcPr>
          <w:p w14:paraId="00F92A34">
            <w:pPr>
              <w:keepNext w:val="0"/>
              <w:keepLines w:val="0"/>
              <w:widowControl/>
              <w:suppressLineNumbers w:val="0"/>
              <w:jc w:val="left"/>
              <w:textAlignment w:val="center"/>
              <w:rPr>
                <w:rFonts w:hint="eastAsia" w:ascii="彩虹粗仿宋" w:hAnsi="彩虹粗仿宋" w:eastAsia="彩虹粗仿宋" w:cs="彩虹粗仿宋"/>
                <w:b/>
                <w:bCs/>
                <w:i w:val="0"/>
                <w:iCs w:val="0"/>
                <w:color w:val="000000"/>
                <w:kern w:val="2"/>
                <w:sz w:val="22"/>
                <w:szCs w:val="22"/>
                <w:u w:val="none"/>
                <w:lang w:val="zh-CN" w:eastAsia="zh-CN" w:bidi="ar-SA"/>
              </w:rPr>
            </w:pPr>
            <w:r>
              <w:rPr>
                <w:rFonts w:hint="eastAsia" w:ascii="彩虹粗仿宋" w:hAnsi="彩虹粗仿宋" w:eastAsia="彩虹粗仿宋" w:cs="彩虹粗仿宋"/>
                <w:i w:val="0"/>
                <w:iCs w:val="0"/>
                <w:color w:val="000000"/>
                <w:kern w:val="0"/>
                <w:sz w:val="24"/>
                <w:szCs w:val="24"/>
                <w:u w:val="none"/>
                <w:lang w:val="en-US" w:eastAsia="zh-CN" w:bidi="ar"/>
              </w:rPr>
              <w:t>冲还贷业务接口</w:t>
            </w:r>
          </w:p>
        </w:tc>
        <w:tc>
          <w:tcPr>
            <w:tcW w:w="3406" w:type="pct"/>
            <w:tcBorders>
              <w:bottom w:val="single" w:color="auto" w:sz="4" w:space="0"/>
              <w:right w:val="single" w:color="auto" w:sz="4" w:space="0"/>
            </w:tcBorders>
            <w:shd w:val="clear" w:color="auto" w:fill="auto"/>
            <w:vAlign w:val="center"/>
          </w:tcPr>
          <w:p w14:paraId="4F7D3CB4">
            <w:pPr>
              <w:keepNext w:val="0"/>
              <w:keepLines w:val="0"/>
              <w:widowControl/>
              <w:suppressLineNumbers w:val="0"/>
              <w:jc w:val="left"/>
              <w:textAlignment w:val="center"/>
              <w:rPr>
                <w:rFonts w:hint="eastAsia" w:ascii="仿宋" w:hAnsi="仿宋" w:eastAsia="仿宋" w:cs="仿宋"/>
                <w:i w:val="0"/>
                <w:iCs w:val="0"/>
                <w:color w:val="000000"/>
                <w:kern w:val="2"/>
                <w:sz w:val="22"/>
                <w:szCs w:val="22"/>
                <w:u w:val="none"/>
                <w:lang w:val="en-US" w:eastAsia="zh-CN" w:bidi="ar-SA"/>
              </w:rPr>
            </w:pPr>
            <w:r>
              <w:rPr>
                <w:rFonts w:hint="eastAsia" w:ascii="彩虹粗仿宋" w:hAnsi="彩虹粗仿宋" w:eastAsia="彩虹粗仿宋" w:cs="彩虹粗仿宋"/>
                <w:i w:val="0"/>
                <w:iCs w:val="0"/>
                <w:color w:val="000000"/>
                <w:kern w:val="0"/>
                <w:sz w:val="24"/>
                <w:szCs w:val="24"/>
                <w:u w:val="none"/>
                <w:lang w:val="en-US" w:eastAsia="zh-CN" w:bidi="ar"/>
              </w:rPr>
              <w:t>办理公积金冲还贷签约绑定，每月自动从公积金账户扣款冲还贷款本息，反馈还款入账结果，支持异常处理机制</w:t>
            </w:r>
          </w:p>
        </w:tc>
      </w:tr>
      <w:tr w14:paraId="1CB09009">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810" w:hRule="atLeast"/>
          <w:jc w:val="center"/>
        </w:trPr>
        <w:tc>
          <w:tcPr>
            <w:tcW w:w="711" w:type="pct"/>
            <w:vMerge w:val="continue"/>
            <w:tcBorders>
              <w:bottom w:val="single" w:color="auto" w:sz="4" w:space="0"/>
            </w:tcBorders>
          </w:tcPr>
          <w:p w14:paraId="74D86ED0">
            <w:pPr>
              <w:tabs>
                <w:tab w:val="left" w:pos="420"/>
              </w:tabs>
              <w:adjustRightInd w:val="0"/>
              <w:snapToGrid w:val="0"/>
              <w:spacing w:line="400" w:lineRule="exact"/>
              <w:jc w:val="both"/>
              <w:textAlignment w:val="center"/>
              <w:rPr>
                <w:rFonts w:ascii="仿宋" w:hAnsi="仿宋" w:eastAsia="仿宋" w:cs="Arial"/>
                <w:bCs/>
                <w:color w:val="000000"/>
                <w:lang w:val="zh-CN"/>
              </w:rPr>
            </w:pPr>
          </w:p>
        </w:tc>
        <w:tc>
          <w:tcPr>
            <w:tcW w:w="881" w:type="pct"/>
            <w:tcBorders>
              <w:left w:val="single" w:color="auto" w:sz="4" w:space="0"/>
              <w:bottom w:val="single" w:color="auto" w:sz="4" w:space="0"/>
            </w:tcBorders>
            <w:shd w:val="clear" w:color="auto" w:fill="auto"/>
            <w:vAlign w:val="center"/>
          </w:tcPr>
          <w:p w14:paraId="2D1ACC7C">
            <w:pPr>
              <w:keepNext w:val="0"/>
              <w:keepLines w:val="0"/>
              <w:widowControl/>
              <w:suppressLineNumbers w:val="0"/>
              <w:jc w:val="left"/>
              <w:textAlignment w:val="center"/>
              <w:rPr>
                <w:rFonts w:hint="eastAsia" w:ascii="彩虹粗仿宋" w:hAnsi="彩虹粗仿宋" w:eastAsia="彩虹粗仿宋" w:cs="彩虹粗仿宋"/>
                <w:b/>
                <w:bCs/>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异地转移接口</w:t>
            </w:r>
          </w:p>
        </w:tc>
        <w:tc>
          <w:tcPr>
            <w:tcW w:w="3406" w:type="pct"/>
            <w:tcBorders>
              <w:left w:val="single" w:color="auto" w:sz="4" w:space="0"/>
              <w:bottom w:val="single" w:color="auto" w:sz="4" w:space="0"/>
              <w:right w:val="single" w:color="auto" w:sz="4" w:space="0"/>
            </w:tcBorders>
            <w:shd w:val="clear" w:color="auto" w:fill="auto"/>
            <w:vAlign w:val="center"/>
          </w:tcPr>
          <w:p w14:paraId="6356F330">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发起公积金异地转移转出申请，接收转入地确认信息，通过银行渠道完成资金跨地区划转</w:t>
            </w:r>
          </w:p>
        </w:tc>
      </w:tr>
      <w:tr w14:paraId="080E21C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810" w:hRule="atLeast"/>
          <w:jc w:val="center"/>
        </w:trPr>
        <w:tc>
          <w:tcPr>
            <w:tcW w:w="711" w:type="pct"/>
            <w:vMerge w:val="continue"/>
            <w:tcBorders>
              <w:bottom w:val="single" w:color="auto" w:sz="4" w:space="0"/>
            </w:tcBorders>
          </w:tcPr>
          <w:p w14:paraId="01B07835">
            <w:pPr>
              <w:tabs>
                <w:tab w:val="left" w:pos="420"/>
              </w:tabs>
              <w:adjustRightInd w:val="0"/>
              <w:snapToGrid w:val="0"/>
              <w:spacing w:line="400" w:lineRule="exact"/>
              <w:jc w:val="both"/>
              <w:textAlignment w:val="center"/>
              <w:rPr>
                <w:rFonts w:ascii="仿宋" w:hAnsi="仿宋" w:eastAsia="仿宋" w:cs="Arial"/>
                <w:bCs/>
                <w:color w:val="000000"/>
                <w:lang w:val="zh-CN"/>
              </w:rPr>
            </w:pPr>
          </w:p>
        </w:tc>
        <w:tc>
          <w:tcPr>
            <w:tcW w:w="881" w:type="pct"/>
            <w:tcBorders>
              <w:left w:val="single" w:color="auto" w:sz="4" w:space="0"/>
              <w:bottom w:val="single" w:color="auto" w:sz="4" w:space="0"/>
            </w:tcBorders>
            <w:shd w:val="clear" w:color="auto" w:fill="auto"/>
            <w:vAlign w:val="center"/>
          </w:tcPr>
          <w:p w14:paraId="4D848986">
            <w:pPr>
              <w:keepNext w:val="0"/>
              <w:keepLines w:val="0"/>
              <w:widowControl/>
              <w:suppressLineNumbers w:val="0"/>
              <w:jc w:val="left"/>
              <w:textAlignment w:val="center"/>
              <w:rPr>
                <w:rFonts w:hint="eastAsia" w:ascii="彩虹粗仿宋" w:hAnsi="彩虹粗仿宋" w:eastAsia="彩虹粗仿宋" w:cs="彩虹粗仿宋"/>
                <w:b/>
                <w:bCs/>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批量缴存接口</w:t>
            </w:r>
          </w:p>
        </w:tc>
        <w:tc>
          <w:tcPr>
            <w:tcW w:w="3406" w:type="pct"/>
            <w:tcBorders>
              <w:left w:val="single" w:color="auto" w:sz="4" w:space="0"/>
              <w:bottom w:val="single" w:color="auto" w:sz="4" w:space="0"/>
              <w:right w:val="single" w:color="auto" w:sz="4" w:space="0"/>
            </w:tcBorders>
            <w:shd w:val="clear" w:color="auto" w:fill="auto"/>
            <w:vAlign w:val="center"/>
          </w:tcPr>
          <w:p w14:paraId="12623CE4">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接收单位批量汇缴文件并解析写入缴存明细，返回批量处理结果含成功失败明细</w:t>
            </w:r>
          </w:p>
        </w:tc>
      </w:tr>
      <w:tr w14:paraId="73C5C70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810" w:hRule="atLeast"/>
          <w:jc w:val="center"/>
        </w:trPr>
        <w:tc>
          <w:tcPr>
            <w:tcW w:w="711" w:type="pct"/>
            <w:vMerge w:val="continue"/>
            <w:tcBorders>
              <w:bottom w:val="single" w:color="auto" w:sz="4" w:space="0"/>
            </w:tcBorders>
          </w:tcPr>
          <w:p w14:paraId="3EE9EB78">
            <w:pPr>
              <w:tabs>
                <w:tab w:val="left" w:pos="420"/>
              </w:tabs>
              <w:adjustRightInd w:val="0"/>
              <w:snapToGrid w:val="0"/>
              <w:spacing w:line="400" w:lineRule="exact"/>
              <w:jc w:val="both"/>
              <w:textAlignment w:val="center"/>
              <w:rPr>
                <w:rFonts w:ascii="仿宋" w:hAnsi="仿宋" w:eastAsia="仿宋" w:cs="Arial"/>
                <w:bCs/>
                <w:color w:val="000000"/>
                <w:lang w:val="zh-CN"/>
              </w:rPr>
            </w:pPr>
          </w:p>
        </w:tc>
        <w:tc>
          <w:tcPr>
            <w:tcW w:w="881" w:type="pct"/>
            <w:tcBorders>
              <w:left w:val="single" w:color="auto" w:sz="4" w:space="0"/>
              <w:bottom w:val="single" w:color="auto" w:sz="4" w:space="0"/>
            </w:tcBorders>
            <w:shd w:val="clear" w:color="auto" w:fill="auto"/>
            <w:vAlign w:val="center"/>
          </w:tcPr>
          <w:p w14:paraId="7DC9FEAD">
            <w:pPr>
              <w:keepNext w:val="0"/>
              <w:keepLines w:val="0"/>
              <w:widowControl/>
              <w:suppressLineNumbers w:val="0"/>
              <w:jc w:val="left"/>
              <w:textAlignment w:val="center"/>
              <w:rPr>
                <w:rFonts w:hint="eastAsia" w:ascii="彩虹粗仿宋" w:hAnsi="彩虹粗仿宋" w:eastAsia="彩虹粗仿宋" w:cs="彩虹粗仿宋"/>
                <w:b/>
                <w:bCs/>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批量扣款接口</w:t>
            </w:r>
          </w:p>
        </w:tc>
        <w:tc>
          <w:tcPr>
            <w:tcW w:w="3406" w:type="pct"/>
            <w:tcBorders>
              <w:left w:val="single" w:color="auto" w:sz="4" w:space="0"/>
              <w:bottom w:val="single" w:color="auto" w:sz="4" w:space="0"/>
              <w:right w:val="single" w:color="auto" w:sz="4" w:space="0"/>
            </w:tcBorders>
            <w:shd w:val="clear" w:color="auto" w:fill="auto"/>
            <w:vAlign w:val="center"/>
          </w:tcPr>
          <w:p w14:paraId="137D6F9D">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向银行下发贷款批量扣款指令和扣款明细，接收银行扣款结果并更新还款状态</w:t>
            </w:r>
          </w:p>
        </w:tc>
      </w:tr>
      <w:tr w14:paraId="5C16434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810" w:hRule="atLeast"/>
          <w:jc w:val="center"/>
        </w:trPr>
        <w:tc>
          <w:tcPr>
            <w:tcW w:w="711" w:type="pct"/>
            <w:vMerge w:val="continue"/>
            <w:tcBorders>
              <w:bottom w:val="single" w:color="auto" w:sz="4" w:space="0"/>
            </w:tcBorders>
          </w:tcPr>
          <w:p w14:paraId="2821E03C">
            <w:pPr>
              <w:tabs>
                <w:tab w:val="left" w:pos="420"/>
              </w:tabs>
              <w:adjustRightInd w:val="0"/>
              <w:snapToGrid w:val="0"/>
              <w:spacing w:line="400" w:lineRule="exact"/>
              <w:jc w:val="both"/>
              <w:textAlignment w:val="center"/>
              <w:rPr>
                <w:rFonts w:ascii="仿宋" w:hAnsi="仿宋" w:eastAsia="仿宋" w:cs="Arial"/>
                <w:bCs/>
                <w:color w:val="000000"/>
                <w:lang w:val="zh-CN"/>
              </w:rPr>
            </w:pPr>
          </w:p>
        </w:tc>
        <w:tc>
          <w:tcPr>
            <w:tcW w:w="881" w:type="pct"/>
            <w:tcBorders>
              <w:left w:val="single" w:color="auto" w:sz="4" w:space="0"/>
              <w:bottom w:val="single" w:color="auto" w:sz="4" w:space="0"/>
            </w:tcBorders>
            <w:shd w:val="clear" w:color="auto" w:fill="auto"/>
            <w:vAlign w:val="center"/>
          </w:tcPr>
          <w:p w14:paraId="2ABE1176">
            <w:pPr>
              <w:keepNext w:val="0"/>
              <w:keepLines w:val="0"/>
              <w:widowControl/>
              <w:suppressLineNumbers w:val="0"/>
              <w:jc w:val="left"/>
              <w:textAlignment w:val="center"/>
              <w:rPr>
                <w:rFonts w:hint="eastAsia" w:ascii="彩虹粗仿宋" w:hAnsi="彩虹粗仿宋" w:eastAsia="彩虹粗仿宋" w:cs="彩虹粗仿宋"/>
                <w:b/>
                <w:bCs/>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实时对账接口</w:t>
            </w:r>
          </w:p>
        </w:tc>
        <w:tc>
          <w:tcPr>
            <w:tcW w:w="3406" w:type="pct"/>
            <w:tcBorders>
              <w:left w:val="single" w:color="auto" w:sz="4" w:space="0"/>
              <w:bottom w:val="single" w:color="auto" w:sz="4" w:space="0"/>
              <w:right w:val="single" w:color="auto" w:sz="4" w:space="0"/>
            </w:tcBorders>
            <w:shd w:val="clear" w:color="auto" w:fill="auto"/>
            <w:vAlign w:val="center"/>
          </w:tcPr>
          <w:p w14:paraId="6BD8774C">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实时核对双方交易明细并自动预警差异，每日营业终了生成对账报表和余额调节表</w:t>
            </w:r>
          </w:p>
        </w:tc>
      </w:tr>
      <w:tr w14:paraId="5059F9B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810" w:hRule="atLeast"/>
          <w:jc w:val="center"/>
        </w:trPr>
        <w:tc>
          <w:tcPr>
            <w:tcW w:w="711" w:type="pct"/>
            <w:vMerge w:val="continue"/>
            <w:tcBorders>
              <w:bottom w:val="single" w:color="auto" w:sz="4" w:space="0"/>
            </w:tcBorders>
          </w:tcPr>
          <w:p w14:paraId="6958236B">
            <w:pPr>
              <w:tabs>
                <w:tab w:val="left" w:pos="420"/>
              </w:tabs>
              <w:adjustRightInd w:val="0"/>
              <w:snapToGrid w:val="0"/>
              <w:spacing w:line="400" w:lineRule="exact"/>
              <w:jc w:val="both"/>
              <w:textAlignment w:val="center"/>
              <w:rPr>
                <w:rFonts w:ascii="仿宋" w:hAnsi="仿宋" w:eastAsia="仿宋" w:cs="Arial"/>
                <w:bCs/>
                <w:color w:val="000000"/>
                <w:lang w:val="zh-CN"/>
              </w:rPr>
            </w:pPr>
          </w:p>
        </w:tc>
        <w:tc>
          <w:tcPr>
            <w:tcW w:w="881" w:type="pct"/>
            <w:tcBorders>
              <w:left w:val="single" w:color="auto" w:sz="4" w:space="0"/>
              <w:bottom w:val="single" w:color="auto" w:sz="4" w:space="0"/>
            </w:tcBorders>
            <w:shd w:val="clear" w:color="auto" w:fill="auto"/>
            <w:vAlign w:val="center"/>
          </w:tcPr>
          <w:p w14:paraId="28015CA2">
            <w:pPr>
              <w:keepNext w:val="0"/>
              <w:keepLines w:val="0"/>
              <w:widowControl/>
              <w:suppressLineNumbers w:val="0"/>
              <w:jc w:val="left"/>
              <w:textAlignment w:val="center"/>
              <w:rPr>
                <w:rFonts w:hint="eastAsia" w:ascii="彩虹粗仿宋" w:hAnsi="彩虹粗仿宋" w:eastAsia="彩虹粗仿宋" w:cs="彩虹粗仿宋"/>
                <w:b/>
                <w:bCs/>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缴存接口</w:t>
            </w:r>
          </w:p>
        </w:tc>
        <w:tc>
          <w:tcPr>
            <w:tcW w:w="3406" w:type="pct"/>
            <w:tcBorders>
              <w:left w:val="single" w:color="auto" w:sz="4" w:space="0"/>
              <w:bottom w:val="single" w:color="auto" w:sz="4" w:space="0"/>
              <w:right w:val="single" w:color="auto" w:sz="4" w:space="0"/>
            </w:tcBorders>
            <w:shd w:val="clear" w:color="auto" w:fill="auto"/>
            <w:vAlign w:val="center"/>
          </w:tcPr>
          <w:p w14:paraId="4D3A0CC0">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村干部灵活缴存接口</w:t>
            </w:r>
          </w:p>
        </w:tc>
      </w:tr>
      <w:tr w14:paraId="3C7B0F3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810" w:hRule="atLeast"/>
          <w:jc w:val="center"/>
        </w:trPr>
        <w:tc>
          <w:tcPr>
            <w:tcW w:w="711" w:type="pct"/>
            <w:vMerge w:val="continue"/>
            <w:tcBorders>
              <w:bottom w:val="single" w:color="auto" w:sz="4" w:space="0"/>
            </w:tcBorders>
          </w:tcPr>
          <w:p w14:paraId="36BFECDF">
            <w:pPr>
              <w:tabs>
                <w:tab w:val="left" w:pos="420"/>
              </w:tabs>
              <w:adjustRightInd w:val="0"/>
              <w:snapToGrid w:val="0"/>
              <w:spacing w:line="400" w:lineRule="exact"/>
              <w:jc w:val="both"/>
              <w:textAlignment w:val="center"/>
              <w:rPr>
                <w:rFonts w:ascii="仿宋" w:hAnsi="仿宋" w:eastAsia="仿宋" w:cs="Arial"/>
                <w:bCs/>
                <w:color w:val="000000"/>
                <w:lang w:val="zh-CN"/>
              </w:rPr>
            </w:pPr>
          </w:p>
        </w:tc>
        <w:tc>
          <w:tcPr>
            <w:tcW w:w="881" w:type="pct"/>
            <w:tcBorders>
              <w:left w:val="single" w:color="auto" w:sz="4" w:space="0"/>
              <w:bottom w:val="single" w:color="auto" w:sz="4" w:space="0"/>
            </w:tcBorders>
            <w:shd w:val="clear" w:color="auto" w:fill="auto"/>
            <w:vAlign w:val="center"/>
          </w:tcPr>
          <w:p w14:paraId="17D4ADA6">
            <w:pPr>
              <w:keepNext w:val="0"/>
              <w:keepLines w:val="0"/>
              <w:widowControl/>
              <w:suppressLineNumbers w:val="0"/>
              <w:jc w:val="left"/>
              <w:textAlignment w:val="center"/>
              <w:rPr>
                <w:rFonts w:hint="eastAsia" w:ascii="彩虹粗仿宋" w:hAnsi="彩虹粗仿宋" w:eastAsia="彩虹粗仿宋" w:cs="彩虹粗仿宋"/>
                <w:b/>
                <w:bCs/>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提取接口</w:t>
            </w:r>
          </w:p>
        </w:tc>
        <w:tc>
          <w:tcPr>
            <w:tcW w:w="3406" w:type="pct"/>
            <w:tcBorders>
              <w:left w:val="single" w:color="auto" w:sz="4" w:space="0"/>
              <w:bottom w:val="single" w:color="auto" w:sz="4" w:space="0"/>
              <w:right w:val="single" w:color="auto" w:sz="4" w:space="0"/>
            </w:tcBorders>
            <w:shd w:val="clear" w:color="auto" w:fill="auto"/>
            <w:vAlign w:val="center"/>
          </w:tcPr>
          <w:p w14:paraId="2A19800A">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老旧电梯更新、物业管理费、住宅维修基金、缴纳契税、自住住房配套的车库（位）</w:t>
            </w:r>
          </w:p>
        </w:tc>
      </w:tr>
      <w:tr w14:paraId="363DCE1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810" w:hRule="atLeast"/>
          <w:jc w:val="center"/>
        </w:trPr>
        <w:tc>
          <w:tcPr>
            <w:tcW w:w="711" w:type="pct"/>
            <w:vMerge w:val="continue"/>
            <w:tcBorders>
              <w:bottom w:val="single" w:color="auto" w:sz="4" w:space="0"/>
            </w:tcBorders>
          </w:tcPr>
          <w:p w14:paraId="53DF4779">
            <w:pPr>
              <w:tabs>
                <w:tab w:val="left" w:pos="420"/>
              </w:tabs>
              <w:adjustRightInd w:val="0"/>
              <w:snapToGrid w:val="0"/>
              <w:spacing w:line="400" w:lineRule="exact"/>
              <w:jc w:val="both"/>
              <w:textAlignment w:val="center"/>
              <w:rPr>
                <w:rFonts w:ascii="仿宋" w:hAnsi="仿宋" w:eastAsia="仿宋" w:cs="Arial"/>
                <w:bCs/>
                <w:color w:val="000000"/>
                <w:lang w:val="zh-CN"/>
              </w:rPr>
            </w:pPr>
          </w:p>
        </w:tc>
        <w:tc>
          <w:tcPr>
            <w:tcW w:w="881" w:type="pct"/>
            <w:tcBorders>
              <w:left w:val="single" w:color="auto" w:sz="4" w:space="0"/>
              <w:bottom w:val="single" w:color="auto" w:sz="4" w:space="0"/>
            </w:tcBorders>
            <w:shd w:val="clear" w:color="auto" w:fill="auto"/>
            <w:vAlign w:val="center"/>
          </w:tcPr>
          <w:p w14:paraId="7C9310A6">
            <w:pPr>
              <w:keepNext w:val="0"/>
              <w:keepLines w:val="0"/>
              <w:widowControl/>
              <w:suppressLineNumbers w:val="0"/>
              <w:jc w:val="left"/>
              <w:textAlignment w:val="center"/>
              <w:rPr>
                <w:rFonts w:hint="eastAsia" w:ascii="彩虹粗仿宋" w:hAnsi="彩虹粗仿宋" w:eastAsia="彩虹粗仿宋" w:cs="彩虹粗仿宋"/>
                <w:b/>
                <w:bCs/>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数据资源底座平台</w:t>
            </w:r>
          </w:p>
        </w:tc>
        <w:tc>
          <w:tcPr>
            <w:tcW w:w="3406" w:type="pct"/>
            <w:tcBorders>
              <w:left w:val="single" w:color="auto" w:sz="4" w:space="0"/>
              <w:bottom w:val="single" w:color="auto" w:sz="4" w:space="0"/>
              <w:right w:val="single" w:color="auto" w:sz="4" w:space="0"/>
            </w:tcBorders>
            <w:shd w:val="clear" w:color="auto" w:fill="auto"/>
            <w:vAlign w:val="center"/>
          </w:tcPr>
          <w:p w14:paraId="0B061CDB">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针对本次数据质量提升相关数据建立数据资源底座平台，面向数据治理、数据管理和数据运用提供底层技术支撑；围绕数据标准管理、数据模型规划、数据模型建模、离线数据采集、自定义数据集、数据填报管理等能力进行开发；支持数据标准库建立、字段标准维护、分层配置、主题配置、业务域配置、模型设计、模型申请、模型管理、数据预览、数据源库管理、标准字典映射、数据同步追踪及填报记录跟踪等功能</w:t>
            </w:r>
          </w:p>
        </w:tc>
      </w:tr>
      <w:tr w14:paraId="117E201D">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421" w:hRule="atLeast"/>
          <w:jc w:val="center"/>
        </w:trPr>
        <w:tc>
          <w:tcPr>
            <w:tcW w:w="711" w:type="pct"/>
            <w:vMerge w:val="continue"/>
            <w:tcBorders>
              <w:bottom w:val="single" w:color="auto" w:sz="4" w:space="0"/>
            </w:tcBorders>
          </w:tcPr>
          <w:p w14:paraId="03FC3A90">
            <w:pPr>
              <w:tabs>
                <w:tab w:val="left" w:pos="420"/>
              </w:tabs>
              <w:adjustRightInd w:val="0"/>
              <w:snapToGrid w:val="0"/>
              <w:spacing w:line="400" w:lineRule="exact"/>
              <w:jc w:val="both"/>
              <w:textAlignment w:val="center"/>
              <w:rPr>
                <w:rFonts w:ascii="仿宋" w:hAnsi="仿宋" w:eastAsia="仿宋" w:cs="Arial"/>
                <w:bCs/>
                <w:color w:val="000000"/>
                <w:lang w:val="zh-CN"/>
              </w:rPr>
            </w:pPr>
          </w:p>
        </w:tc>
        <w:tc>
          <w:tcPr>
            <w:tcW w:w="881" w:type="pct"/>
            <w:tcBorders>
              <w:left w:val="single" w:color="auto" w:sz="4" w:space="0"/>
              <w:bottom w:val="single" w:color="auto" w:sz="4" w:space="0"/>
            </w:tcBorders>
            <w:shd w:val="clear" w:color="auto" w:fill="auto"/>
            <w:vAlign w:val="center"/>
          </w:tcPr>
          <w:p w14:paraId="257EAE50">
            <w:pPr>
              <w:keepNext w:val="0"/>
              <w:keepLines w:val="0"/>
              <w:widowControl/>
              <w:suppressLineNumbers w:val="0"/>
              <w:jc w:val="left"/>
              <w:textAlignment w:val="center"/>
              <w:rPr>
                <w:rFonts w:hint="eastAsia" w:ascii="彩虹粗仿宋" w:hAnsi="彩虹粗仿宋" w:eastAsia="彩虹粗仿宋" w:cs="彩虹粗仿宋"/>
                <w:b/>
                <w:bCs/>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数据资源管理系统</w:t>
            </w:r>
          </w:p>
        </w:tc>
        <w:tc>
          <w:tcPr>
            <w:tcW w:w="3406" w:type="pct"/>
            <w:tcBorders>
              <w:left w:val="single" w:color="auto" w:sz="4" w:space="0"/>
              <w:bottom w:val="single" w:color="auto" w:sz="4" w:space="0"/>
              <w:right w:val="single" w:color="auto" w:sz="4" w:space="0"/>
            </w:tcBorders>
            <w:shd w:val="clear" w:color="auto" w:fill="auto"/>
            <w:vAlign w:val="center"/>
          </w:tcPr>
          <w:p w14:paraId="1D8BEB97">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建设数据资源管理系统，支持中心业务人员和管理人员从数据主题、接入机构等维度快速查找数据资源；支持字段、字典、模型、服务等多维度查询，支持热门模型、最新模型展示，并基于元数据形成360度数据资源查询能力</w:t>
            </w:r>
          </w:p>
        </w:tc>
      </w:tr>
      <w:tr w14:paraId="6BEFDF0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810" w:hRule="atLeast"/>
          <w:jc w:val="center"/>
        </w:trPr>
        <w:tc>
          <w:tcPr>
            <w:tcW w:w="711" w:type="pct"/>
            <w:vMerge w:val="continue"/>
            <w:tcBorders>
              <w:bottom w:val="single" w:color="auto" w:sz="4" w:space="0"/>
            </w:tcBorders>
          </w:tcPr>
          <w:p w14:paraId="0B4C30BF">
            <w:pPr>
              <w:tabs>
                <w:tab w:val="left" w:pos="420"/>
              </w:tabs>
              <w:adjustRightInd w:val="0"/>
              <w:snapToGrid w:val="0"/>
              <w:spacing w:line="400" w:lineRule="exact"/>
              <w:jc w:val="both"/>
              <w:textAlignment w:val="center"/>
              <w:rPr>
                <w:rFonts w:ascii="仿宋" w:hAnsi="仿宋" w:eastAsia="仿宋" w:cs="Arial"/>
                <w:bCs/>
                <w:color w:val="000000"/>
                <w:lang w:val="zh-CN"/>
              </w:rPr>
            </w:pPr>
          </w:p>
        </w:tc>
        <w:tc>
          <w:tcPr>
            <w:tcW w:w="881" w:type="pct"/>
            <w:tcBorders>
              <w:left w:val="single" w:color="auto" w:sz="4" w:space="0"/>
              <w:bottom w:val="single" w:color="auto" w:sz="4" w:space="0"/>
            </w:tcBorders>
            <w:shd w:val="clear" w:color="auto" w:fill="auto"/>
            <w:vAlign w:val="center"/>
          </w:tcPr>
          <w:p w14:paraId="4265FB24">
            <w:pPr>
              <w:keepNext w:val="0"/>
              <w:keepLines w:val="0"/>
              <w:widowControl/>
              <w:suppressLineNumbers w:val="0"/>
              <w:jc w:val="left"/>
              <w:textAlignment w:val="center"/>
              <w:rPr>
                <w:rFonts w:hint="eastAsia" w:ascii="彩虹粗仿宋" w:hAnsi="彩虹粗仿宋" w:eastAsia="彩虹粗仿宋" w:cs="彩虹粗仿宋"/>
                <w:b/>
                <w:bCs/>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数据质量监管系统</w:t>
            </w:r>
          </w:p>
        </w:tc>
        <w:tc>
          <w:tcPr>
            <w:tcW w:w="3406" w:type="pct"/>
            <w:tcBorders>
              <w:left w:val="single" w:color="auto" w:sz="4" w:space="0"/>
              <w:bottom w:val="single" w:color="auto" w:sz="4" w:space="0"/>
              <w:right w:val="single" w:color="auto" w:sz="4" w:space="0"/>
            </w:tcBorders>
            <w:shd w:val="clear" w:color="auto" w:fill="auto"/>
            <w:vAlign w:val="center"/>
          </w:tcPr>
          <w:p w14:paraId="4EE0CDD9">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建设常态化数据质量监管系统，支持真实性、准确性、唯一性、完整性、一致性、关联性、及时性等维度的数据质量检查；支持规则配置、检查任务配置、自动检查、手动检查、抽样检查、问题清单管理、问题分类统计、问题明细台账、整改过程监控、整体分析、月度分析、任务完成度分析、任务执行跟踪及治理可视化展示</w:t>
            </w:r>
          </w:p>
        </w:tc>
      </w:tr>
      <w:tr w14:paraId="684257C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810" w:hRule="atLeast"/>
          <w:jc w:val="center"/>
        </w:trPr>
        <w:tc>
          <w:tcPr>
            <w:tcW w:w="711" w:type="pct"/>
            <w:vMerge w:val="continue"/>
            <w:tcBorders>
              <w:bottom w:val="single" w:color="auto" w:sz="4" w:space="0"/>
            </w:tcBorders>
          </w:tcPr>
          <w:p w14:paraId="4A924E73">
            <w:pPr>
              <w:tabs>
                <w:tab w:val="left" w:pos="420"/>
              </w:tabs>
              <w:adjustRightInd w:val="0"/>
              <w:snapToGrid w:val="0"/>
              <w:spacing w:line="400" w:lineRule="exact"/>
              <w:jc w:val="both"/>
              <w:textAlignment w:val="center"/>
              <w:rPr>
                <w:rFonts w:ascii="仿宋" w:hAnsi="仿宋" w:eastAsia="仿宋" w:cs="Arial"/>
                <w:bCs/>
                <w:color w:val="000000"/>
                <w:lang w:val="zh-CN"/>
              </w:rPr>
            </w:pPr>
          </w:p>
        </w:tc>
        <w:tc>
          <w:tcPr>
            <w:tcW w:w="881" w:type="pct"/>
            <w:tcBorders>
              <w:left w:val="single" w:color="auto" w:sz="4" w:space="0"/>
              <w:bottom w:val="single" w:color="auto" w:sz="4" w:space="0"/>
            </w:tcBorders>
            <w:shd w:val="clear" w:color="auto" w:fill="auto"/>
            <w:vAlign w:val="center"/>
          </w:tcPr>
          <w:p w14:paraId="6625AD5D">
            <w:pPr>
              <w:keepNext w:val="0"/>
              <w:keepLines w:val="0"/>
              <w:widowControl/>
              <w:suppressLineNumbers w:val="0"/>
              <w:jc w:val="left"/>
              <w:textAlignment w:val="center"/>
              <w:rPr>
                <w:rFonts w:hint="eastAsia" w:ascii="彩虹粗仿宋" w:hAnsi="彩虹粗仿宋" w:eastAsia="彩虹粗仿宋" w:cs="彩虹粗仿宋"/>
                <w:b/>
                <w:bCs/>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数据质量提升接口</w:t>
            </w:r>
          </w:p>
        </w:tc>
        <w:tc>
          <w:tcPr>
            <w:tcW w:w="3406" w:type="pct"/>
            <w:tcBorders>
              <w:left w:val="single" w:color="auto" w:sz="4" w:space="0"/>
              <w:bottom w:val="single" w:color="auto" w:sz="4" w:space="0"/>
              <w:right w:val="single" w:color="auto" w:sz="4" w:space="0"/>
            </w:tcBorders>
            <w:shd w:val="clear" w:color="auto" w:fill="auto"/>
            <w:vAlign w:val="center"/>
          </w:tcPr>
          <w:p w14:paraId="3E36AA77">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围绕数据质量提升开展专项治理服务，支持按住建部相关检查指标对存量数据、增量数据进行分析与问题归类，覆盖归集、提取、贷款、财务等业务领域，形成问题分类标准、整改建议及治理策略</w:t>
            </w:r>
          </w:p>
        </w:tc>
      </w:tr>
      <w:tr w14:paraId="2F4DF93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810" w:hRule="atLeast"/>
          <w:jc w:val="center"/>
        </w:trPr>
        <w:tc>
          <w:tcPr>
            <w:tcW w:w="711" w:type="pct"/>
            <w:vMerge w:val="continue"/>
            <w:tcBorders>
              <w:bottom w:val="single" w:color="auto" w:sz="4" w:space="0"/>
            </w:tcBorders>
          </w:tcPr>
          <w:p w14:paraId="682B4BCF">
            <w:pPr>
              <w:tabs>
                <w:tab w:val="left" w:pos="420"/>
              </w:tabs>
              <w:adjustRightInd w:val="0"/>
              <w:snapToGrid w:val="0"/>
              <w:spacing w:line="400" w:lineRule="exact"/>
              <w:jc w:val="both"/>
              <w:textAlignment w:val="center"/>
              <w:rPr>
                <w:rFonts w:ascii="仿宋" w:hAnsi="仿宋" w:eastAsia="仿宋" w:cs="Arial"/>
                <w:bCs/>
                <w:color w:val="000000"/>
                <w:lang w:val="zh-CN"/>
              </w:rPr>
            </w:pPr>
          </w:p>
        </w:tc>
        <w:tc>
          <w:tcPr>
            <w:tcW w:w="881" w:type="pct"/>
            <w:tcBorders>
              <w:left w:val="single" w:color="auto" w:sz="4" w:space="0"/>
              <w:bottom w:val="single" w:color="auto" w:sz="4" w:space="0"/>
            </w:tcBorders>
            <w:shd w:val="clear" w:color="auto" w:fill="auto"/>
            <w:vAlign w:val="center"/>
          </w:tcPr>
          <w:p w14:paraId="52936E6B">
            <w:pPr>
              <w:keepNext w:val="0"/>
              <w:keepLines w:val="0"/>
              <w:widowControl/>
              <w:suppressLineNumbers w:val="0"/>
              <w:jc w:val="left"/>
              <w:textAlignment w:val="center"/>
              <w:rPr>
                <w:rFonts w:hint="eastAsia" w:ascii="彩虹粗仿宋" w:hAnsi="彩虹粗仿宋" w:eastAsia="彩虹粗仿宋" w:cs="彩虹粗仿宋"/>
                <w:i w:val="0"/>
                <w:iCs w:val="0"/>
                <w:color w:val="000000"/>
                <w:kern w:val="0"/>
                <w:sz w:val="24"/>
                <w:szCs w:val="24"/>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数据整改结果应用</w:t>
            </w:r>
          </w:p>
        </w:tc>
        <w:tc>
          <w:tcPr>
            <w:tcW w:w="3406" w:type="pct"/>
            <w:tcBorders>
              <w:left w:val="single" w:color="auto" w:sz="4" w:space="0"/>
              <w:bottom w:val="single" w:color="auto" w:sz="4" w:space="0"/>
              <w:right w:val="single" w:color="auto" w:sz="4" w:space="0"/>
            </w:tcBorders>
            <w:shd w:val="clear" w:color="auto" w:fill="auto"/>
            <w:vAlign w:val="center"/>
          </w:tcPr>
          <w:p w14:paraId="7BDCC446">
            <w:pPr>
              <w:keepNext w:val="0"/>
              <w:keepLines w:val="0"/>
              <w:widowControl/>
              <w:suppressLineNumbers w:val="0"/>
              <w:jc w:val="left"/>
              <w:textAlignment w:val="center"/>
              <w:rPr>
                <w:rFonts w:hint="eastAsia" w:ascii="彩虹粗仿宋" w:hAnsi="彩虹粗仿宋" w:eastAsia="彩虹粗仿宋" w:cs="彩虹粗仿宋"/>
                <w:i w:val="0"/>
                <w:iCs w:val="0"/>
                <w:color w:val="000000"/>
                <w:kern w:val="0"/>
                <w:sz w:val="24"/>
                <w:szCs w:val="24"/>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支持与中心渠道专项数据整改接口对接，将待整改数据通过接口推送至服务渠道，由职工、企业进行确认、补充和修改；支持页面级对接、整改结果反馈、审批确认及整改数据回流至中心业务系统数据资源池，实现整改闭环应用</w:t>
            </w:r>
          </w:p>
        </w:tc>
      </w:tr>
      <w:tr w14:paraId="5C76563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810" w:hRule="atLeast"/>
          <w:jc w:val="center"/>
        </w:trPr>
        <w:tc>
          <w:tcPr>
            <w:tcW w:w="711" w:type="pct"/>
            <w:vMerge w:val="continue"/>
            <w:tcBorders>
              <w:bottom w:val="single" w:color="auto" w:sz="4" w:space="0"/>
            </w:tcBorders>
          </w:tcPr>
          <w:p w14:paraId="5E894EBA">
            <w:pPr>
              <w:tabs>
                <w:tab w:val="left" w:pos="420"/>
              </w:tabs>
              <w:adjustRightInd w:val="0"/>
              <w:snapToGrid w:val="0"/>
              <w:spacing w:line="400" w:lineRule="exact"/>
              <w:jc w:val="both"/>
              <w:textAlignment w:val="center"/>
              <w:rPr>
                <w:rFonts w:ascii="仿宋" w:hAnsi="仿宋" w:eastAsia="仿宋" w:cs="Arial"/>
                <w:bCs/>
                <w:color w:val="000000"/>
                <w:lang w:val="zh-CN"/>
              </w:rPr>
            </w:pPr>
          </w:p>
        </w:tc>
        <w:tc>
          <w:tcPr>
            <w:tcW w:w="881" w:type="pct"/>
            <w:tcBorders>
              <w:left w:val="single" w:color="auto" w:sz="4" w:space="0"/>
              <w:bottom w:val="single" w:color="auto" w:sz="4" w:space="0"/>
            </w:tcBorders>
            <w:shd w:val="clear" w:color="auto" w:fill="auto"/>
            <w:vAlign w:val="center"/>
          </w:tcPr>
          <w:p w14:paraId="486A2DAF">
            <w:pPr>
              <w:keepNext w:val="0"/>
              <w:keepLines w:val="0"/>
              <w:widowControl/>
              <w:suppressLineNumbers w:val="0"/>
              <w:jc w:val="left"/>
              <w:textAlignment w:val="center"/>
              <w:rPr>
                <w:rFonts w:hint="eastAsia" w:ascii="彩虹粗仿宋" w:hAnsi="彩虹粗仿宋" w:eastAsia="彩虹粗仿宋" w:cs="彩虹粗仿宋"/>
                <w:i w:val="0"/>
                <w:iCs w:val="0"/>
                <w:color w:val="000000"/>
                <w:kern w:val="0"/>
                <w:sz w:val="24"/>
                <w:szCs w:val="24"/>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配套系统改造</w:t>
            </w:r>
          </w:p>
        </w:tc>
        <w:tc>
          <w:tcPr>
            <w:tcW w:w="3406" w:type="pct"/>
            <w:tcBorders>
              <w:left w:val="single" w:color="auto" w:sz="4" w:space="0"/>
              <w:bottom w:val="single" w:color="auto" w:sz="4" w:space="0"/>
              <w:right w:val="single" w:color="auto" w:sz="4" w:space="0"/>
            </w:tcBorders>
            <w:shd w:val="clear" w:color="auto" w:fill="auto"/>
            <w:vAlign w:val="center"/>
          </w:tcPr>
          <w:p w14:paraId="7150D451">
            <w:pPr>
              <w:keepNext w:val="0"/>
              <w:keepLines w:val="0"/>
              <w:widowControl/>
              <w:suppressLineNumbers w:val="0"/>
              <w:jc w:val="left"/>
              <w:textAlignment w:val="center"/>
              <w:rPr>
                <w:rFonts w:hint="eastAsia" w:ascii="彩虹粗仿宋" w:hAnsi="彩虹粗仿宋" w:eastAsia="彩虹粗仿宋" w:cs="彩虹粗仿宋"/>
                <w:i w:val="0"/>
                <w:iCs w:val="0"/>
                <w:color w:val="000000"/>
                <w:kern w:val="0"/>
                <w:sz w:val="24"/>
                <w:szCs w:val="24"/>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配合数据治理工作，对相关业务系统进行配套改造，支持整改接口接入、页面嵌入、整改结果接收、审批确认、回流处理、业务数据同步及治理过程配套展示改造</w:t>
            </w:r>
          </w:p>
        </w:tc>
      </w:tr>
      <w:tr w14:paraId="23BC6D7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810" w:hRule="atLeast"/>
          <w:jc w:val="center"/>
        </w:trPr>
        <w:tc>
          <w:tcPr>
            <w:tcW w:w="711" w:type="pct"/>
            <w:vMerge w:val="continue"/>
            <w:tcBorders>
              <w:bottom w:val="single" w:color="auto" w:sz="4" w:space="0"/>
            </w:tcBorders>
          </w:tcPr>
          <w:p w14:paraId="08660574">
            <w:pPr>
              <w:tabs>
                <w:tab w:val="left" w:pos="420"/>
              </w:tabs>
              <w:adjustRightInd w:val="0"/>
              <w:snapToGrid w:val="0"/>
              <w:spacing w:line="400" w:lineRule="exact"/>
              <w:jc w:val="both"/>
              <w:textAlignment w:val="center"/>
              <w:rPr>
                <w:rFonts w:ascii="仿宋" w:hAnsi="仿宋" w:eastAsia="仿宋" w:cs="Arial"/>
                <w:bCs/>
                <w:color w:val="000000"/>
                <w:lang w:val="zh-CN"/>
              </w:rPr>
            </w:pPr>
          </w:p>
        </w:tc>
        <w:tc>
          <w:tcPr>
            <w:tcW w:w="881" w:type="pct"/>
            <w:tcBorders>
              <w:left w:val="single" w:color="auto" w:sz="4" w:space="0"/>
              <w:bottom w:val="single" w:color="auto" w:sz="4" w:space="0"/>
            </w:tcBorders>
            <w:shd w:val="clear" w:color="auto" w:fill="auto"/>
            <w:vAlign w:val="center"/>
          </w:tcPr>
          <w:p w14:paraId="6BC5850A">
            <w:pPr>
              <w:keepNext w:val="0"/>
              <w:keepLines w:val="0"/>
              <w:widowControl/>
              <w:suppressLineNumbers w:val="0"/>
              <w:jc w:val="left"/>
              <w:textAlignment w:val="center"/>
              <w:rPr>
                <w:rFonts w:hint="eastAsia" w:ascii="彩虹粗仿宋" w:hAnsi="彩虹粗仿宋" w:eastAsia="彩虹粗仿宋" w:cs="彩虹粗仿宋"/>
                <w:b/>
                <w:bCs/>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数据资产整理功能</w:t>
            </w:r>
          </w:p>
        </w:tc>
        <w:tc>
          <w:tcPr>
            <w:tcW w:w="3406" w:type="pct"/>
            <w:tcBorders>
              <w:left w:val="single" w:color="auto" w:sz="4" w:space="0"/>
              <w:bottom w:val="single" w:color="auto" w:sz="4" w:space="0"/>
              <w:right w:val="single" w:color="auto" w:sz="4" w:space="0"/>
            </w:tcBorders>
            <w:shd w:val="clear" w:color="auto" w:fill="auto"/>
            <w:vAlign w:val="center"/>
          </w:tcPr>
          <w:p w14:paraId="68B0C620">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应用系统清单盘点、应用数据清单盘点、数据字典清单盘点、核心数据界定盘点</w:t>
            </w:r>
          </w:p>
        </w:tc>
      </w:tr>
    </w:tbl>
    <w:p w14:paraId="7CF3E6CE">
      <w:pPr>
        <w:spacing w:line="360" w:lineRule="auto"/>
        <w:rPr>
          <w:rFonts w:hint="eastAsia" w:eastAsiaTheme="minorEastAsia"/>
          <w:lang w:val="en-US" w:eastAsia="zh-CN"/>
        </w:rPr>
      </w:pPr>
    </w:p>
    <w:p w14:paraId="05A30BF4">
      <w:pPr>
        <w:spacing w:line="360" w:lineRule="auto"/>
        <w:ind w:firstLine="643" w:firstLineChars="200"/>
        <w:rPr>
          <w:rFonts w:ascii="彩虹粗仿宋" w:hAnsi="宋体" w:eastAsia="彩虹粗仿宋"/>
          <w:b/>
          <w:sz w:val="32"/>
          <w:szCs w:val="32"/>
        </w:rPr>
      </w:pPr>
      <w:r>
        <w:rPr>
          <w:rFonts w:hint="eastAsia" w:ascii="彩虹粗仿宋" w:hAnsi="宋体" w:eastAsia="彩虹粗仿宋"/>
          <w:b/>
          <w:sz w:val="32"/>
          <w:szCs w:val="32"/>
        </w:rPr>
        <w:t>二、供应商资质要求建议</w:t>
      </w:r>
    </w:p>
    <w:p w14:paraId="4E5A9BE8">
      <w:pPr>
        <w:spacing w:line="360" w:lineRule="auto"/>
        <w:ind w:firstLine="640" w:firstLineChars="200"/>
        <w:rPr>
          <w:rFonts w:hint="default" w:ascii="彩虹粗仿宋" w:hAnsi="宋体" w:eastAsia="彩虹粗仿宋"/>
          <w:sz w:val="32"/>
          <w:szCs w:val="32"/>
          <w:highlight w:val="none"/>
          <w:lang w:val="en-US" w:eastAsia="zh-CN"/>
        </w:rPr>
      </w:pPr>
      <w:r>
        <w:rPr>
          <w:rFonts w:hint="eastAsia" w:ascii="彩虹粗仿宋" w:hAnsi="宋体" w:eastAsia="彩虹粗仿宋"/>
          <w:sz w:val="32"/>
          <w:szCs w:val="32"/>
          <w:highlight w:val="none"/>
        </w:rPr>
        <w:t>供应商注册地在广西或在广西区域开设有分支机构（分公司的提供营业执照）</w:t>
      </w:r>
      <w:r>
        <w:rPr>
          <w:rFonts w:hint="eastAsia" w:ascii="彩虹粗仿宋" w:hAnsi="宋体" w:eastAsia="彩虹粗仿宋"/>
          <w:sz w:val="32"/>
          <w:szCs w:val="32"/>
          <w:highlight w:val="none"/>
          <w:lang w:eastAsia="zh-CN"/>
        </w:rPr>
        <w:t>。</w:t>
      </w:r>
      <w:bookmarkStart w:id="0" w:name="_GoBack"/>
      <w:bookmarkEnd w:id="0"/>
    </w:p>
    <w:p w14:paraId="5FC05B21">
      <w:pPr>
        <w:ind w:firstLine="643" w:firstLineChars="200"/>
        <w:rPr>
          <w:rFonts w:ascii="彩虹粗仿宋" w:hAnsi="宋体" w:eastAsia="彩虹粗仿宋"/>
          <w:b/>
          <w:sz w:val="32"/>
          <w:szCs w:val="32"/>
        </w:rPr>
      </w:pPr>
      <w:r>
        <w:rPr>
          <w:rFonts w:hint="eastAsia" w:ascii="彩虹粗仿宋" w:hAnsi="宋体" w:eastAsia="彩虹粗仿宋" w:cs="Times New Roman"/>
          <w:b/>
          <w:snapToGrid w:val="0"/>
          <w:kern w:val="0"/>
          <w:sz w:val="32"/>
          <w:szCs w:val="32"/>
        </w:rPr>
        <w:t xml:space="preserve"> </w:t>
      </w:r>
      <w:r>
        <w:rPr>
          <w:rFonts w:hint="eastAsia" w:ascii="彩虹粗仿宋" w:hAnsi="宋体" w:eastAsia="彩虹粗仿宋"/>
          <w:b/>
          <w:sz w:val="32"/>
          <w:szCs w:val="32"/>
        </w:rPr>
        <w:t>三、基本要求：</w:t>
      </w:r>
    </w:p>
    <w:p w14:paraId="4B96B796">
      <w:pPr>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1.软件产品必须具有在中国境内的正式合法使用权和销售权；</w:t>
      </w:r>
    </w:p>
    <w:p w14:paraId="72CFF104">
      <w:pPr>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2.软件产品在国内有可靠的技术支持力量；</w:t>
      </w:r>
    </w:p>
    <w:p w14:paraId="00C41443">
      <w:pPr>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3.软件产品必须为正式版本；</w:t>
      </w:r>
    </w:p>
    <w:p w14:paraId="58BB2018">
      <w:pPr>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4.软件产品必须具有完整的技术资料。</w:t>
      </w:r>
    </w:p>
    <w:p w14:paraId="60206E6A">
      <w:pPr>
        <w:spacing w:line="360" w:lineRule="auto"/>
        <w:ind w:firstLine="640" w:firstLineChars="200"/>
        <w:rPr>
          <w:rFonts w:ascii="彩虹粗仿宋" w:hAnsi="宋体" w:eastAsia="彩虹粗仿宋"/>
          <w:color w:val="FF0000"/>
          <w:sz w:val="32"/>
          <w:szCs w:val="32"/>
        </w:rPr>
      </w:pPr>
      <w:r>
        <w:rPr>
          <w:rFonts w:hint="eastAsia" w:ascii="彩虹粗仿宋" w:hAnsi="宋体" w:eastAsia="彩虹粗仿宋"/>
          <w:color w:val="auto"/>
          <w:sz w:val="32"/>
          <w:szCs w:val="32"/>
        </w:rPr>
        <w:t>5</w:t>
      </w:r>
      <w:r>
        <w:rPr>
          <w:rFonts w:ascii="彩虹粗仿宋" w:hAnsi="宋体" w:eastAsia="彩虹粗仿宋"/>
          <w:color w:val="auto"/>
          <w:sz w:val="32"/>
          <w:szCs w:val="32"/>
        </w:rPr>
        <w:t>.</w:t>
      </w:r>
      <w:r>
        <w:rPr>
          <w:rFonts w:hint="eastAsia" w:ascii="彩虹粗仿宋" w:hAnsi="宋体" w:eastAsia="彩虹粗仿宋"/>
          <w:color w:val="auto"/>
          <w:sz w:val="32"/>
          <w:szCs w:val="32"/>
        </w:rPr>
        <w:t>本次采购的软件</w:t>
      </w:r>
      <w:r>
        <w:rPr>
          <w:rFonts w:hint="eastAsia" w:ascii="彩虹粗仿宋" w:hAnsi="宋体" w:eastAsia="彩虹粗仿宋"/>
          <w:color w:val="auto"/>
          <w:sz w:val="32"/>
          <w:szCs w:val="32"/>
          <w:lang w:val="en-US" w:eastAsia="zh-CN"/>
        </w:rPr>
        <w:t>产品</w:t>
      </w:r>
      <w:r>
        <w:rPr>
          <w:rFonts w:hint="eastAsia" w:ascii="彩虹粗仿宋" w:hAnsi="宋体" w:eastAsia="彩虹粗仿宋"/>
          <w:color w:val="auto"/>
          <w:sz w:val="32"/>
          <w:szCs w:val="32"/>
        </w:rPr>
        <w:t>应</w:t>
      </w:r>
      <w:r>
        <w:rPr>
          <w:rFonts w:hint="eastAsia" w:ascii="彩虹粗仿宋" w:hAnsi="宋体" w:eastAsia="彩虹粗仿宋"/>
          <w:color w:val="auto"/>
          <w:kern w:val="0"/>
          <w:sz w:val="32"/>
          <w:szCs w:val="32"/>
        </w:rPr>
        <w:t>当具备我行要求的功能，</w:t>
      </w:r>
      <w:r>
        <w:rPr>
          <w:rFonts w:hint="eastAsia" w:ascii="彩虹粗仿宋" w:hAnsi="宋体" w:eastAsia="彩虹粗仿宋"/>
          <w:color w:val="auto"/>
          <w:kern w:val="0"/>
          <w:sz w:val="32"/>
          <w:szCs w:val="32"/>
          <w:lang w:val="en-US" w:eastAsia="zh-CN"/>
        </w:rPr>
        <w:t>且</w:t>
      </w:r>
      <w:r>
        <w:rPr>
          <w:rFonts w:hint="eastAsia" w:ascii="彩虹粗仿宋" w:hAnsi="宋体" w:eastAsia="彩虹粗仿宋"/>
          <w:color w:val="auto"/>
          <w:kern w:val="0"/>
          <w:sz w:val="32"/>
          <w:szCs w:val="32"/>
        </w:rPr>
        <w:t>不存在任何侵犯第三方知识产权的情形</w:t>
      </w:r>
      <w:r>
        <w:rPr>
          <w:rFonts w:hint="eastAsia" w:ascii="彩虹粗仿宋" w:hAnsi="宋体" w:eastAsia="彩虹粗仿宋"/>
          <w:color w:val="auto"/>
          <w:sz w:val="32"/>
          <w:szCs w:val="32"/>
        </w:rPr>
        <w:t>。</w:t>
      </w:r>
    </w:p>
    <w:p w14:paraId="0FEB281A">
      <w:pPr>
        <w:spacing w:line="360" w:lineRule="auto"/>
        <w:ind w:firstLine="643" w:firstLineChars="200"/>
        <w:rPr>
          <w:rFonts w:ascii="彩虹粗仿宋" w:hAnsi="宋体" w:eastAsia="彩虹粗仿宋"/>
          <w:color w:val="FF0000"/>
          <w:sz w:val="32"/>
          <w:szCs w:val="32"/>
        </w:rPr>
      </w:pPr>
      <w:r>
        <w:rPr>
          <w:rFonts w:hint="eastAsia" w:ascii="彩虹粗仿宋" w:hAnsi="宋体" w:eastAsia="彩虹粗仿宋"/>
          <w:b/>
          <w:sz w:val="32"/>
          <w:szCs w:val="32"/>
        </w:rPr>
        <w:t>四、技术要求</w:t>
      </w:r>
    </w:p>
    <w:p w14:paraId="489D1988">
      <w:pPr>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lang w:val="en-US" w:eastAsia="zh-CN"/>
        </w:rPr>
        <w:t>支持我行与公积金系统实时同步账户状态和数据互联互通，具体功能包括数据源切换配置管理、历史数据查询接口、新旧系统数据字段映射转换、历史数据完整性校验程序，升级商贷数据查询、个人信息查询、电子回单、电子对账单、缴存信息查询接口，新增商转公贷款、冲还贷、异地转移、批量缴存、批量扣款、实时对账、村干部灵活缴存和提取等业务接口，进行数据资源底座平台、数据资源管理系统、数据质量监管系统、数据质量提升接口、数据整改结果应用、配套系统改造、数据资产整理功能等信息化应用功能和系统互联互通功能。</w:t>
      </w:r>
    </w:p>
    <w:p w14:paraId="039F3962">
      <w:pPr>
        <w:spacing w:line="360" w:lineRule="auto"/>
        <w:ind w:firstLine="643" w:firstLineChars="200"/>
        <w:rPr>
          <w:rFonts w:ascii="彩虹粗仿宋" w:hAnsi="宋体" w:eastAsia="彩虹粗仿宋"/>
          <w:sz w:val="32"/>
          <w:szCs w:val="32"/>
        </w:rPr>
      </w:pPr>
      <w:r>
        <w:rPr>
          <w:rFonts w:hint="eastAsia" w:ascii="彩虹粗仿宋" w:hAnsi="宋体" w:eastAsia="彩虹粗仿宋"/>
          <w:b/>
          <w:sz w:val="32"/>
          <w:szCs w:val="32"/>
        </w:rPr>
        <w:t>五、交付日期及验收标准</w:t>
      </w:r>
    </w:p>
    <w:p w14:paraId="41100D29">
      <w:pPr>
        <w:widowControl/>
        <w:tabs>
          <w:tab w:val="left" w:pos="6313"/>
        </w:tabs>
        <w:spacing w:after="156" w:afterLines="50" w:line="360" w:lineRule="auto"/>
        <w:ind w:firstLine="640" w:firstLineChars="200"/>
        <w:jc w:val="left"/>
        <w:rPr>
          <w:rFonts w:ascii="彩虹粗仿宋" w:hAnsi="Times New Roman" w:eastAsia="彩虹粗仿宋" w:cs="Times New Roman"/>
          <w:color w:val="000000" w:themeColor="text1"/>
          <w:kern w:val="0"/>
          <w:sz w:val="32"/>
          <w:szCs w:val="32"/>
        </w:rPr>
      </w:pPr>
      <w:r>
        <w:rPr>
          <w:rFonts w:hint="eastAsia" w:ascii="彩虹粗仿宋" w:hAnsi="Times New Roman" w:eastAsia="彩虹粗仿宋" w:cs="Times New Roman"/>
          <w:color w:val="000000" w:themeColor="text1"/>
          <w:kern w:val="0"/>
          <w:sz w:val="32"/>
          <w:szCs w:val="32"/>
        </w:rPr>
        <w:t>合同签订生效之日起</w:t>
      </w:r>
      <w:r>
        <w:rPr>
          <w:rFonts w:hint="eastAsia" w:ascii="彩虹粗仿宋" w:hAnsi="Times New Roman" w:eastAsia="彩虹粗仿宋" w:cs="Times New Roman"/>
          <w:color w:val="auto"/>
          <w:kern w:val="0"/>
          <w:sz w:val="32"/>
          <w:szCs w:val="32"/>
          <w:lang w:val="en-US" w:eastAsia="zh-CN"/>
        </w:rPr>
        <w:t>7</w:t>
      </w:r>
      <w:r>
        <w:rPr>
          <w:rFonts w:hint="eastAsia" w:ascii="彩虹粗仿宋" w:hAnsi="Times New Roman" w:eastAsia="彩虹粗仿宋" w:cs="Times New Roman"/>
          <w:color w:val="auto"/>
          <w:kern w:val="0"/>
          <w:sz w:val="32"/>
          <w:szCs w:val="32"/>
          <w:u w:val="single" w:color="FFFFFF" w:themeColor="background1"/>
        </w:rPr>
        <w:t>0</w:t>
      </w:r>
      <w:r>
        <w:rPr>
          <w:rFonts w:hint="eastAsia" w:ascii="彩虹粗仿宋" w:hAnsi="Times New Roman" w:eastAsia="彩虹粗仿宋" w:cs="Times New Roman"/>
          <w:color w:val="000000" w:themeColor="text1"/>
          <w:kern w:val="0"/>
          <w:sz w:val="32"/>
          <w:szCs w:val="32"/>
        </w:rPr>
        <w:t>日内完成本项目并交付使用，确保系统按时、正常上线，并配合完成本项目验收工作。</w:t>
      </w:r>
    </w:p>
    <w:p w14:paraId="46907107">
      <w:pPr>
        <w:widowControl/>
        <w:tabs>
          <w:tab w:val="left" w:pos="6313"/>
        </w:tabs>
        <w:spacing w:after="156" w:afterLines="50" w:line="360" w:lineRule="auto"/>
        <w:ind w:firstLine="640" w:firstLineChars="200"/>
        <w:jc w:val="left"/>
        <w:rPr>
          <w:rFonts w:ascii="彩虹粗仿宋" w:hAnsi="Times New Roman" w:eastAsia="彩虹粗仿宋" w:cs="Times New Roman"/>
          <w:color w:val="000000" w:themeColor="text1"/>
          <w:kern w:val="0"/>
          <w:sz w:val="32"/>
          <w:szCs w:val="32"/>
        </w:rPr>
      </w:pPr>
      <w:r>
        <w:rPr>
          <w:rFonts w:hint="eastAsia" w:ascii="彩虹粗仿宋" w:hAnsi="Times New Roman" w:eastAsia="彩虹粗仿宋" w:cs="Times New Roman"/>
          <w:color w:val="000000" w:themeColor="text1"/>
          <w:kern w:val="0"/>
          <w:sz w:val="32"/>
          <w:szCs w:val="32"/>
        </w:rPr>
        <w:t>验收标准：以我行与供应商双方确认的《需求分析说明书》为验收标准，采用现场验收的模式。在发生技术和需求歧义时，以《需求分析说明书》及合同承诺的要求为准。项目完成系统试运行，我行与供应商双方签订《试运行报告》后10天内，由我行组织供应商及相关技术小组参与对项目联合验收完成项目验收工作，双方签订验收报告。</w:t>
      </w:r>
    </w:p>
    <w:p w14:paraId="609A3C39">
      <w:pPr>
        <w:adjustRightInd w:val="0"/>
        <w:snapToGrid w:val="0"/>
        <w:spacing w:line="360" w:lineRule="auto"/>
        <w:ind w:firstLine="643" w:firstLineChars="200"/>
        <w:rPr>
          <w:rFonts w:ascii="彩虹粗仿宋" w:hAnsi="宋体" w:eastAsia="彩虹粗仿宋" w:cs="Times New Roman"/>
          <w:b/>
          <w:snapToGrid w:val="0"/>
          <w:color w:val="FF0000"/>
          <w:kern w:val="0"/>
          <w:sz w:val="32"/>
          <w:szCs w:val="32"/>
        </w:rPr>
      </w:pPr>
      <w:r>
        <w:rPr>
          <w:rFonts w:hint="eastAsia" w:ascii="彩虹粗仿宋" w:hAnsi="宋体" w:eastAsia="彩虹粗仿宋" w:cs="Times New Roman"/>
          <w:b/>
          <w:snapToGrid w:val="0"/>
          <w:kern w:val="0"/>
          <w:sz w:val="32"/>
          <w:szCs w:val="32"/>
        </w:rPr>
        <w:t>六、款项支付要求</w:t>
      </w:r>
    </w:p>
    <w:p w14:paraId="4A97CE42">
      <w:pPr>
        <w:adjustRightInd w:val="0"/>
        <w:snapToGrid w:val="0"/>
        <w:spacing w:line="360" w:lineRule="auto"/>
        <w:ind w:firstLine="640" w:firstLineChars="200"/>
        <w:rPr>
          <w:rFonts w:ascii="彩虹粗仿宋" w:hAnsi="宋体" w:eastAsia="彩虹粗仿宋" w:cs="Times New Roman"/>
          <w:snapToGrid w:val="0"/>
          <w:kern w:val="0"/>
          <w:sz w:val="32"/>
          <w:szCs w:val="32"/>
        </w:rPr>
      </w:pPr>
      <w:r>
        <w:rPr>
          <w:rFonts w:hint="eastAsia" w:ascii="彩虹粗仿宋" w:hAnsi="Calibri" w:eastAsia="彩虹粗仿宋" w:cs="宋体"/>
          <w:sz w:val="32"/>
          <w:szCs w:val="32"/>
        </w:rPr>
        <w:t>项目上线交付使用并经我行与供应商双方验收确认后，供应商向我行提交付款申请、验收报告、增值税专用发票，我行支付供应商本项目全部款项的</w:t>
      </w:r>
      <w:r>
        <w:rPr>
          <w:rFonts w:hint="eastAsia" w:ascii="彩虹粗仿宋" w:hAnsi="Calibri" w:eastAsia="彩虹粗仿宋" w:cs="宋体"/>
          <w:sz w:val="32"/>
          <w:szCs w:val="32"/>
          <w:lang w:val="en-US" w:eastAsia="zh-CN"/>
        </w:rPr>
        <w:t>95</w:t>
      </w:r>
      <w:r>
        <w:rPr>
          <w:rFonts w:hint="eastAsia" w:ascii="彩虹粗仿宋" w:hAnsi="Calibri" w:eastAsia="彩虹粗仿宋" w:cs="宋体"/>
          <w:sz w:val="32"/>
          <w:szCs w:val="32"/>
        </w:rPr>
        <w:t>%，剩余的5%作为质量保证金，在系统验收满一年且无违约情形下，经供应商、建行双方验收确认后不计息支付</w:t>
      </w:r>
      <w:r>
        <w:rPr>
          <w:rFonts w:hint="eastAsia" w:ascii="彩虹粗仿宋" w:hAnsi="Calibri" w:eastAsia="彩虹粗仿宋" w:cs="宋体"/>
          <w:sz w:val="32"/>
          <w:szCs w:val="32"/>
          <w:lang w:eastAsia="zh-CN"/>
        </w:rPr>
        <w:t>，</w:t>
      </w:r>
      <w:r>
        <w:rPr>
          <w:rFonts w:hint="eastAsia" w:ascii="彩虹粗仿宋" w:hAnsi="Calibri" w:eastAsia="彩虹粗仿宋" w:cs="宋体"/>
          <w:sz w:val="32"/>
          <w:szCs w:val="32"/>
        </w:rPr>
        <w:t>款项支付由我行以人民币电汇或转帐方式付至供应商书面指定的帐户</w:t>
      </w:r>
      <w:r>
        <w:rPr>
          <w:rFonts w:hint="eastAsia" w:ascii="彩虹粗仿宋" w:hAnsi="宋体" w:eastAsia="彩虹粗仿宋"/>
          <w:sz w:val="32"/>
          <w:szCs w:val="32"/>
        </w:rPr>
        <w:t>。</w:t>
      </w:r>
    </w:p>
    <w:p w14:paraId="33C2003F">
      <w:pPr>
        <w:adjustRightInd w:val="0"/>
        <w:snapToGrid w:val="0"/>
        <w:spacing w:line="360" w:lineRule="auto"/>
        <w:ind w:firstLine="640" w:firstLineChars="200"/>
        <w:rPr>
          <w:rFonts w:ascii="彩虹粗仿宋" w:hAnsi="宋体" w:eastAsia="彩虹粗仿宋" w:cs="Times New Roman"/>
          <w:b/>
          <w:snapToGrid w:val="0"/>
          <w:color w:val="548DD4" w:themeColor="text2" w:themeTint="99"/>
          <w:kern w:val="0"/>
          <w:sz w:val="32"/>
          <w:szCs w:val="32"/>
        </w:rPr>
      </w:pPr>
      <w:r>
        <w:rPr>
          <w:rFonts w:hint="eastAsia" w:ascii="彩虹粗仿宋" w:hAnsi="宋体" w:eastAsia="彩虹粗仿宋" w:cs="Times New Roman"/>
          <w:snapToGrid w:val="0"/>
          <w:kern w:val="0"/>
          <w:sz w:val="32"/>
          <w:szCs w:val="32"/>
        </w:rPr>
        <w:t>增值税专用发票开票要求：供应商所开具的本项目软件系统增值税专用发票须为系统或软件产品销售发票，我行不接受开票内容为软件开发服务的增值税专用发票。</w:t>
      </w:r>
      <w:r>
        <w:rPr>
          <w:rFonts w:hint="eastAsia" w:ascii="彩虹粗仿宋" w:hAnsi="宋体" w:eastAsia="彩虹粗仿宋" w:cs="Times New Roman"/>
          <w:b/>
          <w:snapToGrid w:val="0"/>
          <w:color w:val="FF0000"/>
          <w:kern w:val="0"/>
          <w:sz w:val="32"/>
          <w:szCs w:val="32"/>
        </w:rPr>
        <w:t xml:space="preserve"> </w:t>
      </w:r>
    </w:p>
    <w:p w14:paraId="1F2C9998">
      <w:pPr>
        <w:adjustRightInd w:val="0"/>
        <w:snapToGrid w:val="0"/>
        <w:spacing w:line="360" w:lineRule="auto"/>
        <w:ind w:firstLine="643" w:firstLineChars="200"/>
        <w:rPr>
          <w:rFonts w:ascii="彩虹粗仿宋" w:hAnsi="宋体" w:eastAsia="彩虹粗仿宋" w:cs="Times New Roman"/>
          <w:b/>
          <w:snapToGrid w:val="0"/>
          <w:color w:val="FF0000"/>
          <w:kern w:val="0"/>
          <w:sz w:val="32"/>
          <w:szCs w:val="32"/>
        </w:rPr>
      </w:pPr>
      <w:r>
        <w:rPr>
          <w:rFonts w:hint="eastAsia" w:ascii="彩虹粗仿宋" w:hAnsi="宋体" w:eastAsia="彩虹粗仿宋" w:cs="Times New Roman"/>
          <w:b/>
          <w:snapToGrid w:val="0"/>
          <w:kern w:val="0"/>
          <w:sz w:val="32"/>
          <w:szCs w:val="32"/>
        </w:rPr>
        <w:t>七、报价要求</w:t>
      </w:r>
    </w:p>
    <w:p w14:paraId="18ECB61D">
      <w:pPr>
        <w:adjustRightInd w:val="0"/>
        <w:snapToGrid w:val="0"/>
        <w:spacing w:line="360" w:lineRule="auto"/>
        <w:ind w:firstLine="640" w:firstLineChars="200"/>
        <w:rPr>
          <w:rFonts w:ascii="彩虹粗仿宋" w:hAnsi="宋体" w:eastAsia="彩虹粗仿宋" w:cs="Times New Roman"/>
          <w:b/>
          <w:snapToGrid w:val="0"/>
          <w:kern w:val="0"/>
          <w:sz w:val="32"/>
          <w:szCs w:val="32"/>
        </w:rPr>
      </w:pPr>
      <w:r>
        <w:rPr>
          <w:rFonts w:hint="eastAsia" w:ascii="彩虹粗仿宋" w:eastAsia="彩虹粗仿宋"/>
          <w:sz w:val="32"/>
          <w:szCs w:val="32"/>
        </w:rPr>
        <w:t>项目报价为</w:t>
      </w:r>
      <w:r>
        <w:rPr>
          <w:rFonts w:hint="eastAsia" w:ascii="彩虹粗仿宋" w:hAnsi="仿宋" w:eastAsia="彩虹粗仿宋"/>
          <w:color w:val="000000" w:themeColor="text1"/>
          <w:sz w:val="32"/>
          <w:szCs w:val="32"/>
        </w:rPr>
        <w:t>供应商</w:t>
      </w:r>
      <w:r>
        <w:rPr>
          <w:rFonts w:hint="eastAsia" w:ascii="彩虹粗仿宋" w:hAnsi="宋体" w:eastAsia="彩虹粗仿宋"/>
          <w:sz w:val="32"/>
          <w:szCs w:val="32"/>
        </w:rPr>
        <w:t>负责为我行提供梧州市住房公积金管理中心与银行数据互联互通系统升级改造建设信息化项目</w:t>
      </w:r>
      <w:r>
        <w:rPr>
          <w:rFonts w:hint="eastAsia" w:ascii="彩虹粗仿宋" w:hAnsi="仿宋" w:eastAsia="彩虹粗仿宋"/>
          <w:color w:val="000000" w:themeColor="text1"/>
          <w:sz w:val="32"/>
          <w:szCs w:val="32"/>
        </w:rPr>
        <w:t>住房公积金管理系统</w:t>
      </w:r>
      <w:r>
        <w:rPr>
          <w:rFonts w:hint="eastAsia" w:ascii="彩虹粗仿宋" w:eastAsia="彩虹粗仿宋"/>
          <w:sz w:val="32"/>
          <w:szCs w:val="32"/>
        </w:rPr>
        <w:t>软件</w:t>
      </w:r>
      <w:r>
        <w:rPr>
          <w:rFonts w:hint="eastAsia" w:ascii="彩虹粗仿宋" w:eastAsia="彩虹粗仿宋"/>
          <w:sz w:val="32"/>
          <w:szCs w:val="32"/>
          <w:lang w:val="en-US" w:eastAsia="zh-CN"/>
        </w:rPr>
        <w:t>投入</w:t>
      </w:r>
      <w:r>
        <w:rPr>
          <w:rFonts w:hint="eastAsia" w:ascii="彩虹粗仿宋" w:eastAsia="彩虹粗仿宋"/>
          <w:sz w:val="32"/>
          <w:szCs w:val="32"/>
        </w:rPr>
        <w:t>总价,</w:t>
      </w:r>
      <w:r>
        <w:rPr>
          <w:rFonts w:hint="eastAsia"/>
        </w:rPr>
        <w:t xml:space="preserve"> </w:t>
      </w:r>
      <w:r>
        <w:rPr>
          <w:rFonts w:hint="eastAsia" w:ascii="彩虹粗仿宋" w:eastAsia="彩虹粗仿宋"/>
          <w:sz w:val="32"/>
          <w:szCs w:val="32"/>
        </w:rPr>
        <w:t>包括该软件的设计、安装、调试、验收合格交付使用</w:t>
      </w:r>
      <w:r>
        <w:rPr>
          <w:rFonts w:hint="eastAsia" w:ascii="彩虹粗仿宋" w:eastAsia="彩虹粗仿宋"/>
          <w:sz w:val="32"/>
          <w:szCs w:val="32"/>
          <w:lang w:val="en-US" w:eastAsia="zh-CN"/>
        </w:rPr>
        <w:t>及服务</w:t>
      </w:r>
      <w:r>
        <w:rPr>
          <w:rFonts w:hint="eastAsia" w:ascii="彩虹粗仿宋" w:eastAsia="彩虹粗仿宋"/>
          <w:sz w:val="32"/>
          <w:szCs w:val="32"/>
        </w:rPr>
        <w:t>，及其他有关各项的含税费用。执行期间总价不变，我行无须另向供应商支付规定之外的其他任何费用。</w:t>
      </w:r>
    </w:p>
    <w:p w14:paraId="3A0D9E97">
      <w:pPr>
        <w:adjustRightInd w:val="0"/>
        <w:snapToGrid w:val="0"/>
        <w:spacing w:line="360" w:lineRule="auto"/>
        <w:ind w:firstLine="643" w:firstLineChars="200"/>
        <w:rPr>
          <w:rFonts w:ascii="彩虹粗仿宋" w:hAnsi="宋体" w:eastAsia="彩虹粗仿宋" w:cs="Times New Roman"/>
          <w:b/>
          <w:snapToGrid w:val="0"/>
          <w:color w:val="FF0000"/>
          <w:kern w:val="0"/>
          <w:sz w:val="32"/>
          <w:szCs w:val="32"/>
        </w:rPr>
      </w:pPr>
      <w:r>
        <w:rPr>
          <w:rFonts w:hint="eastAsia" w:ascii="彩虹粗仿宋" w:hAnsi="宋体" w:eastAsia="彩虹粗仿宋"/>
          <w:b/>
          <w:sz w:val="32"/>
          <w:szCs w:val="32"/>
        </w:rPr>
        <w:t>八、</w:t>
      </w:r>
      <w:r>
        <w:rPr>
          <w:rFonts w:hint="eastAsia" w:ascii="彩虹粗仿宋" w:hAnsi="宋体" w:eastAsia="彩虹粗仿宋" w:cs="Times New Roman"/>
          <w:b/>
          <w:snapToGrid w:val="0"/>
          <w:kern w:val="0"/>
          <w:sz w:val="32"/>
          <w:szCs w:val="32"/>
        </w:rPr>
        <w:t>售后服务要求</w:t>
      </w:r>
    </w:p>
    <w:p w14:paraId="76F56431">
      <w:pPr>
        <w:adjustRightInd w:val="0"/>
        <w:snapToGrid w:val="0"/>
        <w:spacing w:line="360" w:lineRule="auto"/>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1、项目验收合格之日后由供应商提供为期 1 年的免费质保期。</w:t>
      </w:r>
    </w:p>
    <w:p w14:paraId="4B50C2D5">
      <w:pPr>
        <w:adjustRightInd w:val="0"/>
        <w:snapToGrid w:val="0"/>
        <w:spacing w:line="360" w:lineRule="auto"/>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2、自项目验收合格之日</w:t>
      </w:r>
      <w:r>
        <w:rPr>
          <w:rFonts w:hint="eastAsia" w:ascii="彩虹粗仿宋" w:hAnsi="宋体" w:eastAsia="彩虹粗仿宋" w:cs="Times New Roman"/>
          <w:snapToGrid w:val="0"/>
          <w:color w:val="auto"/>
          <w:kern w:val="0"/>
          <w:sz w:val="32"/>
          <w:szCs w:val="32"/>
        </w:rPr>
        <w:t>起</w:t>
      </w:r>
      <w:r>
        <w:rPr>
          <w:rFonts w:hint="eastAsia" w:ascii="彩虹粗仿宋" w:hAnsi="宋体" w:eastAsia="彩虹粗仿宋" w:cs="Times New Roman"/>
          <w:snapToGrid w:val="0"/>
          <w:color w:val="auto"/>
          <w:kern w:val="0"/>
          <w:sz w:val="32"/>
          <w:szCs w:val="32"/>
          <w:lang w:val="en-US" w:eastAsia="zh-CN"/>
        </w:rPr>
        <w:t>1</w:t>
      </w:r>
      <w:r>
        <w:rPr>
          <w:rFonts w:hint="eastAsia" w:ascii="彩虹粗仿宋" w:hAnsi="宋体" w:eastAsia="彩虹粗仿宋" w:cs="Times New Roman"/>
          <w:snapToGrid w:val="0"/>
          <w:kern w:val="0"/>
          <w:sz w:val="32"/>
          <w:szCs w:val="32"/>
        </w:rPr>
        <w:t>年内7×10（每天：8：30-18：30）电话、电子邮件的技术支持服务。</w:t>
      </w:r>
    </w:p>
    <w:p w14:paraId="6EC15B77">
      <w:pPr>
        <w:adjustRightInd w:val="0"/>
        <w:snapToGrid w:val="0"/>
        <w:spacing w:line="360" w:lineRule="auto"/>
        <w:ind w:firstLine="640" w:firstLineChars="200"/>
        <w:rPr>
          <w:rFonts w:hint="eastAsia"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3、自项目验收合格之日</w:t>
      </w:r>
      <w:r>
        <w:rPr>
          <w:rFonts w:hint="eastAsia" w:ascii="彩虹粗仿宋" w:hAnsi="宋体" w:eastAsia="彩虹粗仿宋" w:cs="Times New Roman"/>
          <w:snapToGrid w:val="0"/>
          <w:color w:val="auto"/>
          <w:kern w:val="0"/>
          <w:sz w:val="32"/>
          <w:szCs w:val="32"/>
        </w:rPr>
        <w:t>起</w:t>
      </w:r>
      <w:r>
        <w:rPr>
          <w:rFonts w:hint="eastAsia" w:ascii="彩虹粗仿宋" w:hAnsi="宋体" w:eastAsia="彩虹粗仿宋" w:cs="Times New Roman"/>
          <w:snapToGrid w:val="0"/>
          <w:color w:val="auto"/>
          <w:kern w:val="0"/>
          <w:sz w:val="32"/>
          <w:szCs w:val="32"/>
          <w:lang w:val="en-US" w:eastAsia="zh-CN"/>
        </w:rPr>
        <w:t>1</w:t>
      </w:r>
      <w:r>
        <w:rPr>
          <w:rFonts w:hint="eastAsia" w:ascii="彩虹粗仿宋" w:hAnsi="宋体" w:eastAsia="彩虹粗仿宋" w:cs="Times New Roman"/>
          <w:snapToGrid w:val="0"/>
          <w:color w:val="auto"/>
          <w:kern w:val="0"/>
          <w:sz w:val="32"/>
          <w:szCs w:val="32"/>
        </w:rPr>
        <w:t>年</w:t>
      </w:r>
      <w:r>
        <w:rPr>
          <w:rFonts w:hint="eastAsia" w:ascii="彩虹粗仿宋" w:hAnsi="宋体" w:eastAsia="彩虹粗仿宋" w:cs="Times New Roman"/>
          <w:snapToGrid w:val="0"/>
          <w:kern w:val="0"/>
          <w:sz w:val="32"/>
          <w:szCs w:val="32"/>
        </w:rPr>
        <w:t>内，系统出现紧急问题，项目供应商应于我行发出书面维修通知后 24小时内到达现场或远程登录并解决问题；若系统出现重大故障，供应商应于我行发出书面维修通知 12小时内到达现场或远程登录并恢复系统运行正常。</w:t>
      </w:r>
    </w:p>
    <w:p w14:paraId="2CF9EF39">
      <w:pPr>
        <w:adjustRightInd w:val="0"/>
        <w:snapToGrid w:val="0"/>
        <w:spacing w:line="360" w:lineRule="auto"/>
        <w:ind w:firstLine="643" w:firstLineChars="200"/>
        <w:rPr>
          <w:rFonts w:hint="eastAsia" w:ascii="彩虹粗仿宋" w:hAnsi="宋体" w:eastAsia="彩虹粗仿宋" w:cs="Times New Roman"/>
          <w:snapToGrid w:val="0"/>
          <w:kern w:val="0"/>
          <w:sz w:val="32"/>
          <w:szCs w:val="32"/>
          <w:lang w:val="en-US" w:eastAsia="zh-CN"/>
        </w:rPr>
      </w:pPr>
      <w:r>
        <w:rPr>
          <w:rFonts w:hint="eastAsia" w:ascii="彩虹粗仿宋" w:hAnsi="宋体" w:eastAsia="彩虹粗仿宋" w:cs="Times New Roman"/>
          <w:b/>
          <w:bCs/>
          <w:snapToGrid w:val="0"/>
          <w:kern w:val="0"/>
          <w:sz w:val="32"/>
          <w:szCs w:val="32"/>
          <w:lang w:val="en-US" w:eastAsia="zh-CN"/>
        </w:rPr>
        <w:t>九、其他要求</w:t>
      </w:r>
    </w:p>
    <w:p w14:paraId="6722E7C6">
      <w:pPr>
        <w:spacing w:line="360" w:lineRule="auto"/>
        <w:ind w:firstLine="640" w:firstLineChars="200"/>
        <w:rPr>
          <w:rFonts w:hint="eastAsia" w:ascii="彩虹粗仿宋" w:hAnsi="宋体" w:eastAsia="彩虹粗仿宋" w:cs="Times New Roman"/>
          <w:color w:val="000000"/>
          <w:sz w:val="32"/>
          <w:szCs w:val="32"/>
          <w:lang w:val="en-US" w:eastAsia="zh-CN"/>
        </w:rPr>
      </w:pPr>
      <w:r>
        <w:rPr>
          <w:rFonts w:hint="eastAsia" w:ascii="彩虹粗仿宋" w:hAnsi="宋体" w:eastAsia="彩虹粗仿宋" w:cs="Times New Roman"/>
          <w:color w:val="000000"/>
          <w:sz w:val="32"/>
          <w:szCs w:val="32"/>
        </w:rPr>
        <w:t>1、禁止进行低价格恶意竞争，一旦发现、查实，取消候选资格和入选资格</w:t>
      </w:r>
      <w:r>
        <w:rPr>
          <w:rFonts w:hint="eastAsia" w:ascii="彩虹粗仿宋" w:hAnsi="宋体" w:eastAsia="彩虹粗仿宋" w:cs="Times New Roman"/>
          <w:color w:val="000000"/>
          <w:sz w:val="32"/>
          <w:szCs w:val="32"/>
          <w:lang w:eastAsia="zh-CN"/>
        </w:rPr>
        <w:t>。</w:t>
      </w:r>
    </w:p>
    <w:p w14:paraId="03A5E3A8">
      <w:pPr>
        <w:spacing w:line="360" w:lineRule="auto"/>
        <w:ind w:firstLine="640" w:firstLineChars="200"/>
        <w:rPr>
          <w:rFonts w:ascii="彩虹粗仿宋" w:hAnsi="宋体" w:eastAsia="彩虹粗仿宋" w:cs="Times New Roman"/>
          <w:color w:val="000000"/>
          <w:sz w:val="32"/>
          <w:szCs w:val="32"/>
        </w:rPr>
      </w:pPr>
      <w:r>
        <w:rPr>
          <w:rFonts w:hint="eastAsia" w:ascii="彩虹粗仿宋" w:hAnsi="宋体" w:eastAsia="彩虹粗仿宋" w:cs="Times New Roman"/>
          <w:color w:val="000000"/>
          <w:sz w:val="32"/>
          <w:szCs w:val="32"/>
          <w:lang w:val="en-US" w:eastAsia="zh-CN"/>
        </w:rPr>
        <w:t>2、</w:t>
      </w:r>
      <w:r>
        <w:rPr>
          <w:rFonts w:hint="eastAsia" w:ascii="彩虹粗仿宋" w:hAnsi="宋体" w:eastAsia="彩虹粗仿宋" w:cs="Times New Roman"/>
          <w:color w:val="000000"/>
          <w:sz w:val="32"/>
          <w:szCs w:val="32"/>
        </w:rPr>
        <w:t>合同签订单位、发票开具单位必须与本次谈判邀请单位完全一致。</w:t>
      </w:r>
    </w:p>
    <w:p w14:paraId="08A00EDC">
      <w:pPr>
        <w:spacing w:line="360" w:lineRule="auto"/>
        <w:ind w:firstLine="640" w:firstLineChars="200"/>
        <w:rPr>
          <w:rFonts w:ascii="彩虹粗仿宋" w:hAnsi="宋体" w:eastAsia="彩虹粗仿宋" w:cs="Times New Roman"/>
          <w:snapToGrid w:val="0"/>
          <w:color w:val="0070C0"/>
          <w:kern w:val="0"/>
          <w:sz w:val="32"/>
          <w:szCs w:val="32"/>
        </w:rPr>
      </w:pPr>
      <w:r>
        <w:rPr>
          <w:rFonts w:hint="eastAsia" w:ascii="彩虹粗仿宋" w:hAnsi="宋体" w:eastAsia="彩虹粗仿宋" w:cs="Times New Roman"/>
          <w:color w:val="auto"/>
          <w:sz w:val="32"/>
          <w:szCs w:val="32"/>
          <w:lang w:val="en-US" w:eastAsia="zh-CN"/>
        </w:rPr>
        <w:t>3</w:t>
      </w:r>
      <w:r>
        <w:rPr>
          <w:rFonts w:hint="eastAsia" w:ascii="彩虹粗仿宋" w:hAnsi="宋体" w:eastAsia="彩虹粗仿宋" w:cs="Times New Roman"/>
          <w:color w:val="auto"/>
          <w:sz w:val="32"/>
          <w:szCs w:val="32"/>
        </w:rPr>
        <w:t>、关于我行及我行客户方面的任何信息均属于商业秘密，供应商须对以上信息严格保密，否则须承担由于泄密对我行造成的一切损失</w:t>
      </w:r>
      <w:r>
        <w:rPr>
          <w:rFonts w:hint="eastAsia" w:ascii="彩虹粗仿宋" w:hAnsi="宋体" w:eastAsia="彩虹粗仿宋" w:cs="Times New Roman"/>
          <w:snapToGrid w:val="0"/>
          <w:color w:val="auto"/>
          <w:kern w:val="0"/>
          <w:sz w:val="32"/>
          <w:szCs w:val="32"/>
        </w:rPr>
        <w:t>。</w:t>
      </w:r>
    </w:p>
    <w:p w14:paraId="530934CB">
      <w:pPr>
        <w:adjustRightInd w:val="0"/>
        <w:snapToGrid w:val="0"/>
        <w:spacing w:line="360" w:lineRule="auto"/>
        <w:ind w:firstLine="640" w:firstLineChars="200"/>
        <w:rPr>
          <w:rFonts w:hint="eastAsia" w:ascii="彩虹粗仿宋" w:hAnsi="宋体" w:eastAsia="彩虹粗仿宋" w:cs="Times New Roman"/>
          <w:snapToGrid w:val="0"/>
          <w:kern w:val="0"/>
          <w:sz w:val="32"/>
          <w:szCs w:val="32"/>
        </w:rPr>
      </w:pPr>
    </w:p>
    <w:p w14:paraId="60FBEE15">
      <w:pPr>
        <w:spacing w:line="360" w:lineRule="auto"/>
        <w:ind w:firstLine="420" w:firstLineChars="200"/>
        <w:rPr>
          <w:rFonts w:ascii="Calibri" w:hAnsi="Calibri" w:eastAsia="宋体"/>
        </w:rPr>
      </w:pPr>
    </w:p>
    <w:p w14:paraId="4E9CF933"/>
    <w:p w14:paraId="601472B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彩虹小标宋">
    <w:panose1 w:val="03000509000000000000"/>
    <w:charset w:val="86"/>
    <w:family w:val="script"/>
    <w:pitch w:val="default"/>
    <w:sig w:usb0="00000001" w:usb1="080E0000" w:usb2="00000000" w:usb3="00000000" w:csb0="00040000" w:csb1="00000000"/>
  </w:font>
  <w:font w:name="彩虹粗仿宋">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2"/>
  </w:compat>
  <w:rsids>
    <w:rsidRoot w:val="00172A27"/>
    <w:rsid w:val="00073D9C"/>
    <w:rsid w:val="000A5436"/>
    <w:rsid w:val="00236636"/>
    <w:rsid w:val="00275204"/>
    <w:rsid w:val="002D1EAE"/>
    <w:rsid w:val="00373423"/>
    <w:rsid w:val="004110F0"/>
    <w:rsid w:val="00422A41"/>
    <w:rsid w:val="00505FFD"/>
    <w:rsid w:val="00536D44"/>
    <w:rsid w:val="005A216C"/>
    <w:rsid w:val="006322DD"/>
    <w:rsid w:val="00665BF6"/>
    <w:rsid w:val="006942A4"/>
    <w:rsid w:val="00727D10"/>
    <w:rsid w:val="00752A20"/>
    <w:rsid w:val="00792FBB"/>
    <w:rsid w:val="007A6CFA"/>
    <w:rsid w:val="007C3A6F"/>
    <w:rsid w:val="00884C12"/>
    <w:rsid w:val="009240EF"/>
    <w:rsid w:val="00937225"/>
    <w:rsid w:val="009E7F11"/>
    <w:rsid w:val="00A1461D"/>
    <w:rsid w:val="00A242B5"/>
    <w:rsid w:val="00A40E5D"/>
    <w:rsid w:val="00A54C9A"/>
    <w:rsid w:val="00AD33CB"/>
    <w:rsid w:val="00AE33CF"/>
    <w:rsid w:val="00B676B3"/>
    <w:rsid w:val="00B706DE"/>
    <w:rsid w:val="00BE2CDD"/>
    <w:rsid w:val="00CC441E"/>
    <w:rsid w:val="00CD3FBC"/>
    <w:rsid w:val="00D63337"/>
    <w:rsid w:val="00DE1648"/>
    <w:rsid w:val="00DE6DFD"/>
    <w:rsid w:val="00E071E3"/>
    <w:rsid w:val="00E65547"/>
    <w:rsid w:val="00E859F0"/>
    <w:rsid w:val="00F616E5"/>
    <w:rsid w:val="00FF2864"/>
    <w:rsid w:val="01092105"/>
    <w:rsid w:val="054D3976"/>
    <w:rsid w:val="069412EE"/>
    <w:rsid w:val="078E32DA"/>
    <w:rsid w:val="084119A2"/>
    <w:rsid w:val="099B2413"/>
    <w:rsid w:val="0B525D82"/>
    <w:rsid w:val="0F037172"/>
    <w:rsid w:val="0F6A6C54"/>
    <w:rsid w:val="127E7D46"/>
    <w:rsid w:val="15154D22"/>
    <w:rsid w:val="1A232908"/>
    <w:rsid w:val="1B7B2A6E"/>
    <w:rsid w:val="1C9B12FC"/>
    <w:rsid w:val="1CC452B3"/>
    <w:rsid w:val="1DCC4819"/>
    <w:rsid w:val="1E387E23"/>
    <w:rsid w:val="1F0307F1"/>
    <w:rsid w:val="1FE4496A"/>
    <w:rsid w:val="22F615BE"/>
    <w:rsid w:val="287E1BAB"/>
    <w:rsid w:val="288E49C9"/>
    <w:rsid w:val="29857A4A"/>
    <w:rsid w:val="2CD47263"/>
    <w:rsid w:val="2F3C780C"/>
    <w:rsid w:val="31487015"/>
    <w:rsid w:val="329D2581"/>
    <w:rsid w:val="363822A0"/>
    <w:rsid w:val="382B4459"/>
    <w:rsid w:val="39C93574"/>
    <w:rsid w:val="3B6D2848"/>
    <w:rsid w:val="409C790E"/>
    <w:rsid w:val="4352195A"/>
    <w:rsid w:val="439B6F77"/>
    <w:rsid w:val="44ED48A6"/>
    <w:rsid w:val="45EA5542"/>
    <w:rsid w:val="4784294A"/>
    <w:rsid w:val="481D3E07"/>
    <w:rsid w:val="4AF41E93"/>
    <w:rsid w:val="4D67120C"/>
    <w:rsid w:val="4E0F7E90"/>
    <w:rsid w:val="4F4954F7"/>
    <w:rsid w:val="4FC0713A"/>
    <w:rsid w:val="540C51F2"/>
    <w:rsid w:val="54DF0C4D"/>
    <w:rsid w:val="55860D83"/>
    <w:rsid w:val="56AE57C6"/>
    <w:rsid w:val="572765D5"/>
    <w:rsid w:val="57CC107C"/>
    <w:rsid w:val="580C02BF"/>
    <w:rsid w:val="5A616B5D"/>
    <w:rsid w:val="5BAB4CDE"/>
    <w:rsid w:val="5DD0156C"/>
    <w:rsid w:val="5DEF3829"/>
    <w:rsid w:val="5E974B49"/>
    <w:rsid w:val="5F130624"/>
    <w:rsid w:val="609A2719"/>
    <w:rsid w:val="614E75B6"/>
    <w:rsid w:val="61946853"/>
    <w:rsid w:val="61E90108"/>
    <w:rsid w:val="63621B0B"/>
    <w:rsid w:val="64F0511F"/>
    <w:rsid w:val="66785936"/>
    <w:rsid w:val="66C6783F"/>
    <w:rsid w:val="66C77DA2"/>
    <w:rsid w:val="672334BE"/>
    <w:rsid w:val="67E474DF"/>
    <w:rsid w:val="68EE03A8"/>
    <w:rsid w:val="6A617017"/>
    <w:rsid w:val="6BFA4CF9"/>
    <w:rsid w:val="6C867D4A"/>
    <w:rsid w:val="6C8B3796"/>
    <w:rsid w:val="6D293824"/>
    <w:rsid w:val="6DDF422D"/>
    <w:rsid w:val="6FBB07EE"/>
    <w:rsid w:val="6FDC6A13"/>
    <w:rsid w:val="70320CBC"/>
    <w:rsid w:val="71A9476C"/>
    <w:rsid w:val="723F61FD"/>
    <w:rsid w:val="73245576"/>
    <w:rsid w:val="754C4210"/>
    <w:rsid w:val="75E605FD"/>
    <w:rsid w:val="7869454A"/>
    <w:rsid w:val="7A2157DD"/>
    <w:rsid w:val="7B173167"/>
    <w:rsid w:val="7DA82A05"/>
    <w:rsid w:val="7DF57FB2"/>
    <w:rsid w:val="7F7679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0"/>
    <w:semiHidden/>
    <w:unhideWhenUsed/>
    <w:qFormat/>
    <w:uiPriority w:val="99"/>
    <w:rPr>
      <w:sz w:val="18"/>
      <w:szCs w:val="18"/>
    </w:r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List Paragraph"/>
    <w:basedOn w:val="1"/>
    <w:qFormat/>
    <w:uiPriority w:val="34"/>
    <w:pPr>
      <w:ind w:firstLine="420" w:firstLineChars="200"/>
    </w:pPr>
  </w:style>
  <w:style w:type="character" w:customStyle="1" w:styleId="8">
    <w:name w:val="页眉 Char"/>
    <w:basedOn w:val="6"/>
    <w:link w:val="4"/>
    <w:qFormat/>
    <w:uiPriority w:val="99"/>
    <w:rPr>
      <w:sz w:val="18"/>
      <w:szCs w:val="18"/>
    </w:rPr>
  </w:style>
  <w:style w:type="character" w:customStyle="1" w:styleId="9">
    <w:name w:val="页脚 Char"/>
    <w:basedOn w:val="6"/>
    <w:link w:val="3"/>
    <w:qFormat/>
    <w:uiPriority w:val="99"/>
    <w:rPr>
      <w:sz w:val="18"/>
      <w:szCs w:val="18"/>
    </w:rPr>
  </w:style>
  <w:style w:type="character" w:customStyle="1" w:styleId="10">
    <w:name w:val="批注框文本 Char"/>
    <w:basedOn w:val="6"/>
    <w:link w:val="2"/>
    <w:semiHidden/>
    <w:qFormat/>
    <w:uiPriority w:val="99"/>
    <w:rPr>
      <w:rFonts w:asciiTheme="minorHAnsi" w:hAnsiTheme="minorHAnsi" w:eastAsiaTheme="minorEastAsia" w:cstheme="minorBidi"/>
      <w:kern w:val="2"/>
      <w:sz w:val="18"/>
      <w:szCs w:val="18"/>
    </w:rPr>
  </w:style>
  <w:style w:type="paragraph" w:customStyle="1" w:styleId="11">
    <w:name w:val="5号_表格正文_左"/>
    <w:basedOn w:val="1"/>
    <w:qFormat/>
    <w:uiPriority w:val="0"/>
    <w:pPr>
      <w:widowControl w:val="0"/>
      <w:spacing w:before="40" w:after="40"/>
    </w:pPr>
    <w:rPr>
      <w:rFonts w:ascii="宋体" w:hAnsi="Calibri"/>
      <w:kern w:val="2"/>
      <w:sz w:val="21"/>
      <w:szCs w:val="21"/>
    </w:rPr>
  </w:style>
  <w:style w:type="paragraph" w:customStyle="1" w:styleId="12">
    <w:name w:val="表格正文_5"/>
    <w:basedOn w:val="1"/>
    <w:qFormat/>
    <w:uiPriority w:val="0"/>
    <w:pPr>
      <w:widowControl w:val="0"/>
      <w:spacing w:line="400" w:lineRule="exact"/>
      <w:textAlignment w:val="center"/>
    </w:pPr>
    <w:rPr>
      <w:rFonts w:ascii="宋体" w:hAnsi="Arial" w:cs="Arial"/>
      <w:bCs/>
      <w:color w:val="000000"/>
      <w:sz w:val="21"/>
      <w:lang w:val="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6</Pages>
  <Words>192</Words>
  <Characters>1101</Characters>
  <Lines>9</Lines>
  <Paragraphs>2</Paragraphs>
  <TotalTime>34</TotalTime>
  <ScaleCrop>false</ScaleCrop>
  <LinksUpToDate>false</LinksUpToDate>
  <CharactersWithSpaces>1291</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2019-04-01T00:13:00Z</dcterms:created>
  <dc:creator>Apache POI</dc:creator>
  <cp:lastModifiedBy>卢振富</cp:lastModifiedBy>
  <dcterms:modified xsi:type="dcterms:W3CDTF">2026-09-28T09:26:54Z</dcterms:modified>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04F26A1195E04F60B41498E973CED983_12</vt:lpwstr>
  </property>
</Properties>
</file>