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ascii="彩虹小标宋" w:hAnsi="Calibri" w:eastAsia="彩虹小标宋"/>
          <w:sz w:val="44"/>
          <w:szCs w:val="44"/>
        </w:rPr>
      </w:pPr>
      <w:r>
        <w:rPr>
          <w:rFonts w:hint="eastAsia" w:ascii="彩虹小标宋" w:hAnsi="Calibri" w:eastAsia="彩虹小标宋"/>
          <w:sz w:val="44"/>
          <w:szCs w:val="44"/>
        </w:rPr>
        <w:t>建行广西分行“双碳”试点楼宇碳抵消及</w:t>
      </w:r>
    </w:p>
    <w:p>
      <w:pPr>
        <w:widowControl/>
        <w:spacing w:line="360" w:lineRule="auto"/>
        <w:jc w:val="center"/>
        <w:rPr>
          <w:rFonts w:ascii="彩虹小标宋" w:hAnsi="Calibri" w:eastAsia="彩虹小标宋"/>
          <w:sz w:val="44"/>
          <w:szCs w:val="44"/>
        </w:rPr>
      </w:pPr>
      <w:r>
        <w:rPr>
          <w:rFonts w:hint="eastAsia" w:ascii="彩虹小标宋" w:hAnsi="Calibri" w:eastAsia="彩虹小标宋"/>
          <w:sz w:val="44"/>
          <w:szCs w:val="44"/>
        </w:rPr>
        <w:t>碳中和服务采购需求</w:t>
      </w:r>
    </w:p>
    <w:p>
      <w:pPr>
        <w:widowControl/>
        <w:adjustRightInd w:val="0"/>
        <w:snapToGrid w:val="0"/>
        <w:spacing w:line="360" w:lineRule="auto"/>
        <w:ind w:firstLine="640" w:firstLineChars="200"/>
        <w:jc w:val="left"/>
        <w:rPr>
          <w:rFonts w:ascii="彩虹粗仿宋" w:hAnsi="宋体" w:eastAsia="彩虹粗仿宋"/>
          <w:snapToGrid w:val="0"/>
          <w:kern w:val="0"/>
          <w:sz w:val="32"/>
          <w:szCs w:val="32"/>
        </w:rPr>
      </w:pPr>
    </w:p>
    <w:p>
      <w:pPr>
        <w:widowControl/>
        <w:snapToGrid w:val="0"/>
        <w:spacing w:line="560" w:lineRule="exact"/>
        <w:ind w:firstLine="640" w:firstLineChars="200"/>
        <w:jc w:val="left"/>
        <w:rPr>
          <w:rFonts w:ascii="彩虹黑体" w:hAnsi="彩虹粗仿宋" w:eastAsia="彩虹黑体" w:cs="彩虹粗仿宋"/>
          <w:bCs/>
          <w:sz w:val="32"/>
          <w:szCs w:val="32"/>
        </w:rPr>
      </w:pPr>
      <w:r>
        <w:rPr>
          <w:rFonts w:hint="eastAsia" w:ascii="彩虹黑体" w:hAnsi="彩虹粗仿宋" w:eastAsia="彩虹黑体" w:cs="彩虹粗仿宋"/>
          <w:bCs/>
          <w:sz w:val="32"/>
          <w:szCs w:val="32"/>
        </w:rPr>
        <w:t>一、项目名称</w:t>
      </w:r>
    </w:p>
    <w:p>
      <w:pPr>
        <w:spacing w:line="560" w:lineRule="exact"/>
        <w:ind w:firstLine="640" w:firstLineChars="200"/>
        <w:jc w:val="left"/>
        <w:rPr>
          <w:rFonts w:ascii="彩虹粗仿宋" w:hAnsi="宋体" w:eastAsia="彩虹粗仿宋"/>
          <w:snapToGrid w:val="0"/>
          <w:sz w:val="32"/>
          <w:szCs w:val="32"/>
        </w:rPr>
      </w:pPr>
      <w:r>
        <w:rPr>
          <w:rFonts w:hint="eastAsia" w:ascii="彩虹粗仿宋" w:hAnsi="宋体" w:eastAsia="彩虹粗仿宋"/>
          <w:snapToGrid w:val="0"/>
          <w:sz w:val="32"/>
          <w:szCs w:val="32"/>
        </w:rPr>
        <w:t>建行广西分行2026年“双碳”试点楼宇碳抵消及碳中和服务采购</w:t>
      </w:r>
      <w:bookmarkStart w:id="0" w:name="_GoBack"/>
      <w:bookmarkEnd w:id="0"/>
    </w:p>
    <w:p>
      <w:pPr>
        <w:widowControl/>
        <w:snapToGrid w:val="0"/>
        <w:spacing w:line="560" w:lineRule="exact"/>
        <w:ind w:firstLine="640" w:firstLineChars="200"/>
        <w:jc w:val="left"/>
        <w:rPr>
          <w:rFonts w:ascii="彩虹黑体" w:hAnsi="彩虹粗仿宋" w:eastAsia="彩虹黑体" w:cs="彩虹粗仿宋"/>
          <w:bCs/>
          <w:sz w:val="32"/>
          <w:szCs w:val="32"/>
        </w:rPr>
      </w:pPr>
      <w:r>
        <w:rPr>
          <w:rFonts w:hint="eastAsia" w:ascii="彩虹黑体" w:hAnsi="彩虹粗仿宋" w:eastAsia="彩虹黑体" w:cs="彩虹粗仿宋"/>
          <w:bCs/>
          <w:sz w:val="32"/>
          <w:szCs w:val="32"/>
        </w:rPr>
        <w:t>二、服务供应商资质要求</w:t>
      </w:r>
    </w:p>
    <w:p>
      <w:pPr>
        <w:spacing w:line="560" w:lineRule="exact"/>
        <w:ind w:firstLine="640" w:firstLineChars="200"/>
        <w:jc w:val="left"/>
        <w:rPr>
          <w:rFonts w:ascii="彩虹粗仿宋" w:hAnsi="宋体" w:eastAsia="彩虹粗仿宋"/>
          <w:snapToGrid w:val="0"/>
          <w:sz w:val="32"/>
          <w:szCs w:val="32"/>
        </w:rPr>
      </w:pPr>
      <w:r>
        <w:rPr>
          <w:rFonts w:hint="eastAsia" w:ascii="彩虹粗仿宋" w:hAnsi="宋体" w:eastAsia="彩虹粗仿宋"/>
          <w:snapToGrid w:val="0"/>
          <w:sz w:val="32"/>
          <w:szCs w:val="32"/>
        </w:rPr>
        <w:t>1.</w:t>
      </w:r>
      <w:r>
        <w:rPr>
          <w:rFonts w:hint="eastAsia"/>
        </w:rPr>
        <w:t xml:space="preserve"> </w:t>
      </w:r>
      <w:r>
        <w:rPr>
          <w:rFonts w:hint="eastAsia" w:ascii="彩虹粗仿宋" w:hAnsi="宋体" w:eastAsia="彩虹粗仿宋"/>
          <w:snapToGrid w:val="0"/>
          <w:sz w:val="32"/>
          <w:szCs w:val="32"/>
        </w:rPr>
        <w:t>具备独立法人资格，有固定办公场所，具有良好的商业信誉和健全的财务会计制度。</w:t>
      </w:r>
    </w:p>
    <w:p>
      <w:pPr>
        <w:spacing w:line="560" w:lineRule="exact"/>
        <w:ind w:firstLine="640" w:firstLineChars="200"/>
        <w:jc w:val="left"/>
        <w:rPr>
          <w:rFonts w:ascii="彩虹粗仿宋" w:hAnsi="宋体" w:eastAsia="彩虹粗仿宋"/>
          <w:snapToGrid w:val="0"/>
          <w:sz w:val="32"/>
          <w:szCs w:val="32"/>
        </w:rPr>
      </w:pPr>
      <w:r>
        <w:rPr>
          <w:rFonts w:ascii="彩虹粗仿宋" w:hAnsi="宋体" w:eastAsia="彩虹粗仿宋"/>
          <w:snapToGrid w:val="0"/>
          <w:sz w:val="32"/>
          <w:szCs w:val="32"/>
        </w:rPr>
        <w:t>2</w:t>
      </w:r>
      <w:r>
        <w:rPr>
          <w:rFonts w:hint="eastAsia" w:ascii="彩虹粗仿宋" w:hAnsi="宋体" w:eastAsia="彩虹粗仿宋"/>
          <w:snapToGrid w:val="0"/>
          <w:sz w:val="32"/>
          <w:szCs w:val="32"/>
        </w:rPr>
        <w:t>.近三年在双碳领域完成至少一个实际应用案例，服务内容应包括碳排放盘查、碳排放核查、碳权交易、碳中和策略制定等（需提供相关案例合同扫描件等证明材料）。</w:t>
      </w:r>
    </w:p>
    <w:p>
      <w:pPr>
        <w:widowControl/>
        <w:snapToGrid w:val="0"/>
        <w:spacing w:line="560" w:lineRule="exact"/>
        <w:ind w:firstLine="640" w:firstLineChars="200"/>
        <w:rPr>
          <w:rFonts w:ascii="彩虹黑体" w:hAnsi="彩虹粗仿宋" w:eastAsia="彩虹黑体" w:cs="彩虹粗仿宋"/>
          <w:bCs/>
          <w:sz w:val="32"/>
          <w:szCs w:val="32"/>
        </w:rPr>
      </w:pPr>
      <w:r>
        <w:rPr>
          <w:rFonts w:hint="eastAsia" w:ascii="彩虹黑体" w:hAnsi="彩虹粗仿宋" w:eastAsia="彩虹黑体" w:cs="彩虹粗仿宋"/>
          <w:bCs/>
          <w:sz w:val="32"/>
          <w:szCs w:val="32"/>
        </w:rPr>
        <w:t>三、服务内容及质量保障</w:t>
      </w:r>
    </w:p>
    <w:p>
      <w:pPr>
        <w:widowControl/>
        <w:snapToGrid w:val="0"/>
        <w:spacing w:line="560" w:lineRule="exact"/>
        <w:ind w:firstLine="642" w:firstLineChars="200"/>
        <w:rPr>
          <w:rFonts w:ascii="彩虹楷体" w:hAnsi="彩虹楷体" w:eastAsia="彩虹楷体" w:cs="彩虹楷体"/>
          <w:b/>
          <w:bCs/>
          <w:sz w:val="32"/>
          <w:szCs w:val="32"/>
        </w:rPr>
      </w:pPr>
      <w:r>
        <w:rPr>
          <w:rFonts w:hint="eastAsia" w:ascii="彩虹楷体" w:hAnsi="彩虹楷体" w:eastAsia="彩虹楷体" w:cs="彩虹楷体"/>
          <w:b/>
          <w:bCs/>
          <w:sz w:val="32"/>
          <w:szCs w:val="32"/>
        </w:rPr>
        <w:t>（一）碳抵消服务</w:t>
      </w:r>
    </w:p>
    <w:p>
      <w:pPr>
        <w:snapToGrid w:val="0"/>
        <w:spacing w:line="560" w:lineRule="exact"/>
        <w:ind w:firstLine="640" w:firstLineChars="200"/>
        <w:jc w:val="left"/>
        <w:rPr>
          <w:rFonts w:ascii="彩虹粗仿宋" w:hAnsi="宋体" w:eastAsia="彩虹粗仿宋"/>
          <w:snapToGrid w:val="0"/>
          <w:sz w:val="32"/>
          <w:szCs w:val="32"/>
        </w:rPr>
      </w:pPr>
      <w:r>
        <w:rPr>
          <w:rFonts w:hint="eastAsia" w:ascii="彩虹粗仿宋" w:hAnsi="宋体" w:eastAsia="彩虹粗仿宋"/>
          <w:snapToGrid w:val="0"/>
          <w:sz w:val="32"/>
          <w:szCs w:val="32"/>
        </w:rPr>
        <w:t>1.对9栋试点楼宇（详见附件）开展2025年及2026年碳排放数据的盘查工作，收集各楼宇历史及当年用能数据、相关支撑资料等基础信息，开展用能摸排工作，并依据国家及行业碳排放核算标准开展碳排放核算、数据分析，精准制定碳抵消方案。</w:t>
      </w:r>
      <w:r>
        <w:rPr>
          <w:rFonts w:ascii="彩虹粗仿宋" w:hAnsi="宋体" w:eastAsia="彩虹粗仿宋"/>
          <w:snapToGrid w:val="0"/>
          <w:sz w:val="32"/>
          <w:szCs w:val="32"/>
        </w:rPr>
        <w:t xml:space="preserve"> </w:t>
      </w:r>
    </w:p>
    <w:p>
      <w:pPr>
        <w:widowControl/>
        <w:snapToGrid w:val="0"/>
        <w:spacing w:line="560" w:lineRule="exact"/>
        <w:ind w:firstLine="640" w:firstLineChars="200"/>
        <w:rPr>
          <w:rFonts w:ascii="彩虹粗仿宋" w:hAnsi="宋体" w:eastAsia="彩虹粗仿宋"/>
          <w:snapToGrid w:val="0"/>
          <w:sz w:val="32"/>
          <w:szCs w:val="32"/>
        </w:rPr>
      </w:pPr>
      <w:r>
        <w:rPr>
          <w:rFonts w:hint="eastAsia" w:ascii="彩虹粗仿宋" w:hAnsi="宋体" w:eastAsia="彩虹粗仿宋"/>
          <w:snapToGrid w:val="0"/>
          <w:sz w:val="32"/>
          <w:szCs w:val="32"/>
        </w:rPr>
        <w:t>2.常态化提供碳管理日常保障与专项服务：根据当前能耗数据测算完成进度；对比历史同期及行内同类楼宇数据，排查能耗异常波动、剖析成因，排查潜在风险并提出整改优化建议。</w:t>
      </w:r>
    </w:p>
    <w:p>
      <w:pPr>
        <w:snapToGrid w:val="0"/>
        <w:spacing w:line="560" w:lineRule="exact"/>
        <w:ind w:firstLine="640" w:firstLineChars="200"/>
        <w:jc w:val="left"/>
        <w:rPr>
          <w:rFonts w:ascii="彩虹粗仿宋" w:hAnsi="宋体" w:eastAsia="彩虹粗仿宋"/>
          <w:snapToGrid w:val="0"/>
          <w:sz w:val="32"/>
          <w:szCs w:val="32"/>
        </w:rPr>
      </w:pPr>
      <w:r>
        <w:rPr>
          <w:rFonts w:ascii="彩虹粗仿宋" w:hAnsi="宋体" w:eastAsia="彩虹粗仿宋"/>
          <w:snapToGrid w:val="0"/>
          <w:sz w:val="32"/>
          <w:szCs w:val="32"/>
        </w:rPr>
        <w:t>3</w:t>
      </w:r>
      <w:r>
        <w:rPr>
          <w:rFonts w:hint="eastAsia" w:ascii="彩虹粗仿宋" w:hAnsi="宋体" w:eastAsia="彩虹粗仿宋"/>
          <w:snapToGrid w:val="0"/>
          <w:sz w:val="32"/>
          <w:szCs w:val="32"/>
        </w:rPr>
        <w:t>.严格筛选符合要求的碳信用项目，确保碳信用的真实性、有效性。优先选择经过国家核证自愿减排量或国际认可的碳信用机制认证的项目。对碳信用项目的基本信息、减排量计算方法等进行详细审核，确保碳信用来源可靠。</w:t>
      </w:r>
    </w:p>
    <w:p>
      <w:pPr>
        <w:snapToGrid w:val="0"/>
        <w:spacing w:line="560" w:lineRule="exact"/>
        <w:ind w:firstLine="640" w:firstLineChars="200"/>
        <w:jc w:val="left"/>
        <w:rPr>
          <w:rFonts w:ascii="彩虹粗仿宋" w:hAnsi="宋体" w:eastAsia="彩虹粗仿宋"/>
          <w:snapToGrid w:val="0"/>
          <w:sz w:val="32"/>
          <w:szCs w:val="32"/>
        </w:rPr>
      </w:pPr>
      <w:r>
        <w:rPr>
          <w:rFonts w:ascii="彩虹粗仿宋" w:hAnsi="宋体" w:eastAsia="彩虹粗仿宋"/>
          <w:snapToGrid w:val="0"/>
          <w:sz w:val="32"/>
          <w:szCs w:val="32"/>
        </w:rPr>
        <w:t>4</w:t>
      </w:r>
      <w:r>
        <w:rPr>
          <w:rFonts w:hint="eastAsia" w:ascii="彩虹粗仿宋" w:hAnsi="宋体" w:eastAsia="彩虹粗仿宋"/>
          <w:snapToGrid w:val="0"/>
          <w:sz w:val="32"/>
          <w:szCs w:val="32"/>
        </w:rPr>
        <w:t>.协助试点机构完成碳信用的购买、交易等手续，确保交易过程合法、合规、透明。提供专业的交易咨询服务，对交易价格、合同条款等进行审核和建议。交易过程中需严格保护我行的商业机密和个人信息。</w:t>
      </w:r>
    </w:p>
    <w:p>
      <w:pPr>
        <w:snapToGrid w:val="0"/>
        <w:spacing w:line="560" w:lineRule="exact"/>
        <w:ind w:firstLine="640" w:firstLineChars="200"/>
        <w:jc w:val="left"/>
        <w:rPr>
          <w:rFonts w:ascii="彩虹粗仿宋" w:hAnsi="宋体" w:eastAsia="彩虹粗仿宋"/>
          <w:snapToGrid w:val="0"/>
          <w:sz w:val="32"/>
          <w:szCs w:val="32"/>
        </w:rPr>
      </w:pPr>
      <w:r>
        <w:rPr>
          <w:rFonts w:ascii="彩虹粗仿宋" w:hAnsi="宋体" w:eastAsia="彩虹粗仿宋"/>
          <w:snapToGrid w:val="0"/>
          <w:sz w:val="32"/>
          <w:szCs w:val="32"/>
        </w:rPr>
        <w:t>5</w:t>
      </w:r>
      <w:r>
        <w:rPr>
          <w:rFonts w:hint="eastAsia" w:ascii="彩虹粗仿宋" w:hAnsi="宋体" w:eastAsia="彩虹粗仿宋"/>
          <w:snapToGrid w:val="0"/>
          <w:sz w:val="32"/>
          <w:szCs w:val="32"/>
        </w:rPr>
        <w:t>.及时跟进碳信用的注册、注销等手续，确保抵消量准确记录并得到相关机构的认可。建立详细的碳抵消台账，记录碳信用来源、交易时间、抵消量等信息，以便后续核查和追溯。</w:t>
      </w:r>
    </w:p>
    <w:p>
      <w:pPr>
        <w:widowControl/>
        <w:snapToGrid w:val="0"/>
        <w:spacing w:line="560" w:lineRule="exact"/>
        <w:ind w:firstLine="642" w:firstLineChars="200"/>
        <w:rPr>
          <w:rFonts w:ascii="彩虹楷体" w:hAnsi="彩虹楷体" w:eastAsia="彩虹楷体" w:cs="彩虹楷体"/>
          <w:b/>
          <w:bCs/>
          <w:sz w:val="32"/>
          <w:szCs w:val="32"/>
        </w:rPr>
      </w:pPr>
      <w:r>
        <w:rPr>
          <w:rFonts w:hint="eastAsia" w:ascii="彩虹楷体" w:hAnsi="彩虹楷体" w:eastAsia="彩虹楷体" w:cs="彩虹楷体"/>
          <w:b/>
          <w:bCs/>
          <w:sz w:val="32"/>
          <w:szCs w:val="32"/>
        </w:rPr>
        <w:t>（二）碳中和评价</w:t>
      </w:r>
    </w:p>
    <w:p>
      <w:pPr>
        <w:snapToGrid w:val="0"/>
        <w:spacing w:line="560" w:lineRule="exact"/>
        <w:ind w:firstLine="640" w:firstLineChars="200"/>
        <w:jc w:val="left"/>
        <w:rPr>
          <w:rFonts w:ascii="彩虹粗仿宋" w:hAnsi="宋体" w:eastAsia="彩虹粗仿宋"/>
          <w:snapToGrid w:val="0"/>
          <w:sz w:val="32"/>
          <w:szCs w:val="32"/>
        </w:rPr>
      </w:pPr>
      <w:r>
        <w:rPr>
          <w:rFonts w:hint="eastAsia" w:ascii="彩虹粗仿宋" w:hAnsi="宋体" w:eastAsia="彩虹粗仿宋"/>
          <w:snapToGrid w:val="0"/>
          <w:sz w:val="32"/>
          <w:szCs w:val="32"/>
        </w:rPr>
        <w:t>1.对试点机构已采取的减排措施进行全面评估，包括技术改造、能源管理优化等措施的实施效果和减排潜力。评估需基于实际数据和案例分析，提供客观、准确的评估结论，并提出进一步改进建议。</w:t>
      </w:r>
    </w:p>
    <w:p>
      <w:pPr>
        <w:snapToGrid w:val="0"/>
        <w:spacing w:line="560" w:lineRule="exact"/>
        <w:ind w:firstLine="640" w:firstLineChars="200"/>
        <w:jc w:val="left"/>
        <w:rPr>
          <w:rFonts w:ascii="彩虹粗仿宋" w:hAnsi="宋体" w:eastAsia="彩虹粗仿宋"/>
          <w:snapToGrid w:val="0"/>
          <w:sz w:val="32"/>
          <w:szCs w:val="32"/>
        </w:rPr>
      </w:pPr>
      <w:r>
        <w:rPr>
          <w:rFonts w:ascii="彩虹粗仿宋" w:hAnsi="宋体" w:eastAsia="彩虹粗仿宋"/>
          <w:snapToGrid w:val="0"/>
          <w:sz w:val="32"/>
          <w:szCs w:val="32"/>
        </w:rPr>
        <w:t>2</w:t>
      </w:r>
      <w:r>
        <w:rPr>
          <w:rFonts w:hint="eastAsia" w:ascii="彩虹粗仿宋" w:hAnsi="宋体" w:eastAsia="彩虹粗仿宋"/>
          <w:snapToGrid w:val="0"/>
          <w:sz w:val="32"/>
          <w:szCs w:val="32"/>
        </w:rPr>
        <w:t>.确认试点楼宇实现中和后，出具9栋试点楼宇的碳中和证书。</w:t>
      </w:r>
    </w:p>
    <w:p>
      <w:pPr>
        <w:snapToGrid w:val="0"/>
        <w:spacing w:line="560" w:lineRule="exact"/>
        <w:ind w:firstLine="640" w:firstLineChars="200"/>
        <w:jc w:val="left"/>
        <w:rPr>
          <w:rFonts w:ascii="彩虹粗仿宋" w:hAnsi="宋体" w:eastAsia="彩虹粗仿宋"/>
          <w:snapToGrid w:val="0"/>
          <w:sz w:val="32"/>
          <w:szCs w:val="32"/>
        </w:rPr>
      </w:pPr>
      <w:r>
        <w:rPr>
          <w:rFonts w:hint="eastAsia" w:ascii="彩虹粗仿宋" w:hAnsi="宋体" w:eastAsia="彩虹粗仿宋"/>
          <w:snapToGrid w:val="0"/>
          <w:sz w:val="32"/>
          <w:szCs w:val="32"/>
        </w:rPr>
        <w:t>3</w:t>
      </w:r>
      <w:r>
        <w:rPr>
          <w:rFonts w:ascii="彩虹粗仿宋" w:hAnsi="宋体" w:eastAsia="彩虹粗仿宋"/>
          <w:snapToGrid w:val="0"/>
          <w:sz w:val="32"/>
          <w:szCs w:val="32"/>
        </w:rPr>
        <w:t>.系统梳理</w:t>
      </w:r>
      <w:r>
        <w:rPr>
          <w:rFonts w:hint="eastAsia" w:ascii="彩虹粗仿宋" w:hAnsi="宋体" w:eastAsia="彩虹粗仿宋"/>
          <w:snapToGrid w:val="0"/>
          <w:sz w:val="32"/>
          <w:szCs w:val="32"/>
        </w:rPr>
        <w:t>9</w:t>
      </w:r>
      <w:r>
        <w:rPr>
          <w:rFonts w:ascii="彩虹粗仿宋" w:hAnsi="宋体" w:eastAsia="彩虹粗仿宋"/>
          <w:snapToGrid w:val="0"/>
          <w:sz w:val="32"/>
          <w:szCs w:val="32"/>
        </w:rPr>
        <w:t>栋试点楼宇全年能碳数据、</w:t>
      </w:r>
      <w:r>
        <w:rPr>
          <w:rFonts w:hint="eastAsia" w:ascii="彩虹粗仿宋" w:hAnsi="宋体" w:eastAsia="彩虹粗仿宋"/>
          <w:snapToGrid w:val="0"/>
          <w:sz w:val="32"/>
          <w:szCs w:val="32"/>
        </w:rPr>
        <w:t>碳中和</w:t>
      </w:r>
      <w:r>
        <w:rPr>
          <w:rFonts w:ascii="彩虹粗仿宋" w:hAnsi="宋体" w:eastAsia="彩虹粗仿宋"/>
          <w:snapToGrid w:val="0"/>
          <w:sz w:val="32"/>
          <w:szCs w:val="32"/>
        </w:rPr>
        <w:t>达成情况、整改落实情况等相关资料，结合</w:t>
      </w:r>
      <w:r>
        <w:rPr>
          <w:rFonts w:hint="eastAsia" w:ascii="彩虹粗仿宋" w:hAnsi="宋体" w:eastAsia="彩虹粗仿宋"/>
          <w:snapToGrid w:val="0"/>
          <w:sz w:val="32"/>
          <w:szCs w:val="32"/>
        </w:rPr>
        <w:t>我行考核</w:t>
      </w:r>
      <w:r>
        <w:rPr>
          <w:rFonts w:ascii="彩虹粗仿宋" w:hAnsi="宋体" w:eastAsia="彩虹粗仿宋"/>
          <w:snapToGrid w:val="0"/>
          <w:sz w:val="32"/>
          <w:szCs w:val="32"/>
        </w:rPr>
        <w:t>标准，全面总结试点工作成效、存在的问题及改进方向，编制“双碳”试点自评价报告。并同步归集整理全套佐证支撑材料，确保满足</w:t>
      </w:r>
      <w:r>
        <w:rPr>
          <w:rFonts w:hint="eastAsia" w:ascii="彩虹粗仿宋" w:hAnsi="宋体" w:eastAsia="彩虹粗仿宋"/>
          <w:snapToGrid w:val="0"/>
          <w:sz w:val="32"/>
          <w:szCs w:val="32"/>
        </w:rPr>
        <w:t>我行</w:t>
      </w:r>
      <w:r>
        <w:rPr>
          <w:rFonts w:ascii="彩虹粗仿宋" w:hAnsi="宋体" w:eastAsia="彩虹粗仿宋"/>
          <w:snapToGrid w:val="0"/>
          <w:sz w:val="32"/>
          <w:szCs w:val="32"/>
        </w:rPr>
        <w:t>试点考核验收各项标准要求。报告内容需全面覆盖试点楼宇的节能降碳工作举措、碳排放数据、碳抵销、碳中和等相关内容。</w:t>
      </w:r>
    </w:p>
    <w:p>
      <w:pPr>
        <w:widowControl/>
        <w:snapToGrid w:val="0"/>
        <w:spacing w:line="560" w:lineRule="exact"/>
        <w:ind w:firstLine="642" w:firstLineChars="200"/>
        <w:rPr>
          <w:rFonts w:ascii="彩虹楷体" w:hAnsi="彩虹楷体" w:eastAsia="彩虹楷体" w:cs="彩虹楷体"/>
          <w:b/>
          <w:bCs/>
          <w:sz w:val="32"/>
          <w:szCs w:val="32"/>
        </w:rPr>
      </w:pPr>
      <w:r>
        <w:rPr>
          <w:rFonts w:hint="eastAsia" w:ascii="彩虹楷体" w:hAnsi="彩虹楷体" w:eastAsia="彩虹楷体" w:cs="彩虹楷体"/>
          <w:b/>
          <w:bCs/>
          <w:sz w:val="32"/>
          <w:szCs w:val="32"/>
        </w:rPr>
        <w:t>（四）服务团队要求</w:t>
      </w:r>
    </w:p>
    <w:p>
      <w:pPr>
        <w:snapToGrid w:val="0"/>
        <w:spacing w:line="560" w:lineRule="exact"/>
        <w:ind w:firstLine="640" w:firstLineChars="200"/>
        <w:jc w:val="left"/>
        <w:rPr>
          <w:rFonts w:ascii="彩虹粗仿宋" w:hAnsi="宋体" w:eastAsia="彩虹粗仿宋"/>
          <w:snapToGrid w:val="0"/>
          <w:sz w:val="32"/>
          <w:szCs w:val="32"/>
        </w:rPr>
      </w:pPr>
      <w:r>
        <w:rPr>
          <w:rFonts w:hint="eastAsia" w:ascii="彩虹粗仿宋" w:hAnsi="宋体" w:eastAsia="彩虹粗仿宋"/>
          <w:snapToGrid w:val="0"/>
          <w:sz w:val="32"/>
          <w:szCs w:val="32"/>
        </w:rPr>
        <w:t>本项目团队不少于</w:t>
      </w:r>
      <w:r>
        <w:rPr>
          <w:rFonts w:ascii="彩虹粗仿宋" w:hAnsi="宋体" w:eastAsia="彩虹粗仿宋"/>
          <w:snapToGrid w:val="0"/>
          <w:sz w:val="32"/>
          <w:szCs w:val="32"/>
        </w:rPr>
        <w:t>2</w:t>
      </w:r>
      <w:r>
        <w:rPr>
          <w:rFonts w:hint="eastAsia" w:ascii="彩虹粗仿宋" w:hAnsi="宋体" w:eastAsia="彩虹粗仿宋"/>
          <w:snapToGrid w:val="0"/>
          <w:sz w:val="32"/>
          <w:szCs w:val="32"/>
        </w:rPr>
        <w:t>人，并具备三年以上碳排放数据核算经验。</w:t>
      </w:r>
    </w:p>
    <w:p>
      <w:pPr>
        <w:widowControl/>
        <w:snapToGrid w:val="0"/>
        <w:spacing w:line="560" w:lineRule="exact"/>
        <w:ind w:firstLine="642" w:firstLineChars="200"/>
        <w:rPr>
          <w:rFonts w:ascii="彩虹楷体" w:hAnsi="彩虹楷体" w:eastAsia="彩虹楷体" w:cs="彩虹楷体"/>
          <w:b/>
          <w:bCs/>
          <w:sz w:val="32"/>
          <w:szCs w:val="32"/>
        </w:rPr>
      </w:pPr>
      <w:r>
        <w:rPr>
          <w:rFonts w:hint="eastAsia" w:ascii="彩虹楷体" w:hAnsi="彩虹楷体" w:eastAsia="彩虹楷体" w:cs="彩虹楷体"/>
          <w:b/>
          <w:bCs/>
          <w:sz w:val="32"/>
          <w:szCs w:val="32"/>
        </w:rPr>
        <w:t>（五）质量保障</w:t>
      </w:r>
    </w:p>
    <w:p>
      <w:pPr>
        <w:snapToGrid w:val="0"/>
        <w:spacing w:line="560" w:lineRule="exact"/>
        <w:ind w:firstLine="640" w:firstLineChars="200"/>
        <w:jc w:val="left"/>
        <w:rPr>
          <w:rFonts w:ascii="彩虹粗仿宋" w:hAnsi="宋体" w:eastAsia="彩虹粗仿宋"/>
          <w:snapToGrid w:val="0"/>
          <w:sz w:val="32"/>
          <w:szCs w:val="32"/>
        </w:rPr>
      </w:pPr>
      <w:r>
        <w:rPr>
          <w:rFonts w:hint="eastAsia" w:ascii="彩虹粗仿宋" w:hAnsi="宋体" w:eastAsia="彩虹粗仿宋"/>
          <w:snapToGrid w:val="0"/>
          <w:sz w:val="32"/>
          <w:szCs w:val="32"/>
        </w:rPr>
        <w:t>1.服务机构需制定详细项目进度表，明确各阶段时间节点，定期向试点机构汇报进展，并对服务各环节进行严格审核和监督，确保服务过程符合相关标准和规范。</w:t>
      </w:r>
    </w:p>
    <w:p>
      <w:pPr>
        <w:snapToGrid w:val="0"/>
        <w:spacing w:line="560" w:lineRule="exact"/>
        <w:ind w:firstLine="640" w:firstLineChars="200"/>
        <w:jc w:val="left"/>
        <w:rPr>
          <w:rFonts w:ascii="彩虹粗仿宋" w:hAnsi="宋体" w:eastAsia="彩虹粗仿宋"/>
          <w:snapToGrid w:val="0"/>
          <w:sz w:val="32"/>
          <w:szCs w:val="32"/>
        </w:rPr>
      </w:pPr>
      <w:r>
        <w:rPr>
          <w:rFonts w:hint="eastAsia" w:ascii="彩虹粗仿宋" w:hAnsi="宋体" w:eastAsia="彩虹粗仿宋"/>
          <w:snapToGrid w:val="0"/>
          <w:sz w:val="32"/>
          <w:szCs w:val="32"/>
        </w:rPr>
        <w:t>2.试点机构有权对服务机构的工作进行不定期检查和监督，包括查阅相关资料、询问工作人员等。服务机构需积极配合，及时响应试点机构提出的问题和要求，响应时效小于2小时。</w:t>
      </w:r>
    </w:p>
    <w:p>
      <w:pPr>
        <w:widowControl/>
        <w:snapToGrid w:val="0"/>
        <w:spacing w:line="560" w:lineRule="exact"/>
        <w:ind w:firstLine="640" w:firstLineChars="200"/>
        <w:rPr>
          <w:rFonts w:ascii="彩虹黑体" w:hAnsi="彩虹粗仿宋" w:eastAsia="彩虹黑体" w:cs="彩虹粗仿宋"/>
          <w:bCs/>
          <w:sz w:val="32"/>
          <w:szCs w:val="32"/>
        </w:rPr>
      </w:pPr>
      <w:r>
        <w:rPr>
          <w:rFonts w:hint="eastAsia" w:ascii="彩虹黑体" w:hAnsi="彩虹粗仿宋" w:eastAsia="彩虹黑体" w:cs="彩虹粗仿宋"/>
          <w:bCs/>
          <w:sz w:val="32"/>
          <w:szCs w:val="32"/>
        </w:rPr>
        <w:t>四、售后服务</w:t>
      </w:r>
    </w:p>
    <w:p>
      <w:pPr>
        <w:widowControl/>
        <w:snapToGrid w:val="0"/>
        <w:spacing w:line="560" w:lineRule="exact"/>
        <w:ind w:firstLine="640" w:firstLineChars="200"/>
        <w:rPr>
          <w:rFonts w:ascii="彩虹粗仿宋" w:hAnsi="彩虹粗仿宋" w:eastAsia="彩虹粗仿宋" w:cs="彩虹粗仿宋"/>
          <w:sz w:val="32"/>
          <w:szCs w:val="32"/>
          <w:lang w:bidi="ar"/>
        </w:rPr>
      </w:pPr>
      <w:r>
        <w:rPr>
          <w:rFonts w:hint="eastAsia" w:ascii="彩虹粗仿宋" w:hAnsi="彩虹粗仿宋" w:eastAsia="彩虹粗仿宋" w:cs="彩虹粗仿宋"/>
          <w:sz w:val="32"/>
          <w:szCs w:val="32"/>
        </w:rPr>
        <w:t>根据建行广西分行的时限要求，完成碳抵销、碳中和评价等服务内容。涉及的节能减排措施和碳汇采购方案，建行有新的调整需求及变化时，</w:t>
      </w:r>
      <w:r>
        <w:rPr>
          <w:rFonts w:hint="eastAsia" w:ascii="彩虹粗仿宋" w:hAnsi="彩虹粗仿宋" w:eastAsia="彩虹粗仿宋" w:cs="彩虹粗仿宋"/>
          <w:sz w:val="32"/>
          <w:szCs w:val="32"/>
          <w:lang w:bidi="ar"/>
        </w:rPr>
        <w:t>供应商应全力配合及时调整。</w:t>
      </w:r>
    </w:p>
    <w:p>
      <w:pPr>
        <w:widowControl/>
        <w:snapToGrid w:val="0"/>
        <w:spacing w:line="560" w:lineRule="exact"/>
        <w:ind w:firstLine="640" w:firstLineChars="200"/>
        <w:rPr>
          <w:rFonts w:ascii="彩虹黑体" w:hAnsi="彩虹粗仿宋" w:eastAsia="彩虹黑体" w:cs="彩虹粗仿宋"/>
          <w:bCs/>
          <w:sz w:val="32"/>
          <w:szCs w:val="32"/>
        </w:rPr>
      </w:pPr>
      <w:r>
        <w:rPr>
          <w:rFonts w:hint="eastAsia" w:ascii="彩虹黑体" w:hAnsi="彩虹粗仿宋" w:eastAsia="彩虹黑体" w:cs="彩虹粗仿宋"/>
          <w:bCs/>
          <w:sz w:val="32"/>
          <w:szCs w:val="32"/>
        </w:rPr>
        <w:t>五、违约责任</w:t>
      </w:r>
    </w:p>
    <w:p>
      <w:pPr>
        <w:widowControl/>
        <w:snapToGrid w:val="0"/>
        <w:spacing w:line="560" w:lineRule="exact"/>
        <w:ind w:firstLine="640" w:firstLineChars="200"/>
        <w:rPr>
          <w:rFonts w:ascii="彩虹粗仿宋" w:hAnsi="宋体" w:eastAsia="彩虹粗仿宋"/>
          <w:snapToGrid w:val="0"/>
          <w:sz w:val="32"/>
          <w:szCs w:val="32"/>
        </w:rPr>
      </w:pPr>
      <w:r>
        <w:rPr>
          <w:rFonts w:hint="eastAsia" w:ascii="彩虹粗仿宋" w:hAnsi="宋体" w:eastAsia="彩虹粗仿宋"/>
          <w:snapToGrid w:val="0"/>
          <w:sz w:val="32"/>
          <w:szCs w:val="32"/>
        </w:rPr>
        <w:t>因供应商自身经营和管理问题，导致碳排放盘查、碳抵销、碳中和评价等服务工作未按项目进度表如期推进，导致服务期延误的，我行有权要求供应商继续履行或采取补救措施，同时供应商应自每一项服务工作逾期之日起，按照服务总价款的3‰乘以逾期天数向我行支付违约金。</w:t>
      </w:r>
    </w:p>
    <w:p>
      <w:pPr>
        <w:widowControl/>
        <w:snapToGrid w:val="0"/>
        <w:spacing w:line="560" w:lineRule="exact"/>
        <w:ind w:firstLine="640" w:firstLineChars="200"/>
        <w:rPr>
          <w:rFonts w:ascii="彩虹黑体" w:hAnsi="彩虹粗仿宋" w:eastAsia="彩虹黑体" w:cs="彩虹粗仿宋"/>
          <w:bCs/>
          <w:sz w:val="32"/>
          <w:szCs w:val="32"/>
        </w:rPr>
      </w:pPr>
      <w:r>
        <w:rPr>
          <w:rFonts w:hint="eastAsia" w:ascii="彩虹黑体" w:hAnsi="彩虹粗仿宋" w:eastAsia="彩虹黑体" w:cs="彩虹粗仿宋"/>
          <w:bCs/>
          <w:sz w:val="32"/>
          <w:szCs w:val="32"/>
        </w:rPr>
        <w:t>六、报价要求</w:t>
      </w:r>
    </w:p>
    <w:p>
      <w:pPr>
        <w:widowControl/>
        <w:snapToGrid w:val="0"/>
        <w:spacing w:line="560" w:lineRule="exact"/>
        <w:ind w:firstLine="640" w:firstLineChars="200"/>
        <w:rPr>
          <w:rFonts w:ascii="彩虹粗仿宋" w:hAnsi="彩虹粗仿宋" w:eastAsia="彩虹粗仿宋" w:cs="彩虹粗仿宋"/>
          <w:sz w:val="32"/>
          <w:szCs w:val="32"/>
        </w:rPr>
      </w:pPr>
      <w:r>
        <w:rPr>
          <w:rFonts w:hint="eastAsia" w:ascii="彩虹粗仿宋" w:hAnsi="彩虹粗仿宋" w:eastAsia="彩虹粗仿宋" w:cs="彩虹粗仿宋"/>
          <w:sz w:val="32"/>
          <w:szCs w:val="32"/>
        </w:rPr>
        <w:t>1.供应商按照服务内容和要求进行自主报价，所有报价均为含税价格，并注明适用增值税率。</w:t>
      </w:r>
    </w:p>
    <w:p>
      <w:pPr>
        <w:widowControl/>
        <w:snapToGrid w:val="0"/>
        <w:spacing w:line="560" w:lineRule="exact"/>
        <w:ind w:firstLine="640" w:firstLineChars="200"/>
        <w:rPr>
          <w:rFonts w:ascii="彩虹粗仿宋" w:hAnsi="彩虹粗仿宋" w:eastAsia="彩虹粗仿宋" w:cs="彩虹粗仿宋"/>
          <w:sz w:val="32"/>
          <w:szCs w:val="32"/>
        </w:rPr>
      </w:pPr>
      <w:r>
        <w:rPr>
          <w:rFonts w:ascii="彩虹粗仿宋" w:hAnsi="彩虹粗仿宋" w:eastAsia="彩虹粗仿宋" w:cs="彩虹粗仿宋"/>
          <w:sz w:val="32"/>
          <w:szCs w:val="32"/>
        </w:rPr>
        <w:t>2</w:t>
      </w:r>
      <w:r>
        <w:rPr>
          <w:rFonts w:hint="eastAsia" w:ascii="彩虹粗仿宋" w:hAnsi="彩虹粗仿宋" w:eastAsia="彩虹粗仿宋" w:cs="彩虹粗仿宋"/>
          <w:sz w:val="32"/>
          <w:szCs w:val="32"/>
        </w:rPr>
        <w:t>.如依据我国法律法规及税收政策，合同期内商品所涉及的增值税税率发生调整，双方一致同意按照调整后的增值税税率相应调整产品价款，调整方法如下：即自增值税税率调整之日起，在原不含税价格不变的基础上，按照新税率重新计算含税价格。</w:t>
      </w:r>
    </w:p>
    <w:p>
      <w:pPr>
        <w:widowControl/>
        <w:snapToGrid w:val="0"/>
        <w:spacing w:line="560" w:lineRule="exact"/>
        <w:ind w:firstLine="640" w:firstLineChars="200"/>
        <w:rPr>
          <w:rFonts w:ascii="彩虹黑体" w:hAnsi="彩虹粗仿宋" w:eastAsia="彩虹黑体" w:cs="彩虹粗仿宋"/>
          <w:bCs/>
          <w:sz w:val="32"/>
          <w:szCs w:val="32"/>
        </w:rPr>
      </w:pPr>
      <w:r>
        <w:rPr>
          <w:rFonts w:hint="eastAsia" w:ascii="彩虹黑体" w:hAnsi="彩虹粗仿宋" w:eastAsia="彩虹黑体" w:cs="彩虹粗仿宋"/>
          <w:bCs/>
          <w:sz w:val="32"/>
          <w:szCs w:val="32"/>
        </w:rPr>
        <w:t>七、付款方式</w:t>
      </w:r>
    </w:p>
    <w:p>
      <w:pPr>
        <w:widowControl/>
        <w:snapToGrid w:val="0"/>
        <w:spacing w:line="560" w:lineRule="exact"/>
        <w:ind w:firstLine="640" w:firstLineChars="200"/>
        <w:rPr>
          <w:rFonts w:ascii="彩虹粗仿宋" w:hAnsi="彩虹粗仿宋" w:eastAsia="彩虹粗仿宋" w:cs="彩虹粗仿宋"/>
          <w:sz w:val="32"/>
          <w:szCs w:val="32"/>
        </w:rPr>
      </w:pPr>
      <w:r>
        <w:rPr>
          <w:rFonts w:hint="eastAsia" w:ascii="彩虹粗仿宋" w:hAnsi="彩虹粗仿宋" w:eastAsia="彩虹粗仿宋" w:cs="彩虹粗仿宋"/>
          <w:sz w:val="32"/>
          <w:szCs w:val="32"/>
        </w:rPr>
        <w:t>1.根据需求下单，据实支付。</w:t>
      </w:r>
    </w:p>
    <w:p>
      <w:pPr>
        <w:widowControl/>
        <w:snapToGrid w:val="0"/>
        <w:spacing w:line="560" w:lineRule="exact"/>
        <w:ind w:firstLine="640" w:firstLineChars="200"/>
        <w:rPr>
          <w:rFonts w:ascii="彩虹粗仿宋" w:hAnsi="彩虹粗仿宋" w:eastAsia="彩虹粗仿宋" w:cs="彩虹粗仿宋"/>
          <w:sz w:val="32"/>
          <w:szCs w:val="32"/>
        </w:rPr>
      </w:pPr>
      <w:r>
        <w:rPr>
          <w:rFonts w:hint="eastAsia" w:ascii="彩虹粗仿宋" w:hAnsi="彩虹粗仿宋" w:eastAsia="彩虹粗仿宋" w:cs="彩虹粗仿宋"/>
          <w:sz w:val="32"/>
          <w:szCs w:val="32"/>
        </w:rPr>
        <w:t>2.付款方式：通过建行账户以银行转账方式支付，完成合同约定所有服务内容，需求部门验收合格后30个工作日内支付合同金额。</w:t>
      </w:r>
    </w:p>
    <w:p>
      <w:pPr>
        <w:widowControl/>
        <w:snapToGrid w:val="0"/>
        <w:spacing w:line="560" w:lineRule="exact"/>
        <w:ind w:firstLine="640" w:firstLineChars="200"/>
        <w:rPr>
          <w:rFonts w:ascii="彩虹黑体" w:hAnsi="彩虹黑体" w:eastAsia="彩虹黑体" w:cs="彩虹黑体"/>
          <w:bCs/>
          <w:snapToGrid w:val="0"/>
          <w:sz w:val="32"/>
          <w:szCs w:val="32"/>
        </w:rPr>
      </w:pPr>
      <w:r>
        <w:rPr>
          <w:rFonts w:hint="eastAsia" w:ascii="彩虹黑体" w:hAnsi="彩虹粗仿宋" w:eastAsia="彩虹黑体" w:cs="彩虹粗仿宋"/>
          <w:bCs/>
          <w:sz w:val="32"/>
          <w:szCs w:val="32"/>
        </w:rPr>
        <w:t>八、服务供应安排</w:t>
      </w:r>
    </w:p>
    <w:p>
      <w:pPr>
        <w:widowControl/>
        <w:snapToGrid w:val="0"/>
        <w:spacing w:line="560" w:lineRule="exact"/>
        <w:ind w:firstLine="640" w:firstLineChars="200"/>
        <w:rPr>
          <w:rFonts w:ascii="彩虹粗仿宋" w:hAnsi="彩虹粗仿宋" w:eastAsia="彩虹粗仿宋" w:cs="彩虹粗仿宋"/>
          <w:sz w:val="32"/>
          <w:szCs w:val="32"/>
        </w:rPr>
      </w:pPr>
      <w:r>
        <w:rPr>
          <w:rFonts w:hint="eastAsia" w:ascii="彩虹粗仿宋" w:hAnsi="宋体" w:eastAsia="彩虹粗仿宋"/>
          <w:bCs/>
          <w:snapToGrid w:val="0"/>
          <w:sz w:val="32"/>
          <w:szCs w:val="32"/>
        </w:rPr>
        <w:t>供应商在收到入选通知书后，需在5个工作日内</w:t>
      </w:r>
      <w:r>
        <w:rPr>
          <w:rFonts w:hint="eastAsia" w:ascii="彩虹粗仿宋" w:hAnsi="彩虹粗仿宋" w:eastAsia="彩虹粗仿宋" w:cs="彩虹粗仿宋"/>
          <w:sz w:val="32"/>
          <w:szCs w:val="32"/>
        </w:rPr>
        <w:t>指定一名专人与我行工作人员对接“双碳”试点服务工作并完成合同签订。签订合同后，按要求及时开展相关服务工作。</w:t>
      </w:r>
    </w:p>
    <w:p>
      <w:pPr>
        <w:widowControl/>
        <w:snapToGrid w:val="0"/>
        <w:spacing w:line="560" w:lineRule="exact"/>
        <w:ind w:firstLine="640" w:firstLineChars="200"/>
        <w:rPr>
          <w:rFonts w:ascii="彩虹黑体" w:hAnsi="彩虹粗仿宋" w:eastAsia="彩虹黑体" w:cs="彩虹粗仿宋"/>
          <w:bCs/>
          <w:sz w:val="32"/>
          <w:szCs w:val="32"/>
        </w:rPr>
      </w:pPr>
      <w:r>
        <w:rPr>
          <w:rFonts w:hint="eastAsia" w:ascii="彩虹黑体" w:hAnsi="彩虹粗仿宋" w:eastAsia="彩虹黑体" w:cs="彩虹粗仿宋"/>
          <w:bCs/>
          <w:sz w:val="32"/>
          <w:szCs w:val="32"/>
        </w:rPr>
        <w:t>九、保密</w:t>
      </w:r>
    </w:p>
    <w:p>
      <w:pPr>
        <w:widowControl/>
        <w:snapToGrid w:val="0"/>
        <w:spacing w:line="560" w:lineRule="exact"/>
        <w:ind w:firstLine="640" w:firstLineChars="200"/>
        <w:rPr>
          <w:rFonts w:ascii="彩虹粗仿宋" w:hAnsi="宋体" w:eastAsia="彩虹粗仿宋"/>
          <w:bCs/>
          <w:snapToGrid w:val="0"/>
          <w:sz w:val="32"/>
          <w:szCs w:val="32"/>
        </w:rPr>
      </w:pPr>
      <w:r>
        <w:rPr>
          <w:rFonts w:hint="eastAsia" w:ascii="彩虹粗仿宋" w:hAnsi="宋体" w:eastAsia="彩虹粗仿宋"/>
          <w:bCs/>
          <w:snapToGrid w:val="0"/>
          <w:sz w:val="32"/>
          <w:szCs w:val="32"/>
        </w:rPr>
        <w:t>1.供应商对我行委托的服务内容以及履约过程中知悉或获得的所有有关建设银行商业秘密、客户资料等信息（即“保密信息”）予以保密，不得拷贝、携带我行文件资料，未经我行书面同意，不得将保密信息泄漏给任何第三方。</w:t>
      </w:r>
    </w:p>
    <w:p>
      <w:pPr>
        <w:widowControl/>
        <w:snapToGrid w:val="0"/>
        <w:spacing w:line="560" w:lineRule="exact"/>
        <w:ind w:firstLine="640" w:firstLineChars="200"/>
        <w:rPr>
          <w:rFonts w:ascii="彩虹粗仿宋" w:hAnsi="彩虹粗仿宋" w:eastAsia="彩虹粗仿宋" w:cs="彩虹粗仿宋"/>
          <w:sz w:val="32"/>
          <w:szCs w:val="32"/>
        </w:rPr>
      </w:pPr>
      <w:r>
        <w:rPr>
          <w:rFonts w:hint="eastAsia" w:ascii="彩虹粗仿宋" w:hAnsi="宋体" w:eastAsia="彩虹粗仿宋"/>
          <w:bCs/>
          <w:snapToGrid w:val="0"/>
          <w:sz w:val="32"/>
          <w:szCs w:val="32"/>
        </w:rPr>
        <w:t>2.供应商违反保密义务的，供应商应当对建设银行因此所遭受的损失承担赔偿责任。</w:t>
      </w:r>
    </w:p>
    <w:p>
      <w:pPr>
        <w:widowControl/>
        <w:snapToGrid w:val="0"/>
        <w:spacing w:line="560" w:lineRule="exact"/>
        <w:ind w:firstLine="640" w:firstLineChars="200"/>
        <w:rPr>
          <w:rFonts w:ascii="彩虹黑体" w:hAnsi="彩虹粗仿宋" w:eastAsia="彩虹黑体" w:cs="彩虹粗仿宋"/>
          <w:bCs/>
          <w:sz w:val="32"/>
          <w:szCs w:val="32"/>
        </w:rPr>
      </w:pPr>
      <w:r>
        <w:rPr>
          <w:rFonts w:hint="eastAsia" w:ascii="彩虹黑体" w:hAnsi="彩虹粗仿宋" w:eastAsia="彩虹黑体" w:cs="彩虹粗仿宋"/>
          <w:bCs/>
          <w:sz w:val="32"/>
          <w:szCs w:val="32"/>
        </w:rPr>
        <w:t>十、合同签订及期限</w:t>
      </w:r>
    </w:p>
    <w:p>
      <w:pPr>
        <w:widowControl/>
        <w:snapToGrid w:val="0"/>
        <w:spacing w:line="560" w:lineRule="exact"/>
        <w:ind w:firstLine="640" w:firstLineChars="200"/>
        <w:rPr>
          <w:rFonts w:ascii="彩虹粗仿宋" w:hAnsi="彩虹粗仿宋" w:eastAsia="彩虹粗仿宋" w:cs="彩虹粗仿宋"/>
          <w:b/>
          <w:bCs/>
          <w:sz w:val="32"/>
          <w:szCs w:val="32"/>
        </w:rPr>
      </w:pPr>
      <w:r>
        <w:rPr>
          <w:rFonts w:hint="eastAsia" w:ascii="彩虹粗仿宋" w:hAnsi="彩虹粗仿宋" w:eastAsia="彩虹粗仿宋" w:cs="彩虹粗仿宋"/>
          <w:sz w:val="32"/>
          <w:szCs w:val="32"/>
        </w:rPr>
        <w:t>入选供应商与建行广西分行分行签订合同，合同期限为一年。</w:t>
      </w:r>
    </w:p>
    <w:p>
      <w:pPr>
        <w:widowControl/>
        <w:snapToGrid w:val="0"/>
        <w:spacing w:line="560" w:lineRule="exact"/>
        <w:ind w:firstLine="640" w:firstLineChars="200"/>
        <w:rPr>
          <w:rFonts w:ascii="彩虹黑体" w:hAnsi="彩虹粗仿宋" w:eastAsia="彩虹黑体" w:cs="彩虹粗仿宋"/>
          <w:bCs/>
          <w:sz w:val="32"/>
          <w:szCs w:val="32"/>
        </w:rPr>
      </w:pPr>
      <w:r>
        <w:rPr>
          <w:rFonts w:hint="eastAsia" w:ascii="彩虹黑体" w:hAnsi="彩虹粗仿宋" w:eastAsia="彩虹黑体" w:cs="彩虹粗仿宋"/>
          <w:bCs/>
          <w:sz w:val="32"/>
          <w:szCs w:val="32"/>
        </w:rPr>
        <w:t>十一、供应商入选数量</w:t>
      </w:r>
    </w:p>
    <w:p>
      <w:pPr>
        <w:widowControl/>
        <w:snapToGrid w:val="0"/>
        <w:spacing w:line="560" w:lineRule="exact"/>
        <w:ind w:firstLine="640" w:firstLineChars="200"/>
        <w:rPr>
          <w:rFonts w:ascii="彩虹粗仿宋" w:hAnsi="彩虹粗仿宋" w:eastAsia="彩虹粗仿宋" w:cs="彩虹粗仿宋"/>
          <w:sz w:val="32"/>
          <w:szCs w:val="32"/>
        </w:rPr>
      </w:pPr>
      <w:r>
        <w:rPr>
          <w:rFonts w:hint="eastAsia" w:ascii="彩虹粗仿宋" w:hAnsi="彩虹粗仿宋" w:eastAsia="彩虹粗仿宋" w:cs="彩虹粗仿宋"/>
          <w:sz w:val="32"/>
          <w:szCs w:val="32"/>
        </w:rPr>
        <w:t>入选一家供应商，备选一家。入选供应商不能履行我方合同约定时，则启用备选供应商。</w:t>
      </w:r>
    </w:p>
    <w:p>
      <w:pPr>
        <w:widowControl/>
        <w:spacing w:line="360" w:lineRule="auto"/>
        <w:jc w:val="left"/>
        <w:rPr>
          <w:rFonts w:ascii="Calibri" w:hAnsi="Calibri" w:eastAsia="宋体"/>
        </w:rPr>
      </w:pPr>
    </w:p>
    <w:p>
      <w:pPr>
        <w:widowControl/>
        <w:snapToGrid w:val="0"/>
        <w:spacing w:line="560" w:lineRule="exact"/>
        <w:ind w:firstLine="640" w:firstLineChars="200"/>
        <w:rPr>
          <w:rFonts w:ascii="彩虹粗仿宋" w:hAnsi="宋体" w:eastAsia="彩虹粗仿宋"/>
          <w:snapToGrid w:val="0"/>
          <w:sz w:val="32"/>
          <w:szCs w:val="32"/>
          <w:highlight w:val="yellow"/>
        </w:rPr>
      </w:pPr>
    </w:p>
    <w:p>
      <w:pPr>
        <w:widowControl/>
        <w:snapToGrid w:val="0"/>
        <w:spacing w:line="560" w:lineRule="exact"/>
        <w:ind w:firstLine="640" w:firstLineChars="200"/>
        <w:rPr>
          <w:rFonts w:ascii="彩虹粗仿宋" w:hAnsi="宋体" w:eastAsia="彩虹粗仿宋"/>
          <w:snapToGrid w:val="0"/>
          <w:sz w:val="32"/>
          <w:szCs w:val="32"/>
        </w:rPr>
      </w:pPr>
    </w:p>
    <w:p>
      <w:pPr>
        <w:widowControl/>
        <w:snapToGrid w:val="0"/>
        <w:spacing w:line="560" w:lineRule="exact"/>
        <w:ind w:firstLine="640" w:firstLineChars="200"/>
        <w:rPr>
          <w:rFonts w:ascii="彩虹粗仿宋" w:hAnsi="宋体" w:eastAsia="彩虹粗仿宋"/>
          <w:snapToGrid w:val="0"/>
          <w:sz w:val="32"/>
          <w:szCs w:val="32"/>
        </w:rPr>
      </w:pPr>
    </w:p>
    <w:p/>
    <w:p/>
    <w:p/>
    <w:p/>
    <w:p/>
    <w:p/>
    <w:p/>
    <w:p/>
    <w:p/>
    <w:p/>
    <w:p/>
    <w:p/>
    <w:p/>
    <w:p/>
    <w:p/>
    <w:p/>
    <w:p/>
    <w:p/>
    <w:p/>
    <w:p/>
    <w:p/>
    <w:p/>
    <w:p/>
    <w:p>
      <w:pPr>
        <w:rPr>
          <w:rFonts w:hint="eastAsia" w:ascii="彩虹粗仿宋" w:eastAsia="彩虹粗仿宋"/>
          <w:sz w:val="32"/>
        </w:rPr>
      </w:pPr>
      <w:r>
        <w:rPr>
          <w:rFonts w:hint="eastAsia" w:ascii="彩虹粗仿宋" w:eastAsia="彩虹粗仿宋"/>
          <w:sz w:val="32"/>
        </w:rPr>
        <w:t>附件：</w:t>
      </w:r>
    </w:p>
    <w:p>
      <w:pPr>
        <w:rPr>
          <w:kern w:val="0"/>
          <w:sz w:val="20"/>
          <w:szCs w:val="20"/>
        </w:rPr>
      </w:pPr>
      <w:r>
        <w:fldChar w:fldCharType="begin"/>
      </w:r>
      <w:r>
        <w:instrText xml:space="preserve"> </w:instrText>
      </w:r>
      <w:r>
        <w:rPr>
          <w:rFonts w:hint="eastAsia"/>
        </w:rPr>
        <w:instrText xml:space="preserve">LINK Excel.Sheet.12 "C:\\Users\\Administrator\\Desktop\\双碳工作\\二级行部报送需求\\河池分行.xlsx" "Sheet2!R1C1:R11C3" \a \f 4 \h</w:instrText>
      </w:r>
      <w:r>
        <w:instrText xml:space="preserve">  \* MERGEFORMAT </w:instrText>
      </w:r>
      <w:r>
        <w:fldChar w:fldCharType="separate"/>
      </w:r>
    </w:p>
    <w:tbl>
      <w:tblPr>
        <w:tblStyle w:val="6"/>
        <w:tblW w:w="9047" w:type="dxa"/>
        <w:tblInd w:w="0" w:type="dxa"/>
        <w:tblLayout w:type="autofit"/>
        <w:tblCellMar>
          <w:top w:w="0" w:type="dxa"/>
          <w:left w:w="108" w:type="dxa"/>
          <w:bottom w:w="0" w:type="dxa"/>
          <w:right w:w="108" w:type="dxa"/>
        </w:tblCellMar>
      </w:tblPr>
      <w:tblGrid>
        <w:gridCol w:w="717"/>
        <w:gridCol w:w="3400"/>
        <w:gridCol w:w="4930"/>
      </w:tblGrid>
      <w:tr>
        <w:tblPrEx>
          <w:tblCellMar>
            <w:top w:w="0" w:type="dxa"/>
            <w:left w:w="108" w:type="dxa"/>
            <w:bottom w:w="0" w:type="dxa"/>
            <w:right w:w="108" w:type="dxa"/>
          </w:tblCellMar>
        </w:tblPrEx>
        <w:trPr>
          <w:trHeight w:val="496" w:hRule="atLeast"/>
        </w:trPr>
        <w:tc>
          <w:tcPr>
            <w:tcW w:w="904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彩虹小标宋" w:eastAsia="彩虹小标宋" w:cs="宋体"/>
                <w:color w:val="000000"/>
                <w:kern w:val="0"/>
                <w:sz w:val="28"/>
                <w:szCs w:val="28"/>
              </w:rPr>
            </w:pPr>
            <w:r>
              <w:rPr>
                <w:rFonts w:hint="eastAsia" w:ascii="彩虹小标宋" w:eastAsia="彩虹小标宋" w:cs="宋体"/>
                <w:color w:val="000000"/>
                <w:kern w:val="0"/>
                <w:sz w:val="28"/>
                <w:szCs w:val="28"/>
              </w:rPr>
              <w:t>9个试点楼宇地址信息</w:t>
            </w:r>
          </w:p>
        </w:tc>
      </w:tr>
      <w:tr>
        <w:tblPrEx>
          <w:tblCellMar>
            <w:top w:w="0" w:type="dxa"/>
            <w:left w:w="108" w:type="dxa"/>
            <w:bottom w:w="0" w:type="dxa"/>
            <w:right w:w="108" w:type="dxa"/>
          </w:tblCellMar>
        </w:tblPrEx>
        <w:trPr>
          <w:trHeight w:val="496" w:hRule="atLeast"/>
        </w:trPr>
        <w:tc>
          <w:tcPr>
            <w:tcW w:w="7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cs="宋体"/>
                <w:color w:val="000000"/>
                <w:kern w:val="0"/>
                <w:sz w:val="22"/>
              </w:rPr>
            </w:pPr>
            <w:r>
              <w:rPr>
                <w:rFonts w:hint="eastAsia" w:cs="宋体"/>
                <w:color w:val="000000"/>
                <w:kern w:val="0"/>
                <w:sz w:val="22"/>
              </w:rPr>
              <w:t>序号</w:t>
            </w:r>
          </w:p>
        </w:tc>
        <w:tc>
          <w:tcPr>
            <w:tcW w:w="3400" w:type="dxa"/>
            <w:tcBorders>
              <w:top w:val="nil"/>
              <w:left w:val="nil"/>
              <w:bottom w:val="single" w:color="auto" w:sz="4" w:space="0"/>
              <w:right w:val="single" w:color="auto" w:sz="4" w:space="0"/>
            </w:tcBorders>
            <w:shd w:val="clear" w:color="auto" w:fill="auto"/>
            <w:noWrap/>
            <w:vAlign w:val="center"/>
          </w:tcPr>
          <w:p>
            <w:pPr>
              <w:widowControl/>
              <w:jc w:val="center"/>
              <w:rPr>
                <w:rFonts w:hint="eastAsia" w:cs="宋体"/>
                <w:color w:val="000000"/>
                <w:kern w:val="0"/>
                <w:sz w:val="22"/>
              </w:rPr>
            </w:pPr>
            <w:r>
              <w:rPr>
                <w:rFonts w:hint="eastAsia" w:cs="宋体"/>
                <w:color w:val="000000"/>
                <w:kern w:val="0"/>
                <w:sz w:val="22"/>
              </w:rPr>
              <w:t>机构</w:t>
            </w:r>
          </w:p>
        </w:tc>
        <w:tc>
          <w:tcPr>
            <w:tcW w:w="49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cs="宋体"/>
                <w:color w:val="000000"/>
                <w:kern w:val="0"/>
                <w:sz w:val="22"/>
              </w:rPr>
            </w:pPr>
            <w:r>
              <w:rPr>
                <w:rFonts w:hint="eastAsia" w:cs="宋体"/>
                <w:color w:val="000000"/>
                <w:kern w:val="0"/>
                <w:sz w:val="22"/>
              </w:rPr>
              <w:t>地址</w:t>
            </w:r>
          </w:p>
        </w:tc>
      </w:tr>
      <w:tr>
        <w:tblPrEx>
          <w:tblCellMar>
            <w:top w:w="0" w:type="dxa"/>
            <w:left w:w="108" w:type="dxa"/>
            <w:bottom w:w="0" w:type="dxa"/>
            <w:right w:w="108" w:type="dxa"/>
          </w:tblCellMar>
        </w:tblPrEx>
        <w:trPr>
          <w:trHeight w:val="413" w:hRule="atLeast"/>
        </w:trPr>
        <w:tc>
          <w:tcPr>
            <w:tcW w:w="717"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1</w:t>
            </w:r>
          </w:p>
        </w:tc>
        <w:tc>
          <w:tcPr>
            <w:tcW w:w="3400"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广西区分行本部大楼</w:t>
            </w:r>
          </w:p>
        </w:tc>
        <w:tc>
          <w:tcPr>
            <w:tcW w:w="4929"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广西南宁市民族大道92号</w:t>
            </w:r>
          </w:p>
        </w:tc>
      </w:tr>
      <w:tr>
        <w:tblPrEx>
          <w:tblCellMar>
            <w:top w:w="0" w:type="dxa"/>
            <w:left w:w="108" w:type="dxa"/>
            <w:bottom w:w="0" w:type="dxa"/>
            <w:right w:w="108" w:type="dxa"/>
          </w:tblCellMar>
        </w:tblPrEx>
        <w:trPr>
          <w:trHeight w:val="413" w:hRule="atLeast"/>
        </w:trPr>
        <w:tc>
          <w:tcPr>
            <w:tcW w:w="717"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2</w:t>
            </w:r>
          </w:p>
        </w:tc>
        <w:tc>
          <w:tcPr>
            <w:tcW w:w="3400"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玉林分行本部大楼</w:t>
            </w:r>
          </w:p>
        </w:tc>
        <w:tc>
          <w:tcPr>
            <w:tcW w:w="4929"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广西玉林市人民东路267号</w:t>
            </w:r>
          </w:p>
        </w:tc>
      </w:tr>
      <w:tr>
        <w:tblPrEx>
          <w:tblCellMar>
            <w:top w:w="0" w:type="dxa"/>
            <w:left w:w="108" w:type="dxa"/>
            <w:bottom w:w="0" w:type="dxa"/>
            <w:right w:w="108" w:type="dxa"/>
          </w:tblCellMar>
        </w:tblPrEx>
        <w:trPr>
          <w:trHeight w:val="413" w:hRule="atLeast"/>
        </w:trPr>
        <w:tc>
          <w:tcPr>
            <w:tcW w:w="717"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3</w:t>
            </w:r>
          </w:p>
        </w:tc>
        <w:tc>
          <w:tcPr>
            <w:tcW w:w="3400"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桂林分行本部大楼</w:t>
            </w:r>
          </w:p>
        </w:tc>
        <w:tc>
          <w:tcPr>
            <w:tcW w:w="4929"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广西桂林市中山中路24-1号</w:t>
            </w:r>
          </w:p>
        </w:tc>
      </w:tr>
      <w:tr>
        <w:tblPrEx>
          <w:tblCellMar>
            <w:top w:w="0" w:type="dxa"/>
            <w:left w:w="108" w:type="dxa"/>
            <w:bottom w:w="0" w:type="dxa"/>
            <w:right w:w="108" w:type="dxa"/>
          </w:tblCellMar>
        </w:tblPrEx>
        <w:trPr>
          <w:trHeight w:val="413" w:hRule="atLeast"/>
        </w:trPr>
        <w:tc>
          <w:tcPr>
            <w:tcW w:w="717"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4</w:t>
            </w:r>
          </w:p>
        </w:tc>
        <w:tc>
          <w:tcPr>
            <w:tcW w:w="3400"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河池分行本部大楼</w:t>
            </w:r>
          </w:p>
        </w:tc>
        <w:tc>
          <w:tcPr>
            <w:tcW w:w="4929"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广西河池市西环路397号</w:t>
            </w:r>
          </w:p>
        </w:tc>
      </w:tr>
      <w:tr>
        <w:tblPrEx>
          <w:tblCellMar>
            <w:top w:w="0" w:type="dxa"/>
            <w:left w:w="108" w:type="dxa"/>
            <w:bottom w:w="0" w:type="dxa"/>
            <w:right w:w="108" w:type="dxa"/>
          </w:tblCellMar>
        </w:tblPrEx>
        <w:trPr>
          <w:trHeight w:val="413" w:hRule="atLeast"/>
        </w:trPr>
        <w:tc>
          <w:tcPr>
            <w:tcW w:w="717"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5</w:t>
            </w:r>
          </w:p>
        </w:tc>
        <w:tc>
          <w:tcPr>
            <w:tcW w:w="3400"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来宾分行本部大楼</w:t>
            </w:r>
          </w:p>
        </w:tc>
        <w:tc>
          <w:tcPr>
            <w:tcW w:w="4929"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广西来宾市北二路280号</w:t>
            </w:r>
          </w:p>
        </w:tc>
      </w:tr>
      <w:tr>
        <w:tblPrEx>
          <w:tblCellMar>
            <w:top w:w="0" w:type="dxa"/>
            <w:left w:w="108" w:type="dxa"/>
            <w:bottom w:w="0" w:type="dxa"/>
            <w:right w:w="108" w:type="dxa"/>
          </w:tblCellMar>
        </w:tblPrEx>
        <w:trPr>
          <w:trHeight w:val="413" w:hRule="atLeast"/>
        </w:trPr>
        <w:tc>
          <w:tcPr>
            <w:tcW w:w="717"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6</w:t>
            </w:r>
          </w:p>
        </w:tc>
        <w:tc>
          <w:tcPr>
            <w:tcW w:w="3400"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百色分行本部大楼</w:t>
            </w:r>
          </w:p>
        </w:tc>
        <w:tc>
          <w:tcPr>
            <w:tcW w:w="4929"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广西百色市右江区中山二路16号</w:t>
            </w:r>
          </w:p>
        </w:tc>
      </w:tr>
      <w:tr>
        <w:tblPrEx>
          <w:tblCellMar>
            <w:top w:w="0" w:type="dxa"/>
            <w:left w:w="108" w:type="dxa"/>
            <w:bottom w:w="0" w:type="dxa"/>
            <w:right w:w="108" w:type="dxa"/>
          </w:tblCellMar>
        </w:tblPrEx>
        <w:trPr>
          <w:trHeight w:val="413" w:hRule="atLeast"/>
        </w:trPr>
        <w:tc>
          <w:tcPr>
            <w:tcW w:w="717"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7</w:t>
            </w:r>
          </w:p>
        </w:tc>
        <w:tc>
          <w:tcPr>
            <w:tcW w:w="3400"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北海分行本部大楼</w:t>
            </w:r>
          </w:p>
        </w:tc>
        <w:tc>
          <w:tcPr>
            <w:tcW w:w="4929"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广西北海市北海大道中路26号</w:t>
            </w:r>
          </w:p>
        </w:tc>
      </w:tr>
      <w:tr>
        <w:tblPrEx>
          <w:tblCellMar>
            <w:top w:w="0" w:type="dxa"/>
            <w:left w:w="108" w:type="dxa"/>
            <w:bottom w:w="0" w:type="dxa"/>
            <w:right w:w="108" w:type="dxa"/>
          </w:tblCellMar>
        </w:tblPrEx>
        <w:trPr>
          <w:trHeight w:val="413" w:hRule="atLeast"/>
        </w:trPr>
        <w:tc>
          <w:tcPr>
            <w:tcW w:w="717"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8</w:t>
            </w:r>
          </w:p>
        </w:tc>
        <w:tc>
          <w:tcPr>
            <w:tcW w:w="3400"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防城港分行本部大楼</w:t>
            </w:r>
          </w:p>
        </w:tc>
        <w:tc>
          <w:tcPr>
            <w:tcW w:w="4929"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广西防城港市港口区渔万路39号</w:t>
            </w:r>
          </w:p>
        </w:tc>
      </w:tr>
      <w:tr>
        <w:tblPrEx>
          <w:tblCellMar>
            <w:top w:w="0" w:type="dxa"/>
            <w:left w:w="108" w:type="dxa"/>
            <w:bottom w:w="0" w:type="dxa"/>
            <w:right w:w="108" w:type="dxa"/>
          </w:tblCellMar>
        </w:tblPrEx>
        <w:trPr>
          <w:trHeight w:val="413" w:hRule="atLeast"/>
        </w:trPr>
        <w:tc>
          <w:tcPr>
            <w:tcW w:w="717"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9</w:t>
            </w:r>
          </w:p>
        </w:tc>
        <w:tc>
          <w:tcPr>
            <w:tcW w:w="3400"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南宁新城支行本部大楼</w:t>
            </w:r>
          </w:p>
        </w:tc>
        <w:tc>
          <w:tcPr>
            <w:tcW w:w="4929" w:type="dxa"/>
            <w:tcBorders>
              <w:top w:val="nil"/>
              <w:left w:val="nil"/>
              <w:bottom w:val="single" w:color="auto" w:sz="4" w:space="0"/>
              <w:right w:val="single" w:color="auto" w:sz="4" w:space="0"/>
            </w:tcBorders>
            <w:shd w:val="clear" w:color="auto" w:fill="auto"/>
            <w:noWrap/>
            <w:vAlign w:val="bottom"/>
          </w:tcPr>
          <w:p>
            <w:pPr>
              <w:widowControl/>
              <w:jc w:val="center"/>
              <w:rPr>
                <w:rFonts w:hint="eastAsia" w:cs="宋体"/>
                <w:color w:val="000000"/>
                <w:kern w:val="0"/>
                <w:sz w:val="22"/>
              </w:rPr>
            </w:pPr>
            <w:r>
              <w:rPr>
                <w:rFonts w:hint="eastAsia" w:cs="宋体"/>
                <w:color w:val="000000"/>
                <w:kern w:val="0"/>
                <w:sz w:val="22"/>
              </w:rPr>
              <w:t>广西南宁市东葛路23号</w:t>
            </w:r>
          </w:p>
        </w:tc>
      </w:tr>
    </w:tbl>
    <w:p>
      <w:pPr>
        <w:rPr>
          <w:rFonts w:hint="eastAsia" w:ascii="彩虹黑体" w:eastAsia="彩虹黑体"/>
          <w:sz w:val="32"/>
        </w:rPr>
      </w:pPr>
      <w:r>
        <w:rPr>
          <w:rFonts w:ascii="彩虹黑体" w:eastAsia="彩虹黑体"/>
          <w:sz w:val="32"/>
        </w:rPr>
        <w:fldChar w:fldCharType="end"/>
      </w:r>
    </w:p>
    <w:p>
      <w:pPr>
        <w:rPr>
          <w:rFonts w:hint="eastAsia"/>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 w:name="彩虹楷体">
    <w:panose1 w:val="03000509000000000000"/>
    <w:charset w:val="86"/>
    <w:family w:val="script"/>
    <w:pitch w:val="default"/>
    <w:sig w:usb0="00000001" w:usb1="080E0000" w:usb2="00000000" w:usb3="00000000" w:csb0="00040000" w:csb1="00000000"/>
  </w:font>
  <w:font w:name="方正宋体-人口信息">
    <w:panose1 w:val="02000000000000000000"/>
    <w:charset w:val="86"/>
    <w:family w:val="auto"/>
    <w:pitch w:val="default"/>
    <w:sig w:usb0="A00002BF" w:usb1="38CFFCFA" w:usb2="00000016" w:usb3="00000008" w:csb0="60040107" w:csb1="00000000"/>
  </w:font>
  <w:font w:name="方正宋体-人口信息-P2">
    <w:panose1 w:val="03000509000000000000"/>
    <w:charset w:val="86"/>
    <w:family w:val="auto"/>
    <w:pitch w:val="default"/>
    <w:sig w:usb0="10002003" w:usb1="BB1E0800" w:usb2="000A004E" w:usb3="00000000" w:csb0="003C0041" w:csb1="A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16.195.55:/pshare/inner/LJC/file/file/getFileStreamById"/>
  </w:docVars>
  <w:rsids>
    <w:rsidRoot w:val="0021122D"/>
    <w:rsid w:val="00145855"/>
    <w:rsid w:val="00147116"/>
    <w:rsid w:val="00147FAA"/>
    <w:rsid w:val="001F3202"/>
    <w:rsid w:val="0021122D"/>
    <w:rsid w:val="003549BA"/>
    <w:rsid w:val="003F59DC"/>
    <w:rsid w:val="00441AB4"/>
    <w:rsid w:val="0046271F"/>
    <w:rsid w:val="0048153C"/>
    <w:rsid w:val="005B19E8"/>
    <w:rsid w:val="005D0B28"/>
    <w:rsid w:val="005D53FC"/>
    <w:rsid w:val="00607E27"/>
    <w:rsid w:val="00652064"/>
    <w:rsid w:val="0069111A"/>
    <w:rsid w:val="006D1D1D"/>
    <w:rsid w:val="007278BF"/>
    <w:rsid w:val="007C6736"/>
    <w:rsid w:val="0087267E"/>
    <w:rsid w:val="008E7CB2"/>
    <w:rsid w:val="00920AAC"/>
    <w:rsid w:val="0097675B"/>
    <w:rsid w:val="00A1431A"/>
    <w:rsid w:val="00A5629B"/>
    <w:rsid w:val="00A666FF"/>
    <w:rsid w:val="00B17504"/>
    <w:rsid w:val="00B54084"/>
    <w:rsid w:val="00BE03CF"/>
    <w:rsid w:val="00C00271"/>
    <w:rsid w:val="00C47411"/>
    <w:rsid w:val="00D1511B"/>
    <w:rsid w:val="00D168D9"/>
    <w:rsid w:val="00D32D3C"/>
    <w:rsid w:val="00D51F26"/>
    <w:rsid w:val="00DA40F4"/>
    <w:rsid w:val="00E92BB7"/>
    <w:rsid w:val="00F70D77"/>
    <w:rsid w:val="00F83020"/>
    <w:rsid w:val="00FC0893"/>
    <w:rsid w:val="00FE3C0B"/>
    <w:rsid w:val="305872EB"/>
    <w:rsid w:val="60EE5725"/>
    <w:rsid w:val="BF5E5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8"/>
    <w:qFormat/>
    <w:uiPriority w:val="0"/>
    <w:rPr>
      <w:rFonts w:ascii="宋体" w:hAnsi="Courier New" w:eastAsia="宋体"/>
      <w:kern w:val="0"/>
      <w:sz w:val="20"/>
      <w:szCs w:val="21"/>
      <w:lang w:val="zh-CN"/>
    </w:r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纯文本 字符"/>
    <w:link w:val="2"/>
    <w:qFormat/>
    <w:uiPriority w:val="0"/>
    <w:rPr>
      <w:rFonts w:ascii="宋体" w:hAnsi="Courier New" w:eastAsia="宋体" w:cs="Times New Roman"/>
      <w:kern w:val="0"/>
      <w:sz w:val="20"/>
      <w:szCs w:val="21"/>
      <w:lang w:val="zh-CN" w:eastAsia="zh-CN"/>
    </w:rPr>
  </w:style>
  <w:style w:type="character" w:customStyle="1" w:styleId="9">
    <w:name w:val="页眉 字符"/>
    <w:basedOn w:val="7"/>
    <w:link w:val="5"/>
    <w:qFormat/>
    <w:uiPriority w:val="99"/>
    <w:rPr>
      <w:kern w:val="2"/>
      <w:sz w:val="18"/>
      <w:szCs w:val="18"/>
    </w:rPr>
  </w:style>
  <w:style w:type="character" w:customStyle="1" w:styleId="10">
    <w:name w:val="页脚 字符"/>
    <w:basedOn w:val="7"/>
    <w:link w:val="4"/>
    <w:qFormat/>
    <w:uiPriority w:val="99"/>
    <w:rPr>
      <w:kern w:val="2"/>
      <w:sz w:val="18"/>
      <w:szCs w:val="18"/>
    </w:rPr>
  </w:style>
  <w:style w:type="character" w:customStyle="1" w:styleId="11">
    <w:name w:val="批注框文本 字符"/>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356</Words>
  <Characters>2032</Characters>
  <Lines>16</Lines>
  <Paragraphs>4</Paragraphs>
  <TotalTime>6</TotalTime>
  <ScaleCrop>false</ScaleCrop>
  <LinksUpToDate>false</LinksUpToDate>
  <CharactersWithSpaces>2384</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2026-09-29T20:08:00Z</dcterms:created>
  <dc:creator>Apache POI</dc:creator>
  <cp:lastModifiedBy>ccb</cp:lastModifiedBy>
  <cp:lastPrinted>2026-09-28T10:58:00Z</cp:lastPrinted>
  <dcterms:modified xsi:type="dcterms:W3CDTF">2026-09-30T09:55:44Z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eyJoZGlkIjoiM2IyNTZjYTYzNzJhY2NhZTFlYzc2YTExMGNjOTk1YTAiLCJ1c2VySWQiOiI5ODIxNTMxMTUifQ==</vt:lpwstr>
  </property>
  <property fmtid="{D5CDD505-2E9C-101B-9397-08002B2CF9AE}" pid="3" name="KSOProductBuildVer">
    <vt:lpwstr>2052-12.8.2.15290</vt:lpwstr>
  </property>
  <property fmtid="{D5CDD505-2E9C-101B-9397-08002B2CF9AE}" pid="4" name="ICV">
    <vt:lpwstr>5038734EB06354C9206CBC6A9415717E_43</vt:lpwstr>
  </property>
</Properties>
</file>