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782" w:rsidRDefault="00722782" w:rsidP="00722782">
      <w:pPr>
        <w:spacing w:line="360" w:lineRule="auto"/>
        <w:jc w:val="center"/>
        <w:rPr>
          <w:rFonts w:asciiTheme="minorEastAsia" w:hAnsiTheme="minorEastAsia" w:cstheme="minorEastAsia"/>
          <w:sz w:val="22"/>
        </w:rPr>
      </w:pPr>
      <w:r>
        <w:rPr>
          <w:rFonts w:asciiTheme="minorEastAsia" w:hAnsiTheme="minorEastAsia" w:cstheme="minorEastAsia" w:hint="eastAsia"/>
          <w:b/>
          <w:sz w:val="28"/>
        </w:rPr>
        <w:t>评审办法和评分标准</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一、评审原则</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（一）评委构成：本项目的评委分别由依法组成的评审专家3人或以上单数构成。</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（二）评审依据：评委将以询价采购公告为评审依据，对报价人的价格、技术、商务3个方面内容按百分制打分。</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二、评定方法</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（一）对进入详评的，采用百分制综合评分法。</w:t>
      </w:r>
    </w:p>
    <w:p w:rsidR="00722782" w:rsidRDefault="00722782" w:rsidP="00722782">
      <w:pPr>
        <w:pStyle w:val="a5"/>
        <w:spacing w:line="360" w:lineRule="auto"/>
        <w:rPr>
          <w:rFonts w:asciiTheme="minorEastAsia" w:hAnsiTheme="minorEastAsia" w:cstheme="minorEastAsia"/>
        </w:rPr>
      </w:pPr>
      <w:r>
        <w:rPr>
          <w:rFonts w:asciiTheme="minorEastAsia" w:hAnsiTheme="minorEastAsia" w:cstheme="minorEastAsia" w:hint="eastAsia"/>
        </w:rPr>
        <w:t>（二）计分办法(按四舍五入取至百分位)：</w:t>
      </w:r>
    </w:p>
    <w:tbl>
      <w:tblPr>
        <w:tblW w:w="9819" w:type="dxa"/>
        <w:tblInd w:w="436" w:type="dxa"/>
        <w:tblBorders>
          <w:top w:val="single" w:sz="4" w:space="0" w:color="auto"/>
          <w:left w:val="single" w:sz="4" w:space="0" w:color="auto"/>
          <w:bottom w:val="single" w:sz="4" w:space="0" w:color="auto"/>
          <w:right w:val="single" w:sz="4" w:space="0" w:color="auto"/>
        </w:tblBorders>
        <w:tblLayout w:type="fixed"/>
        <w:tblLook w:val="04A0"/>
      </w:tblPr>
      <w:tblGrid>
        <w:gridCol w:w="250"/>
        <w:gridCol w:w="900"/>
        <w:gridCol w:w="960"/>
        <w:gridCol w:w="6986"/>
        <w:gridCol w:w="723"/>
      </w:tblGrid>
      <w:tr w:rsidR="00722782" w:rsidTr="007773C4">
        <w:trPr>
          <w:cantSplit/>
          <w:trHeight w:val="552"/>
        </w:trPr>
        <w:tc>
          <w:tcPr>
            <w:tcW w:w="1150" w:type="dxa"/>
            <w:gridSpan w:val="2"/>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jc w:val="center"/>
              <w:rPr>
                <w:rFonts w:asciiTheme="minorEastAsia" w:hAnsiTheme="minorEastAsia"/>
                <w:b/>
                <w:bCs/>
                <w:sz w:val="22"/>
                <w:szCs w:val="21"/>
              </w:rPr>
            </w:pPr>
            <w:r>
              <w:rPr>
                <w:rFonts w:asciiTheme="minorEastAsia" w:hAnsiTheme="minorEastAsia" w:hint="eastAsia"/>
                <w:b/>
                <w:bCs/>
                <w:sz w:val="22"/>
                <w:szCs w:val="21"/>
              </w:rPr>
              <w:t>序号</w:t>
            </w:r>
          </w:p>
        </w:tc>
        <w:tc>
          <w:tcPr>
            <w:tcW w:w="960" w:type="dxa"/>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jc w:val="left"/>
              <w:rPr>
                <w:rFonts w:asciiTheme="minorEastAsia" w:hAnsiTheme="minorEastAsia"/>
                <w:b/>
                <w:bCs/>
                <w:sz w:val="22"/>
                <w:szCs w:val="21"/>
              </w:rPr>
            </w:pPr>
            <w:r>
              <w:rPr>
                <w:rFonts w:asciiTheme="minorEastAsia" w:hAnsiTheme="minorEastAsia" w:hint="eastAsia"/>
                <w:b/>
                <w:bCs/>
                <w:sz w:val="22"/>
                <w:szCs w:val="21"/>
              </w:rPr>
              <w:t>评分指标项</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jc w:val="center"/>
              <w:rPr>
                <w:rFonts w:asciiTheme="minorEastAsia" w:hAnsiTheme="minorEastAsia"/>
                <w:b/>
                <w:bCs/>
                <w:sz w:val="22"/>
                <w:szCs w:val="21"/>
              </w:rPr>
            </w:pPr>
            <w:r>
              <w:rPr>
                <w:rFonts w:asciiTheme="minorEastAsia" w:hAnsiTheme="minorEastAsia" w:hint="eastAsia"/>
                <w:b/>
                <w:bCs/>
                <w:sz w:val="22"/>
                <w:szCs w:val="21"/>
              </w:rPr>
              <w:t>评议内容（申购部门根据项目要求设置评分指标内容）</w:t>
            </w:r>
          </w:p>
        </w:tc>
        <w:tc>
          <w:tcPr>
            <w:tcW w:w="723" w:type="dxa"/>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jc w:val="center"/>
              <w:rPr>
                <w:rFonts w:asciiTheme="minorEastAsia" w:hAnsiTheme="minorEastAsia"/>
                <w:b/>
                <w:bCs/>
                <w:sz w:val="22"/>
                <w:szCs w:val="21"/>
              </w:rPr>
            </w:pPr>
            <w:r>
              <w:rPr>
                <w:rFonts w:asciiTheme="minorEastAsia" w:hAnsiTheme="minorEastAsia" w:hint="eastAsia"/>
                <w:b/>
                <w:bCs/>
                <w:sz w:val="22"/>
                <w:szCs w:val="21"/>
              </w:rPr>
              <w:t>分值</w:t>
            </w:r>
          </w:p>
        </w:tc>
      </w:tr>
      <w:tr w:rsidR="00722782" w:rsidTr="00722782">
        <w:trPr>
          <w:cantSplit/>
          <w:trHeight w:val="750"/>
        </w:trPr>
        <w:tc>
          <w:tcPr>
            <w:tcW w:w="250"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1</w:t>
            </w:r>
          </w:p>
        </w:tc>
        <w:tc>
          <w:tcPr>
            <w:tcW w:w="900"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价格分</w:t>
            </w:r>
          </w:p>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（满分30分）</w:t>
            </w:r>
          </w:p>
        </w:tc>
        <w:tc>
          <w:tcPr>
            <w:tcW w:w="960"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报价价格</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jc w:val="left"/>
              <w:rPr>
                <w:rFonts w:ascii="宋体" w:hAnsi="宋体"/>
                <w:spacing w:val="-2"/>
                <w:kern w:val="0"/>
                <w:szCs w:val="21"/>
              </w:rPr>
            </w:pPr>
            <w:r>
              <w:rPr>
                <w:rFonts w:ascii="宋体" w:hAnsi="宋体" w:hint="eastAsia"/>
                <w:spacing w:val="-2"/>
                <w:kern w:val="0"/>
                <w:szCs w:val="21"/>
              </w:rPr>
              <w:t>报价得分=（基准价/最后报价）×30分</w:t>
            </w:r>
          </w:p>
          <w:p w:rsidR="00722782" w:rsidRDefault="00722782" w:rsidP="007773C4">
            <w:pPr>
              <w:spacing w:line="360" w:lineRule="auto"/>
              <w:jc w:val="left"/>
              <w:rPr>
                <w:rFonts w:ascii="宋体" w:hAnsi="宋体"/>
                <w:b/>
                <w:bCs/>
                <w:szCs w:val="21"/>
              </w:rPr>
            </w:pPr>
            <w:r>
              <w:rPr>
                <w:rFonts w:ascii="宋体" w:hAnsi="宋体" w:hint="eastAsia"/>
                <w:spacing w:val="-2"/>
                <w:kern w:val="0"/>
                <w:szCs w:val="21"/>
              </w:rPr>
              <w:t>注：评标基准价为满足报价文件要求且报价价格最低的报价，计算分数时四舍五入取小数点后两位</w:t>
            </w:r>
            <w:r>
              <w:rPr>
                <w:rFonts w:ascii="宋体" w:hAnsi="宋体" w:hint="eastAsia"/>
                <w:b/>
                <w:bCs/>
                <w:szCs w:val="21"/>
              </w:rPr>
              <w:t>。</w:t>
            </w:r>
          </w:p>
        </w:tc>
        <w:tc>
          <w:tcPr>
            <w:tcW w:w="723"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szCs w:val="21"/>
              </w:rPr>
            </w:pPr>
            <w:r>
              <w:rPr>
                <w:rFonts w:ascii="宋体" w:eastAsia="宋体" w:hAnsi="宋体" w:cs="宋体" w:hint="eastAsia"/>
                <w:b/>
                <w:szCs w:val="21"/>
              </w:rPr>
              <w:t>30</w:t>
            </w:r>
            <w:r>
              <w:rPr>
                <w:rFonts w:ascii="宋体" w:eastAsia="宋体" w:hAnsi="宋体" w:cs="宋体" w:hint="eastAsia"/>
                <w:szCs w:val="21"/>
              </w:rPr>
              <w:t>分</w:t>
            </w:r>
          </w:p>
        </w:tc>
      </w:tr>
      <w:tr w:rsidR="00722782" w:rsidTr="00722782">
        <w:trPr>
          <w:cantSplit/>
          <w:trHeight w:val="1211"/>
        </w:trPr>
        <w:tc>
          <w:tcPr>
            <w:tcW w:w="250" w:type="dxa"/>
            <w:vMerge w:val="restart"/>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2</w:t>
            </w:r>
          </w:p>
        </w:tc>
        <w:tc>
          <w:tcPr>
            <w:tcW w:w="900" w:type="dxa"/>
            <w:vMerge w:val="restart"/>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技术分</w:t>
            </w:r>
          </w:p>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（满分43分）</w:t>
            </w:r>
          </w:p>
        </w:tc>
        <w:tc>
          <w:tcPr>
            <w:tcW w:w="960" w:type="dxa"/>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平台整体建设方案</w:t>
            </w:r>
          </w:p>
        </w:tc>
        <w:tc>
          <w:tcPr>
            <w:tcW w:w="6986" w:type="dxa"/>
            <w:tcBorders>
              <w:top w:val="single" w:sz="4" w:space="0" w:color="auto"/>
              <w:left w:val="single" w:sz="4" w:space="0" w:color="auto"/>
              <w:right w:val="single" w:sz="4" w:space="0" w:color="auto"/>
            </w:tcBorders>
          </w:tcPr>
          <w:p w:rsidR="00722782" w:rsidRDefault="00722782" w:rsidP="007773C4">
            <w:pPr>
              <w:pStyle w:val="a5"/>
            </w:pPr>
            <w:r>
              <w:rPr>
                <w:rFonts w:hint="eastAsia"/>
              </w:rPr>
              <w:t>一档（</w:t>
            </w:r>
            <w:r>
              <w:rPr>
                <w:rFonts w:hint="eastAsia"/>
              </w:rPr>
              <w:t>21</w:t>
            </w:r>
            <w:r>
              <w:rPr>
                <w:rFonts w:hint="eastAsia"/>
              </w:rPr>
              <w:t>分）：在满足第二档的基础上，方案完整贴合信息服务平台需求，技术架构分层清晰、设计先进合理，招标文件全部需求条款均对应专属落地解决方案，技术指标全部满足且多项关键指标优于采购需求；在数据治理、接口对接，内外系统接口对接规范、兼容多类型第三方数据源，</w:t>
            </w:r>
            <w:r>
              <w:rPr>
                <w:rFonts w:hint="eastAsia"/>
              </w:rPr>
              <w:t xml:space="preserve">PC </w:t>
            </w:r>
            <w:r>
              <w:rPr>
                <w:rFonts w:hint="eastAsia"/>
              </w:rPr>
              <w:t>端、移动端、大屏等多终端自适应适配方案详实；针对平台使用人群、业务场景做个性化优化设计，具备高并发、高可用、可扩展特性，综合方案为所有报价单位中最优水平。</w:t>
            </w:r>
          </w:p>
          <w:p w:rsidR="00722782" w:rsidRDefault="00722782" w:rsidP="007773C4">
            <w:pPr>
              <w:pStyle w:val="a5"/>
            </w:pPr>
            <w:r>
              <w:rPr>
                <w:rFonts w:hint="eastAsia"/>
              </w:rPr>
              <w:t>二档（</w:t>
            </w:r>
            <w:r>
              <w:rPr>
                <w:rFonts w:hint="eastAsia"/>
              </w:rPr>
              <w:t>13</w:t>
            </w:r>
            <w:r>
              <w:rPr>
                <w:rFonts w:hint="eastAsia"/>
              </w:rPr>
              <w:t>分）：在满足第三档的基础上，方案内容较为详细、完整、框架清晰，覆盖项目核心建设需求；技术架构逻辑较为合理，能够满足招标文件全部基础建设要求，核心技术指标达标；具备基础数据治理、通用接口对接、多终端适配内容，提及</w:t>
            </w:r>
            <w:r>
              <w:rPr>
                <w:rFonts w:hint="eastAsia"/>
              </w:rPr>
              <w:t xml:space="preserve"> AI </w:t>
            </w:r>
            <w:r>
              <w:rPr>
                <w:rFonts w:hint="eastAsia"/>
              </w:rPr>
              <w:t>基础交互功能规划，但模块设计深度不足，参数细化落地、执行流程较为简略，整体完整性、先进性、落地细节弱于一档方案。</w:t>
            </w:r>
          </w:p>
          <w:p w:rsidR="00722782" w:rsidRDefault="00722782" w:rsidP="007773C4">
            <w:pPr>
              <w:pStyle w:val="a5"/>
              <w:rPr>
                <w:rFonts w:ascii="宋体" w:hAnsi="宋体"/>
                <w:b/>
                <w:kern w:val="0"/>
                <w:szCs w:val="21"/>
              </w:rPr>
            </w:pPr>
            <w:r>
              <w:rPr>
                <w:rFonts w:hint="eastAsia"/>
              </w:rPr>
              <w:t>三档（</w:t>
            </w:r>
            <w:r>
              <w:rPr>
                <w:rFonts w:hint="eastAsia"/>
              </w:rPr>
              <w:t>5</w:t>
            </w:r>
            <w:r>
              <w:rPr>
                <w:rFonts w:hint="eastAsia"/>
              </w:rPr>
              <w:t>分）：方案简略、架构基本合理，覆盖项目建设需求，仅简单提及数据、接口、终端、</w:t>
            </w:r>
            <w:r>
              <w:rPr>
                <w:rFonts w:hint="eastAsia"/>
              </w:rPr>
              <w:t xml:space="preserve">AI </w:t>
            </w:r>
            <w:r>
              <w:rPr>
                <w:rFonts w:hint="eastAsia"/>
              </w:rPr>
              <w:t>相关概念，缺少具体实现方式、流程、参数说明，未针对用户业务场景做专项优化，落地支撑材料匮乏。</w:t>
            </w:r>
          </w:p>
        </w:tc>
        <w:tc>
          <w:tcPr>
            <w:tcW w:w="723" w:type="dxa"/>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szCs w:val="21"/>
              </w:rPr>
            </w:pPr>
            <w:r>
              <w:rPr>
                <w:rFonts w:ascii="宋体" w:eastAsia="宋体" w:hAnsi="宋体" w:cs="宋体" w:hint="eastAsia"/>
                <w:b/>
                <w:szCs w:val="21"/>
              </w:rPr>
              <w:t>21</w:t>
            </w:r>
            <w:r>
              <w:rPr>
                <w:rFonts w:ascii="宋体" w:eastAsia="宋体" w:hAnsi="宋体" w:cs="宋体" w:hint="eastAsia"/>
                <w:szCs w:val="21"/>
              </w:rPr>
              <w:t>分</w:t>
            </w:r>
          </w:p>
        </w:tc>
      </w:tr>
      <w:tr w:rsidR="00722782" w:rsidTr="00722782">
        <w:trPr>
          <w:cantSplit/>
          <w:trHeight w:val="1211"/>
        </w:trPr>
        <w:tc>
          <w:tcPr>
            <w:tcW w:w="250" w:type="dxa"/>
            <w:vMerge/>
            <w:tcBorders>
              <w:left w:val="single" w:sz="4" w:space="0" w:color="auto"/>
              <w:right w:val="single" w:sz="4" w:space="0" w:color="auto"/>
            </w:tcBorders>
          </w:tcPr>
          <w:p w:rsidR="00722782" w:rsidRDefault="00722782" w:rsidP="007773C4">
            <w:pPr>
              <w:spacing w:line="360" w:lineRule="auto"/>
              <w:jc w:val="left"/>
              <w:rPr>
                <w:rFonts w:ascii="宋体" w:hAnsi="宋体"/>
                <w:spacing w:val="-2"/>
                <w:kern w:val="0"/>
                <w:szCs w:val="21"/>
                <w:highlight w:val="green"/>
              </w:rPr>
            </w:pPr>
          </w:p>
        </w:tc>
        <w:tc>
          <w:tcPr>
            <w:tcW w:w="900" w:type="dxa"/>
            <w:vMerge/>
            <w:tcBorders>
              <w:left w:val="single" w:sz="4" w:space="0" w:color="auto"/>
              <w:right w:val="single" w:sz="4" w:space="0" w:color="auto"/>
            </w:tcBorders>
            <w:vAlign w:val="center"/>
          </w:tcPr>
          <w:p w:rsidR="00722782" w:rsidRDefault="00722782" w:rsidP="007773C4">
            <w:pPr>
              <w:spacing w:line="360" w:lineRule="auto"/>
              <w:jc w:val="left"/>
              <w:rPr>
                <w:rFonts w:ascii="宋体" w:hAnsi="宋体"/>
                <w:spacing w:val="-2"/>
                <w:kern w:val="0"/>
                <w:szCs w:val="21"/>
                <w:highlight w:val="green"/>
              </w:rPr>
            </w:pPr>
          </w:p>
        </w:tc>
        <w:tc>
          <w:tcPr>
            <w:tcW w:w="960" w:type="dxa"/>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hAnsi="宋体"/>
                <w:spacing w:val="-2"/>
                <w:kern w:val="0"/>
                <w:szCs w:val="21"/>
              </w:rPr>
            </w:pPr>
            <w:r>
              <w:rPr>
                <w:rFonts w:ascii="宋体" w:hAnsi="宋体" w:hint="eastAsia"/>
                <w:spacing w:val="-2"/>
                <w:kern w:val="0"/>
                <w:szCs w:val="21"/>
              </w:rPr>
              <w:t>安全方案</w:t>
            </w:r>
          </w:p>
        </w:tc>
        <w:tc>
          <w:tcPr>
            <w:tcW w:w="6986" w:type="dxa"/>
            <w:tcBorders>
              <w:top w:val="single" w:sz="4" w:space="0" w:color="auto"/>
              <w:left w:val="single" w:sz="4" w:space="0" w:color="auto"/>
              <w:right w:val="single" w:sz="4" w:space="0" w:color="auto"/>
            </w:tcBorders>
          </w:tcPr>
          <w:p w:rsidR="00722782" w:rsidRDefault="00722782" w:rsidP="007773C4">
            <w:pPr>
              <w:pStyle w:val="a5"/>
            </w:pPr>
            <w:r>
              <w:rPr>
                <w:rFonts w:hint="eastAsia"/>
              </w:rPr>
              <w:t>一档（</w:t>
            </w:r>
            <w:r>
              <w:rPr>
                <w:rFonts w:hint="eastAsia"/>
              </w:rPr>
              <w:t>10</w:t>
            </w:r>
            <w:r>
              <w:rPr>
                <w:rFonts w:hint="eastAsia"/>
              </w:rPr>
              <w:t>分）：在满足第二档的基础上，对于系统安全性有充分考虑，安全方案体系完整、规范、可行，安全策略到位，完整覆盖数据脱敏、全链路操作留痕、多级分级授权、全类型敏感信息加密存储传输等，支持等保</w:t>
            </w:r>
            <w:r>
              <w:rPr>
                <w:rFonts w:hint="eastAsia"/>
              </w:rPr>
              <w:t>2.0</w:t>
            </w:r>
            <w:r>
              <w:rPr>
                <w:rFonts w:hint="eastAsia"/>
              </w:rPr>
              <w:t>三级建设要求（密码策略、验证码、防注入等），从账号权限、运维管理机制到数据安全均有充分安全措施保障，可直接落地实施，是投标文件中最优方案；</w:t>
            </w:r>
          </w:p>
          <w:p w:rsidR="00722782" w:rsidRDefault="00722782" w:rsidP="007773C4">
            <w:pPr>
              <w:pStyle w:val="a5"/>
            </w:pPr>
            <w:r>
              <w:rPr>
                <w:rFonts w:hint="eastAsia"/>
              </w:rPr>
              <w:t>二档（</w:t>
            </w:r>
            <w:r>
              <w:rPr>
                <w:rFonts w:hint="eastAsia"/>
              </w:rPr>
              <w:t>7</w:t>
            </w:r>
            <w:r>
              <w:rPr>
                <w:rFonts w:hint="eastAsia"/>
              </w:rPr>
              <w:t>分）：在满足第三档的基础上，具备较完整基础安全防护框架，基础安全措施与核心安全措施较为齐全，方案行文规范、逻辑严谨，安全防护聚焦应用与数据层面，网络、运维、第三方接口安全设计内容较为简略；</w:t>
            </w:r>
          </w:p>
          <w:p w:rsidR="00722782" w:rsidRDefault="00722782" w:rsidP="007773C4">
            <w:pPr>
              <w:pStyle w:val="a5"/>
              <w:rPr>
                <w:rFonts w:ascii="宋体" w:hAnsi="宋体"/>
                <w:b/>
                <w:kern w:val="0"/>
                <w:szCs w:val="21"/>
              </w:rPr>
            </w:pPr>
            <w:r>
              <w:rPr>
                <w:rFonts w:hint="eastAsia"/>
              </w:rPr>
              <w:t>三档（</w:t>
            </w:r>
            <w:r>
              <w:rPr>
                <w:rFonts w:hint="eastAsia"/>
              </w:rPr>
              <w:t>4</w:t>
            </w:r>
            <w:r>
              <w:rPr>
                <w:rFonts w:hint="eastAsia"/>
              </w:rPr>
              <w:t>分）：有基本的安全方案，包含基础安全思路，有基本的安全措施，能满足系统最低安全运行底线，安全防护描述简略，对于具体落地措施缺少描述。</w:t>
            </w:r>
          </w:p>
        </w:tc>
        <w:tc>
          <w:tcPr>
            <w:tcW w:w="723" w:type="dxa"/>
            <w:tcBorders>
              <w:top w:val="single" w:sz="4" w:space="0" w:color="auto"/>
              <w:left w:val="single" w:sz="4" w:space="0" w:color="auto"/>
              <w:right w:val="single" w:sz="4" w:space="0" w:color="auto"/>
            </w:tcBorders>
          </w:tcPr>
          <w:p w:rsidR="00722782" w:rsidRDefault="00722782" w:rsidP="007773C4">
            <w:pPr>
              <w:spacing w:line="360" w:lineRule="auto"/>
              <w:rPr>
                <w:rFonts w:ascii="宋体" w:eastAsia="宋体" w:hAnsi="宋体" w:cs="宋体"/>
                <w:b/>
                <w:szCs w:val="21"/>
              </w:rPr>
            </w:pPr>
            <w:r>
              <w:rPr>
                <w:rFonts w:ascii="宋体" w:eastAsia="宋体" w:hAnsi="宋体" w:cs="宋体" w:hint="eastAsia"/>
                <w:b/>
                <w:szCs w:val="21"/>
              </w:rPr>
              <w:t>10</w:t>
            </w:r>
            <w:r>
              <w:rPr>
                <w:rFonts w:ascii="宋体" w:eastAsia="宋体" w:hAnsi="宋体" w:cs="宋体" w:hint="eastAsia"/>
                <w:szCs w:val="21"/>
              </w:rPr>
              <w:t>分</w:t>
            </w:r>
          </w:p>
        </w:tc>
      </w:tr>
      <w:tr w:rsidR="00722782" w:rsidTr="00722782">
        <w:trPr>
          <w:cantSplit/>
          <w:trHeight w:val="1211"/>
        </w:trPr>
        <w:tc>
          <w:tcPr>
            <w:tcW w:w="250" w:type="dxa"/>
            <w:vMerge/>
            <w:tcBorders>
              <w:left w:val="single" w:sz="4" w:space="0" w:color="auto"/>
              <w:right w:val="single" w:sz="4" w:space="0" w:color="auto"/>
            </w:tcBorders>
          </w:tcPr>
          <w:p w:rsidR="00722782" w:rsidRDefault="00722782" w:rsidP="007773C4">
            <w:pPr>
              <w:spacing w:line="360" w:lineRule="auto"/>
              <w:rPr>
                <w:rFonts w:ascii="宋体" w:eastAsia="宋体" w:hAnsi="宋体" w:cs="宋体"/>
                <w:szCs w:val="21"/>
                <w:highlight w:val="green"/>
              </w:rPr>
            </w:pPr>
          </w:p>
        </w:tc>
        <w:tc>
          <w:tcPr>
            <w:tcW w:w="900" w:type="dxa"/>
            <w:vMerge/>
            <w:tcBorders>
              <w:left w:val="single" w:sz="4" w:space="0" w:color="auto"/>
              <w:right w:val="single" w:sz="4" w:space="0" w:color="auto"/>
            </w:tcBorders>
            <w:vAlign w:val="center"/>
          </w:tcPr>
          <w:p w:rsidR="00722782" w:rsidRDefault="00722782" w:rsidP="007773C4">
            <w:pPr>
              <w:spacing w:line="360" w:lineRule="auto"/>
              <w:jc w:val="center"/>
              <w:rPr>
                <w:rFonts w:ascii="宋体" w:eastAsia="宋体" w:hAnsi="宋体" w:cs="宋体"/>
                <w:szCs w:val="21"/>
                <w:highlight w:val="green"/>
              </w:rPr>
            </w:pPr>
          </w:p>
        </w:tc>
        <w:tc>
          <w:tcPr>
            <w:tcW w:w="960" w:type="dxa"/>
            <w:tcBorders>
              <w:top w:val="single" w:sz="4" w:space="0" w:color="auto"/>
              <w:left w:val="single" w:sz="4" w:space="0" w:color="auto"/>
              <w:right w:val="single" w:sz="4" w:space="0" w:color="auto"/>
            </w:tcBorders>
            <w:vAlign w:val="center"/>
          </w:tcPr>
          <w:p w:rsidR="00722782" w:rsidRDefault="00722782" w:rsidP="00722782">
            <w:pPr>
              <w:pStyle w:val="a5"/>
              <w:jc w:val="center"/>
              <w:rPr>
                <w:rFonts w:ascii="宋体" w:eastAsia="宋体" w:hAnsi="宋体" w:cs="宋体"/>
                <w:szCs w:val="21"/>
              </w:rPr>
            </w:pPr>
            <w:r>
              <w:rPr>
                <w:rFonts w:ascii="宋体" w:eastAsia="宋体" w:hAnsi="宋体" w:cs="宋体" w:hint="eastAsia"/>
                <w:szCs w:val="21"/>
              </w:rPr>
              <w:t>测试、实施方案</w:t>
            </w:r>
          </w:p>
        </w:tc>
        <w:tc>
          <w:tcPr>
            <w:tcW w:w="6986" w:type="dxa"/>
            <w:tcBorders>
              <w:top w:val="single" w:sz="4" w:space="0" w:color="auto"/>
              <w:left w:val="single" w:sz="4" w:space="0" w:color="auto"/>
              <w:right w:val="single" w:sz="4" w:space="0" w:color="auto"/>
            </w:tcBorders>
          </w:tcPr>
          <w:p w:rsidR="00722782" w:rsidRDefault="00722782" w:rsidP="007773C4">
            <w:pPr>
              <w:pStyle w:val="a5"/>
            </w:pPr>
            <w:r>
              <w:rPr>
                <w:rFonts w:hint="eastAsia"/>
              </w:rPr>
              <w:t>一档（</w:t>
            </w:r>
            <w:r>
              <w:rPr>
                <w:rFonts w:hint="eastAsia"/>
              </w:rPr>
              <w:t>12</w:t>
            </w:r>
            <w:r>
              <w:rPr>
                <w:rFonts w:hint="eastAsia"/>
              </w:rPr>
              <w:t>分）：在满足第二档的基础上，分阶段里程碑计划清晰细化，人员分工、工期排布、交付节点、资源配置完整；测试体系全覆盖单元测试、集成测试、功能</w:t>
            </w:r>
            <w:r>
              <w:rPr>
                <w:rFonts w:hint="eastAsia"/>
              </w:rPr>
              <w:t xml:space="preserve"> UAT </w:t>
            </w:r>
            <w:r>
              <w:rPr>
                <w:rFonts w:hint="eastAsia"/>
              </w:rPr>
              <w:t>验收、压力性能、安全兼容性测试，各测试环节配套完整用例、判定标准、测试报告模板；新旧系统平滑上线切换、数据迁移、停机</w:t>
            </w:r>
            <w:r>
              <w:rPr>
                <w:rFonts w:hint="eastAsia"/>
              </w:rPr>
              <w:t>/</w:t>
            </w:r>
            <w:r>
              <w:rPr>
                <w:rFonts w:hint="eastAsia"/>
              </w:rPr>
              <w:t>不停机切换、回滚方案完整，对测试中可能出现的问题有应急预案、处置流程实施、测试文档、培训手册、运维手册等全套交付材料齐全，落地保障措施完善，实施测试整体方案为所有投标单位最优。</w:t>
            </w:r>
          </w:p>
          <w:p w:rsidR="00722782" w:rsidRDefault="00722782" w:rsidP="007773C4">
            <w:pPr>
              <w:pStyle w:val="a5"/>
            </w:pPr>
            <w:r>
              <w:rPr>
                <w:rFonts w:hint="eastAsia"/>
              </w:rPr>
              <w:t>二档（</w:t>
            </w:r>
            <w:r>
              <w:rPr>
                <w:rFonts w:hint="eastAsia"/>
              </w:rPr>
              <w:t>8</w:t>
            </w:r>
            <w:r>
              <w:rPr>
                <w:rFonts w:hint="eastAsia"/>
              </w:rPr>
              <w:t>分）：在满足第三档的基础上，实施、测试内容基本齐全，分阶段实施计划框架完整，关键工期、人员安排清晰；可完整开展功能测试、基础稳定性测试，具备基础单元、集成测试思路，配备简易测试用例；具备基础上线切换与数据迁移方案，但缺少多场景切换备选方案；能较好完成项目的实施，并进行功能、稳定性测试，实施落地保障细则不足，无重大方案缺陷，但完整性、风险管控能力弱于一档。</w:t>
            </w:r>
          </w:p>
          <w:p w:rsidR="00722782" w:rsidRDefault="00722782" w:rsidP="007773C4">
            <w:pPr>
              <w:pStyle w:val="a5"/>
            </w:pPr>
            <w:r>
              <w:rPr>
                <w:rFonts w:hint="eastAsia"/>
              </w:rPr>
              <w:t>三档（</w:t>
            </w:r>
            <w:r>
              <w:rPr>
                <w:rFonts w:hint="eastAsia"/>
              </w:rPr>
              <w:t>4</w:t>
            </w:r>
            <w:r>
              <w:rPr>
                <w:rFonts w:hint="eastAsia"/>
              </w:rPr>
              <w:t>分）：实施、测试方案内容简单粗略，仅罗列大致实施步骤与基础功能测试项，无细分阶段、明确工期、人员配置规划；对独立上线切换、数据迁移专项方案，描述不足，未制定任何故障应急预案，基本能完成项目测试。</w:t>
            </w:r>
          </w:p>
        </w:tc>
        <w:tc>
          <w:tcPr>
            <w:tcW w:w="723" w:type="dxa"/>
            <w:tcBorders>
              <w:top w:val="single" w:sz="4" w:space="0" w:color="auto"/>
              <w:left w:val="single" w:sz="4" w:space="0" w:color="auto"/>
              <w:right w:val="single" w:sz="4" w:space="0" w:color="auto"/>
            </w:tcBorders>
          </w:tcPr>
          <w:p w:rsidR="00722782" w:rsidRDefault="00722782" w:rsidP="007773C4">
            <w:pPr>
              <w:spacing w:line="360" w:lineRule="auto"/>
              <w:rPr>
                <w:rFonts w:ascii="宋体" w:eastAsia="宋体" w:hAnsi="宋体" w:cs="宋体"/>
                <w:b/>
                <w:szCs w:val="21"/>
              </w:rPr>
            </w:pPr>
            <w:r>
              <w:rPr>
                <w:rFonts w:ascii="宋体" w:eastAsia="宋体" w:hAnsi="宋体" w:cs="宋体" w:hint="eastAsia"/>
                <w:szCs w:val="21"/>
              </w:rPr>
              <w:t>12分</w:t>
            </w:r>
          </w:p>
        </w:tc>
      </w:tr>
      <w:tr w:rsidR="00722782" w:rsidTr="00722782">
        <w:trPr>
          <w:cantSplit/>
          <w:trHeight w:val="355"/>
        </w:trPr>
        <w:tc>
          <w:tcPr>
            <w:tcW w:w="250" w:type="dxa"/>
            <w:vMerge w:val="restart"/>
            <w:tcBorders>
              <w:top w:val="single" w:sz="4" w:space="0" w:color="auto"/>
              <w:left w:val="single" w:sz="4" w:space="0" w:color="auto"/>
              <w:right w:val="single" w:sz="4" w:space="0" w:color="auto"/>
            </w:tcBorders>
            <w:vAlign w:val="center"/>
          </w:tcPr>
          <w:p w:rsidR="00722782" w:rsidRDefault="00722782" w:rsidP="00722782">
            <w:pPr>
              <w:pStyle w:val="0"/>
              <w:adjustRightInd/>
              <w:spacing w:before="0" w:after="0" w:line="360" w:lineRule="auto"/>
              <w:jc w:val="center"/>
              <w:rPr>
                <w:rFonts w:ascii="宋体" w:hAnsi="宋体" w:cs="宋体"/>
                <w:b w:val="0"/>
                <w:kern w:val="2"/>
                <w:sz w:val="21"/>
                <w:szCs w:val="21"/>
              </w:rPr>
            </w:pPr>
            <w:r>
              <w:rPr>
                <w:rFonts w:ascii="宋体" w:hAnsi="宋体" w:cs="宋体" w:hint="eastAsia"/>
                <w:b w:val="0"/>
                <w:kern w:val="2"/>
                <w:sz w:val="21"/>
                <w:szCs w:val="21"/>
              </w:rPr>
              <w:t>3</w:t>
            </w:r>
          </w:p>
        </w:tc>
        <w:tc>
          <w:tcPr>
            <w:tcW w:w="900" w:type="dxa"/>
            <w:vMerge w:val="restart"/>
            <w:tcBorders>
              <w:top w:val="single" w:sz="4" w:space="0" w:color="auto"/>
              <w:left w:val="single" w:sz="4" w:space="0" w:color="auto"/>
              <w:right w:val="single" w:sz="4" w:space="0" w:color="auto"/>
            </w:tcBorders>
            <w:vAlign w:val="center"/>
          </w:tcPr>
          <w:p w:rsidR="00722782" w:rsidRDefault="00722782" w:rsidP="00722782">
            <w:pPr>
              <w:pStyle w:val="0"/>
              <w:adjustRightInd/>
              <w:spacing w:before="0" w:after="0" w:line="360" w:lineRule="auto"/>
              <w:jc w:val="center"/>
              <w:rPr>
                <w:rFonts w:ascii="宋体" w:hAnsi="宋体" w:cs="宋体"/>
                <w:b w:val="0"/>
                <w:kern w:val="2"/>
                <w:sz w:val="21"/>
                <w:szCs w:val="21"/>
              </w:rPr>
            </w:pPr>
            <w:r>
              <w:rPr>
                <w:rFonts w:ascii="宋体" w:hAnsi="宋体" w:cs="宋体" w:hint="eastAsia"/>
                <w:b w:val="0"/>
                <w:kern w:val="2"/>
                <w:sz w:val="21"/>
                <w:szCs w:val="21"/>
              </w:rPr>
              <w:t>商务分</w:t>
            </w:r>
          </w:p>
          <w:p w:rsidR="00722782" w:rsidRDefault="00722782" w:rsidP="00722782">
            <w:pPr>
              <w:pStyle w:val="0"/>
              <w:adjustRightInd/>
              <w:spacing w:before="0" w:after="0" w:line="360" w:lineRule="auto"/>
              <w:jc w:val="center"/>
              <w:rPr>
                <w:rFonts w:ascii="宋体" w:hAnsi="宋体" w:cs="宋体"/>
                <w:b w:val="0"/>
                <w:kern w:val="2"/>
                <w:sz w:val="21"/>
                <w:szCs w:val="21"/>
              </w:rPr>
            </w:pPr>
            <w:r>
              <w:rPr>
                <w:rFonts w:ascii="宋体" w:hAnsi="宋体" w:cs="宋体" w:hint="eastAsia"/>
                <w:b w:val="0"/>
                <w:kern w:val="2"/>
                <w:sz w:val="21"/>
                <w:szCs w:val="21"/>
              </w:rPr>
              <w:t>(</w:t>
            </w:r>
            <w:r>
              <w:rPr>
                <w:rFonts w:ascii="宋体" w:hAnsi="宋体" w:cs="宋体" w:hint="eastAsia"/>
                <w:b w:val="0"/>
                <w:sz w:val="21"/>
                <w:szCs w:val="21"/>
              </w:rPr>
              <w:t>满分</w:t>
            </w:r>
            <w:r>
              <w:rPr>
                <w:rFonts w:ascii="宋体" w:hAnsi="宋体" w:cs="宋体" w:hint="eastAsia"/>
                <w:b w:val="0"/>
                <w:kern w:val="2"/>
                <w:sz w:val="21"/>
                <w:szCs w:val="21"/>
              </w:rPr>
              <w:t>27分）</w:t>
            </w:r>
          </w:p>
        </w:tc>
        <w:tc>
          <w:tcPr>
            <w:tcW w:w="960" w:type="dxa"/>
            <w:tcBorders>
              <w:top w:val="single" w:sz="4" w:space="0" w:color="auto"/>
              <w:left w:val="single" w:sz="4" w:space="0" w:color="auto"/>
              <w:right w:val="single" w:sz="4" w:space="0" w:color="auto"/>
            </w:tcBorders>
            <w:vAlign w:val="center"/>
          </w:tcPr>
          <w:p w:rsidR="00722782" w:rsidRPr="00722782" w:rsidRDefault="00722782" w:rsidP="00722782">
            <w:pPr>
              <w:pStyle w:val="a5"/>
              <w:jc w:val="center"/>
              <w:rPr>
                <w:rFonts w:ascii="宋体" w:eastAsia="宋体" w:hAnsi="宋体" w:cs="宋体"/>
                <w:szCs w:val="21"/>
              </w:rPr>
            </w:pPr>
            <w:r>
              <w:rPr>
                <w:rFonts w:ascii="宋体" w:eastAsia="宋体" w:hAnsi="宋体" w:cs="宋体" w:hint="eastAsia"/>
                <w:szCs w:val="21"/>
              </w:rPr>
              <w:t>同类业绩</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snapToGrid w:val="0"/>
              <w:spacing w:line="360" w:lineRule="auto"/>
            </w:pPr>
            <w:r>
              <w:rPr>
                <w:rFonts w:hint="eastAsia"/>
              </w:rPr>
              <w:t>投标人自</w:t>
            </w:r>
            <w:r>
              <w:rPr>
                <w:rFonts w:hint="eastAsia"/>
              </w:rPr>
              <w:t>2023</w:t>
            </w:r>
            <w:r>
              <w:rPr>
                <w:rFonts w:hint="eastAsia"/>
              </w:rPr>
              <w:t>年</w:t>
            </w:r>
            <w:r>
              <w:rPr>
                <w:rFonts w:hint="eastAsia"/>
              </w:rPr>
              <w:t>1</w:t>
            </w:r>
            <w:r>
              <w:rPr>
                <w:rFonts w:hint="eastAsia"/>
              </w:rPr>
              <w:t>月</w:t>
            </w:r>
            <w:r>
              <w:rPr>
                <w:rFonts w:hint="eastAsia"/>
              </w:rPr>
              <w:t>1</w:t>
            </w:r>
            <w:r>
              <w:rPr>
                <w:rFonts w:hint="eastAsia"/>
              </w:rPr>
              <w:t>日（合同签订时间为准）以来，独立承接信息服务平台、政务信息化软件开发等</w:t>
            </w:r>
            <w:r>
              <w:t>类似信息化平台建设项目</w:t>
            </w:r>
            <w:r>
              <w:rPr>
                <w:rFonts w:hint="eastAsia"/>
              </w:rPr>
              <w:t>的，每提供</w:t>
            </w:r>
            <w:r>
              <w:rPr>
                <w:rFonts w:hint="eastAsia"/>
              </w:rPr>
              <w:t>1</w:t>
            </w:r>
            <w:r>
              <w:rPr>
                <w:rFonts w:hint="eastAsia"/>
              </w:rPr>
              <w:t>个完整有效业绩得</w:t>
            </w:r>
            <w:r>
              <w:rPr>
                <w:rFonts w:hint="eastAsia"/>
              </w:rPr>
              <w:t>1</w:t>
            </w:r>
            <w:r>
              <w:rPr>
                <w:rFonts w:hint="eastAsia"/>
              </w:rPr>
              <w:t>分（须提供有效的供货（成交）通知书及合同关键页（金额、建设内容、盖章页，须能清晰反映项目内容）</w:t>
            </w:r>
            <w:r>
              <w:t>及验收材料</w:t>
            </w:r>
            <w:r>
              <w:rPr>
                <w:rFonts w:hint="eastAsia"/>
              </w:rPr>
              <w:t>并加盖报价人公章，否则不予计分，同一采购人多期项目仅计</w:t>
            </w:r>
            <w:r>
              <w:rPr>
                <w:rFonts w:hint="eastAsia"/>
              </w:rPr>
              <w:t>1</w:t>
            </w:r>
            <w:r>
              <w:rPr>
                <w:rFonts w:hint="eastAsia"/>
              </w:rPr>
              <w:t>个案例），最高</w:t>
            </w:r>
            <w:r>
              <w:rPr>
                <w:rFonts w:hint="eastAsia"/>
              </w:rPr>
              <w:t>4</w:t>
            </w:r>
            <w:r>
              <w:rPr>
                <w:rFonts w:hint="eastAsia"/>
              </w:rPr>
              <w:t>分。</w:t>
            </w:r>
          </w:p>
          <w:p w:rsidR="00722782" w:rsidRDefault="00722782" w:rsidP="007773C4">
            <w:pPr>
              <w:snapToGrid w:val="0"/>
              <w:spacing w:line="360" w:lineRule="auto"/>
            </w:pPr>
            <w:r>
              <w:rPr>
                <w:rFonts w:hint="eastAsia"/>
              </w:rPr>
              <w:t>评审依据：须提供供货（成交）通知书及合同关键页及验收材料复印件加盖报价人公章，提供资料不全不得分。</w:t>
            </w:r>
          </w:p>
        </w:tc>
        <w:tc>
          <w:tcPr>
            <w:tcW w:w="723" w:type="dxa"/>
            <w:tcBorders>
              <w:top w:val="single" w:sz="4" w:space="0" w:color="auto"/>
              <w:left w:val="single" w:sz="4" w:space="0" w:color="auto"/>
              <w:bottom w:val="single" w:sz="4" w:space="0" w:color="auto"/>
              <w:right w:val="single" w:sz="4" w:space="0" w:color="auto"/>
            </w:tcBorders>
          </w:tcPr>
          <w:p w:rsidR="00722782" w:rsidRDefault="00722782" w:rsidP="007773C4">
            <w:pPr>
              <w:spacing w:line="360" w:lineRule="auto"/>
              <w:rPr>
                <w:rFonts w:ascii="宋体" w:eastAsia="宋体" w:hAnsi="宋体" w:cs="宋体"/>
                <w:szCs w:val="21"/>
              </w:rPr>
            </w:pPr>
            <w:r>
              <w:rPr>
                <w:rFonts w:ascii="宋体" w:eastAsia="宋体" w:hAnsi="宋体" w:cs="宋体" w:hint="eastAsia"/>
                <w:b/>
                <w:szCs w:val="21"/>
              </w:rPr>
              <w:t>4</w:t>
            </w:r>
            <w:r>
              <w:rPr>
                <w:rFonts w:ascii="宋体" w:eastAsia="宋体" w:hAnsi="宋体" w:cs="宋体" w:hint="eastAsia"/>
                <w:szCs w:val="21"/>
              </w:rPr>
              <w:t>分</w:t>
            </w:r>
          </w:p>
        </w:tc>
      </w:tr>
      <w:tr w:rsidR="00722782" w:rsidTr="00722782">
        <w:trPr>
          <w:cantSplit/>
          <w:trHeight w:val="355"/>
        </w:trPr>
        <w:tc>
          <w:tcPr>
            <w:tcW w:w="250" w:type="dxa"/>
            <w:vMerge/>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highlight w:val="green"/>
              </w:rPr>
            </w:pPr>
          </w:p>
        </w:tc>
        <w:tc>
          <w:tcPr>
            <w:tcW w:w="900" w:type="dxa"/>
            <w:vMerge/>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highlight w:val="green"/>
              </w:rPr>
            </w:pPr>
          </w:p>
        </w:tc>
        <w:tc>
          <w:tcPr>
            <w:tcW w:w="960" w:type="dxa"/>
            <w:tcBorders>
              <w:top w:val="single" w:sz="4" w:space="0" w:color="auto"/>
              <w:left w:val="single" w:sz="4" w:space="0" w:color="auto"/>
              <w:right w:val="single" w:sz="4" w:space="0" w:color="auto"/>
            </w:tcBorders>
            <w:vAlign w:val="center"/>
          </w:tcPr>
          <w:p w:rsidR="00722782" w:rsidRDefault="00722782" w:rsidP="00722782">
            <w:pPr>
              <w:pStyle w:val="a5"/>
              <w:jc w:val="center"/>
              <w:rPr>
                <w:rFonts w:ascii="宋体" w:eastAsia="宋体" w:hAnsi="宋体" w:cs="宋体"/>
                <w:szCs w:val="21"/>
              </w:rPr>
            </w:pPr>
            <w:r>
              <w:rPr>
                <w:rFonts w:ascii="宋体" w:eastAsia="宋体" w:hAnsi="宋体" w:cs="宋体" w:hint="eastAsia"/>
                <w:szCs w:val="21"/>
              </w:rPr>
              <w:t>企业资信与体系认证</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pStyle w:val="a5"/>
            </w:pPr>
            <w:r>
              <w:rPr>
                <w:rFonts w:hint="eastAsia"/>
              </w:rPr>
              <w:t>1.</w:t>
            </w:r>
            <w:r>
              <w:rPr>
                <w:rFonts w:hint="eastAsia"/>
              </w:rPr>
              <w:t>通过</w:t>
            </w:r>
            <w:r>
              <w:rPr>
                <w:rFonts w:hint="eastAsia"/>
              </w:rPr>
              <w:t>ISO9001</w:t>
            </w:r>
            <w:r>
              <w:rPr>
                <w:rFonts w:hint="eastAsia"/>
              </w:rPr>
              <w:t>质量管理体系认证的加</w:t>
            </w:r>
            <w:r>
              <w:rPr>
                <w:rFonts w:hint="eastAsia"/>
              </w:rPr>
              <w:t>1</w:t>
            </w:r>
            <w:r>
              <w:rPr>
                <w:rFonts w:hint="eastAsia"/>
              </w:rPr>
              <w:t>分；</w:t>
            </w:r>
          </w:p>
          <w:p w:rsidR="00722782" w:rsidRDefault="00722782" w:rsidP="007773C4">
            <w:pPr>
              <w:pStyle w:val="a5"/>
            </w:pPr>
            <w:r>
              <w:rPr>
                <w:rFonts w:hint="eastAsia"/>
              </w:rPr>
              <w:t>2.</w:t>
            </w:r>
            <w:r>
              <w:rPr>
                <w:rFonts w:hint="eastAsia"/>
              </w:rPr>
              <w:t>具备与本项目直接相关的核心技术领域相近的软件著作权登记证书的每项</w:t>
            </w:r>
            <w:r>
              <w:rPr>
                <w:rFonts w:hint="eastAsia"/>
              </w:rPr>
              <w:t>1</w:t>
            </w:r>
            <w:r>
              <w:rPr>
                <w:rFonts w:hint="eastAsia"/>
              </w:rPr>
              <w:t>分，最高</w:t>
            </w:r>
            <w:r>
              <w:rPr>
                <w:rFonts w:hint="eastAsia"/>
              </w:rPr>
              <w:t>5</w:t>
            </w:r>
            <w:r>
              <w:rPr>
                <w:rFonts w:hint="eastAsia"/>
              </w:rPr>
              <w:t>分；</w:t>
            </w:r>
          </w:p>
          <w:p w:rsidR="00722782" w:rsidRDefault="00722782" w:rsidP="007773C4">
            <w:pPr>
              <w:pStyle w:val="a5"/>
            </w:pPr>
            <w:r>
              <w:rPr>
                <w:rFonts w:hint="eastAsia"/>
              </w:rPr>
              <w:t>评审依据：</w:t>
            </w:r>
          </w:p>
          <w:p w:rsidR="00722782" w:rsidRDefault="00722782" w:rsidP="007773C4">
            <w:pPr>
              <w:pStyle w:val="a5"/>
            </w:pPr>
            <w:r>
              <w:rPr>
                <w:rFonts w:hint="eastAsia"/>
              </w:rPr>
              <w:t>1.ISO9001</w:t>
            </w:r>
            <w:r>
              <w:rPr>
                <w:rFonts w:hint="eastAsia"/>
              </w:rPr>
              <w:t>质量管理体系认证须提供全国认证认可公共服务平台（</w:t>
            </w:r>
            <w:r>
              <w:rPr>
                <w:rFonts w:hint="eastAsia"/>
              </w:rPr>
              <w:t>cx.cnca.cn</w:t>
            </w:r>
            <w:r>
              <w:rPr>
                <w:rFonts w:hint="eastAsia"/>
              </w:rPr>
              <w:t>）官网有效查询截图并加盖公章，证书在报价有效期内且认证范围包含软件开发</w:t>
            </w:r>
            <w:r>
              <w:rPr>
                <w:rFonts w:hint="eastAsia"/>
              </w:rPr>
              <w:t xml:space="preserve"> / </w:t>
            </w:r>
            <w:r>
              <w:rPr>
                <w:rFonts w:hint="eastAsia"/>
              </w:rPr>
              <w:t>信息技术服务相关范畴。</w:t>
            </w:r>
          </w:p>
          <w:p w:rsidR="00722782" w:rsidRDefault="00722782" w:rsidP="007773C4">
            <w:pPr>
              <w:pStyle w:val="a5"/>
            </w:pPr>
            <w:r>
              <w:rPr>
                <w:rFonts w:hint="eastAsia"/>
              </w:rPr>
              <w:t>2.</w:t>
            </w:r>
            <w:r>
              <w:rPr>
                <w:rFonts w:hint="eastAsia"/>
              </w:rPr>
              <w:t>报价时提供软件著作权登记证书清晰复印件并加盖公章，证书名称与本次开发系统直接相关的核心技术领域相近。</w:t>
            </w:r>
          </w:p>
        </w:tc>
        <w:tc>
          <w:tcPr>
            <w:tcW w:w="723"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b/>
                <w:szCs w:val="21"/>
              </w:rPr>
            </w:pPr>
            <w:r>
              <w:rPr>
                <w:rFonts w:ascii="宋体" w:eastAsia="宋体" w:hAnsi="宋体" w:cs="宋体" w:hint="eastAsia"/>
                <w:b/>
                <w:szCs w:val="21"/>
              </w:rPr>
              <w:t>6</w:t>
            </w:r>
            <w:r>
              <w:rPr>
                <w:rFonts w:ascii="宋体" w:eastAsia="宋体" w:hAnsi="宋体" w:cs="宋体" w:hint="eastAsia"/>
                <w:szCs w:val="21"/>
              </w:rPr>
              <w:t>分</w:t>
            </w:r>
          </w:p>
        </w:tc>
      </w:tr>
      <w:tr w:rsidR="00722782" w:rsidTr="00722782">
        <w:trPr>
          <w:cantSplit/>
          <w:trHeight w:val="355"/>
        </w:trPr>
        <w:tc>
          <w:tcPr>
            <w:tcW w:w="250" w:type="dxa"/>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highlight w:val="green"/>
              </w:rPr>
            </w:pPr>
          </w:p>
        </w:tc>
        <w:tc>
          <w:tcPr>
            <w:tcW w:w="900" w:type="dxa"/>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rPr>
            </w:pPr>
          </w:p>
        </w:tc>
        <w:tc>
          <w:tcPr>
            <w:tcW w:w="960" w:type="dxa"/>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szCs w:val="21"/>
              </w:rPr>
            </w:pPr>
            <w:r>
              <w:rPr>
                <w:rFonts w:ascii="宋体" w:eastAsia="宋体" w:hAnsi="宋体" w:cs="宋体" w:hint="eastAsia"/>
                <w:szCs w:val="21"/>
              </w:rPr>
              <w:t>项目开发团队人员实力</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pStyle w:val="a5"/>
            </w:pPr>
            <w:r>
              <w:rPr>
                <w:rFonts w:hint="eastAsia"/>
              </w:rPr>
              <w:t>1.</w:t>
            </w:r>
            <w:r>
              <w:rPr>
                <w:rFonts w:hint="eastAsia"/>
              </w:rPr>
              <w:t>项目经理：具备软件设计师</w:t>
            </w:r>
            <w:r>
              <w:rPr>
                <w:rFonts w:hint="eastAsia"/>
              </w:rPr>
              <w:t>/</w:t>
            </w:r>
            <w:r>
              <w:rPr>
                <w:rFonts w:hint="eastAsia"/>
              </w:rPr>
              <w:t>信息系统项目管理师及以上证书，得</w:t>
            </w:r>
            <w:r>
              <w:rPr>
                <w:rFonts w:hint="eastAsia"/>
              </w:rPr>
              <w:t>1</w:t>
            </w:r>
            <w:r>
              <w:rPr>
                <w:rFonts w:hint="eastAsia"/>
              </w:rPr>
              <w:t>分；</w:t>
            </w:r>
          </w:p>
          <w:p w:rsidR="00722782" w:rsidRDefault="00722782" w:rsidP="007773C4">
            <w:pPr>
              <w:pStyle w:val="a5"/>
            </w:pPr>
            <w:r>
              <w:rPr>
                <w:rFonts w:hint="eastAsia"/>
              </w:rPr>
              <w:t>2.</w:t>
            </w:r>
            <w:r>
              <w:rPr>
                <w:rFonts w:hint="eastAsia"/>
              </w:rPr>
              <w:t>技术负责人：软件设计师</w:t>
            </w:r>
            <w:r>
              <w:rPr>
                <w:rFonts w:hint="eastAsia"/>
              </w:rPr>
              <w:t>/</w:t>
            </w:r>
            <w:r>
              <w:rPr>
                <w:rFonts w:hint="eastAsia"/>
              </w:rPr>
              <w:t>信息系统分析师</w:t>
            </w:r>
            <w:r>
              <w:rPr>
                <w:rFonts w:hint="eastAsia"/>
              </w:rPr>
              <w:t>/</w:t>
            </w:r>
            <w:r>
              <w:rPr>
                <w:rFonts w:hint="eastAsia"/>
              </w:rPr>
              <w:t>网络安全工程师中级及以上证书，得</w:t>
            </w:r>
            <w:r>
              <w:rPr>
                <w:rFonts w:hint="eastAsia"/>
              </w:rPr>
              <w:t>1</w:t>
            </w:r>
            <w:r>
              <w:rPr>
                <w:rFonts w:hint="eastAsia"/>
              </w:rPr>
              <w:t>分；</w:t>
            </w:r>
          </w:p>
          <w:p w:rsidR="00722782" w:rsidRDefault="00722782" w:rsidP="007773C4">
            <w:pPr>
              <w:pStyle w:val="a5"/>
              <w:rPr>
                <w:b/>
                <w:bCs/>
              </w:rPr>
            </w:pPr>
            <w:r>
              <w:rPr>
                <w:rFonts w:hint="eastAsia"/>
                <w:b/>
                <w:bCs/>
              </w:rPr>
              <w:t>评审依据：</w:t>
            </w:r>
            <w:r>
              <w:rPr>
                <w:rFonts w:hint="eastAsia"/>
                <w:b/>
                <w:bCs/>
              </w:rPr>
              <w:t>1.</w:t>
            </w:r>
            <w:r>
              <w:rPr>
                <w:rFonts w:hint="eastAsia"/>
                <w:b/>
                <w:bCs/>
              </w:rPr>
              <w:t>提供由人力资源和社会保障部‌与‌工业和信息化部‌联合颁发的清晰有效证书复印件并加盖公章；</w:t>
            </w:r>
          </w:p>
          <w:p w:rsidR="00722782" w:rsidRDefault="00722782" w:rsidP="00722782">
            <w:pPr>
              <w:pStyle w:val="a5"/>
              <w:numPr>
                <w:ilvl w:val="0"/>
                <w:numId w:val="1"/>
              </w:numPr>
            </w:pPr>
            <w:r>
              <w:rPr>
                <w:rFonts w:hint="eastAsia"/>
                <w:b/>
                <w:bCs/>
              </w:rPr>
              <w:t>提供截止报价之日前连续</w:t>
            </w:r>
            <w:r>
              <w:rPr>
                <w:rFonts w:hint="eastAsia"/>
                <w:b/>
                <w:bCs/>
              </w:rPr>
              <w:t>3</w:t>
            </w:r>
            <w:r>
              <w:rPr>
                <w:rFonts w:hint="eastAsia"/>
                <w:b/>
                <w:bCs/>
              </w:rPr>
              <w:t>个月在报价单位社保证明文件复印件并加盖公章。</w:t>
            </w:r>
          </w:p>
        </w:tc>
        <w:tc>
          <w:tcPr>
            <w:tcW w:w="723"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b/>
                <w:szCs w:val="21"/>
              </w:rPr>
            </w:pPr>
            <w:r>
              <w:rPr>
                <w:rFonts w:ascii="宋体" w:eastAsia="宋体" w:hAnsi="宋体" w:cs="宋体" w:hint="eastAsia"/>
                <w:b/>
                <w:szCs w:val="21"/>
              </w:rPr>
              <w:t>2</w:t>
            </w:r>
            <w:r>
              <w:rPr>
                <w:rFonts w:ascii="宋体" w:eastAsia="宋体" w:hAnsi="宋体" w:cs="宋体" w:hint="eastAsia"/>
                <w:szCs w:val="21"/>
              </w:rPr>
              <w:t>分</w:t>
            </w:r>
          </w:p>
        </w:tc>
      </w:tr>
      <w:tr w:rsidR="00722782" w:rsidTr="00722782">
        <w:trPr>
          <w:cantSplit/>
          <w:trHeight w:val="355"/>
        </w:trPr>
        <w:tc>
          <w:tcPr>
            <w:tcW w:w="250" w:type="dxa"/>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highlight w:val="green"/>
              </w:rPr>
            </w:pPr>
          </w:p>
        </w:tc>
        <w:tc>
          <w:tcPr>
            <w:tcW w:w="900" w:type="dxa"/>
            <w:tcBorders>
              <w:left w:val="single" w:sz="4" w:space="0" w:color="auto"/>
              <w:right w:val="single" w:sz="4" w:space="0" w:color="auto"/>
            </w:tcBorders>
          </w:tcPr>
          <w:p w:rsidR="00722782" w:rsidRDefault="00722782" w:rsidP="007773C4">
            <w:pPr>
              <w:pStyle w:val="0"/>
              <w:adjustRightInd/>
              <w:spacing w:before="0" w:after="0" w:line="360" w:lineRule="auto"/>
              <w:rPr>
                <w:rFonts w:ascii="宋体" w:hAnsi="宋体" w:cs="宋体"/>
                <w:b w:val="0"/>
                <w:kern w:val="2"/>
                <w:sz w:val="21"/>
                <w:szCs w:val="21"/>
                <w:highlight w:val="green"/>
              </w:rPr>
            </w:pPr>
          </w:p>
        </w:tc>
        <w:tc>
          <w:tcPr>
            <w:tcW w:w="960" w:type="dxa"/>
            <w:tcBorders>
              <w:top w:val="single" w:sz="4" w:space="0" w:color="auto"/>
              <w:left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szCs w:val="21"/>
                <w:highlight w:val="green"/>
              </w:rPr>
            </w:pPr>
            <w:r>
              <w:rPr>
                <w:rFonts w:ascii="宋体" w:eastAsia="宋体" w:hAnsi="宋体" w:cs="宋体" w:hint="eastAsia"/>
                <w:szCs w:val="21"/>
              </w:rPr>
              <w:t>售后服务与质保承诺</w:t>
            </w:r>
          </w:p>
        </w:tc>
        <w:tc>
          <w:tcPr>
            <w:tcW w:w="6986" w:type="dxa"/>
            <w:tcBorders>
              <w:top w:val="single" w:sz="4" w:space="0" w:color="auto"/>
              <w:left w:val="single" w:sz="4" w:space="0" w:color="auto"/>
              <w:bottom w:val="single" w:sz="4" w:space="0" w:color="auto"/>
              <w:right w:val="single" w:sz="4" w:space="0" w:color="auto"/>
            </w:tcBorders>
          </w:tcPr>
          <w:p w:rsidR="00722782" w:rsidRDefault="00722782" w:rsidP="007773C4">
            <w:pPr>
              <w:pStyle w:val="a5"/>
            </w:pPr>
            <w:r>
              <w:rPr>
                <w:rFonts w:hint="eastAsia"/>
              </w:rPr>
              <w:t>一档（</w:t>
            </w:r>
            <w:r>
              <w:rPr>
                <w:rFonts w:hint="eastAsia"/>
              </w:rPr>
              <w:t>15</w:t>
            </w:r>
            <w:r>
              <w:rPr>
                <w:rFonts w:hint="eastAsia"/>
              </w:rPr>
              <w:t>分）：在满足第二挡的基础上，售后服务方案细致完善可行，整体方案对采购人有实际性帮助；报价人所提供的项目服务方案完整可行，售后服务成体系（含技术咨询、缺陷修复、版本更新迭代方案，故障响应与处理规范，故障解决方案，以及故障应急响应方案等），服务承诺、维护保障方式、售后保障能力及后期支持措施等完善、可行，针对性、可行性强，明确定期维护与定期回访（时间）；提供有针对性的技术培训方案，并提供日常的技术咨询与技术支持；提供售后服务措施细致、周到，维保人员配置合理（须注明：未经采购人同意，不得随意更换维保人员，如质保期间维保人员离职，代替者资质、能力不得低于投标文件承诺）；整体上资料详细完备，服务承诺和保障措施考虑周全完整详细；承诺免费质保≥</w:t>
            </w:r>
            <w:r>
              <w:rPr>
                <w:rFonts w:hint="eastAsia"/>
              </w:rPr>
              <w:t>36</w:t>
            </w:r>
            <w:r>
              <w:rPr>
                <w:rFonts w:hint="eastAsia"/>
              </w:rPr>
              <w:t>个月；</w:t>
            </w:r>
            <w:r>
              <w:rPr>
                <w:rFonts w:hint="eastAsia"/>
              </w:rPr>
              <w:t>7</w:t>
            </w:r>
            <w:r>
              <w:rPr>
                <w:rFonts w:hint="eastAsia"/>
              </w:rPr>
              <w:t>×</w:t>
            </w:r>
            <w:r>
              <w:rPr>
                <w:rFonts w:hint="eastAsia"/>
              </w:rPr>
              <w:t>24</w:t>
            </w:r>
            <w:r>
              <w:rPr>
                <w:rFonts w:hint="eastAsia"/>
              </w:rPr>
              <w:t>小时专属运维热线；故障响应时效优于招标文件需求；终身免费技术咨询，质保期满后的延伸服务方案优惠力度大；保密、数据安全售后保障措施完善，是投标文件中最优方案。</w:t>
            </w:r>
          </w:p>
          <w:p w:rsidR="00722782" w:rsidRDefault="00722782" w:rsidP="007773C4">
            <w:pPr>
              <w:pStyle w:val="a5"/>
            </w:pPr>
            <w:r>
              <w:rPr>
                <w:rFonts w:hint="eastAsia"/>
              </w:rPr>
              <w:t>二档（</w:t>
            </w:r>
            <w:r>
              <w:rPr>
                <w:rFonts w:hint="eastAsia"/>
              </w:rPr>
              <w:t>10</w:t>
            </w:r>
            <w:r>
              <w:rPr>
                <w:rFonts w:hint="eastAsia"/>
              </w:rPr>
              <w:t>分）：在满足第三挡的基础上，有较为完善的技术培训方案；售后维护方案各项措施较为完备，故障响应时间优于报价文件需求；售后服务保障方案较完善，对于联系与报修手段、人员的安排、技术人员资质等方面有较为明确的安排，方案可行且较详细，基础售后服务措施齐全，提供质保期满后的延伸服务方案，能较好满足采购需求，符合实际，质保期≥</w:t>
            </w:r>
            <w:r>
              <w:rPr>
                <w:rFonts w:hint="eastAsia"/>
              </w:rPr>
              <w:t>24</w:t>
            </w:r>
            <w:r>
              <w:rPr>
                <w:rFonts w:hint="eastAsia"/>
              </w:rPr>
              <w:t>个月。</w:t>
            </w:r>
          </w:p>
          <w:p w:rsidR="00722782" w:rsidRDefault="00722782" w:rsidP="007773C4">
            <w:pPr>
              <w:pStyle w:val="a5"/>
              <w:rPr>
                <w:highlight w:val="green"/>
              </w:rPr>
            </w:pPr>
            <w:r>
              <w:rPr>
                <w:rFonts w:hint="eastAsia"/>
              </w:rPr>
              <w:t>三档（</w:t>
            </w:r>
            <w:r>
              <w:rPr>
                <w:rFonts w:hint="eastAsia"/>
              </w:rPr>
              <w:t>5</w:t>
            </w:r>
            <w:r>
              <w:rPr>
                <w:rFonts w:hint="eastAsia"/>
              </w:rPr>
              <w:t>分）：有技术培训方案、售后维护与售后服务保障方案，无增值服务承诺，各方案简略，对于具体实施描述不足，方案针对性、可行性一般，仅满足报价文件最低</w:t>
            </w:r>
            <w:r>
              <w:rPr>
                <w:rFonts w:hint="eastAsia"/>
              </w:rPr>
              <w:t>12</w:t>
            </w:r>
            <w:r>
              <w:rPr>
                <w:rFonts w:hint="eastAsia"/>
              </w:rPr>
              <w:t>个月质保及故障响应时间要求。</w:t>
            </w:r>
          </w:p>
        </w:tc>
        <w:tc>
          <w:tcPr>
            <w:tcW w:w="723" w:type="dxa"/>
            <w:tcBorders>
              <w:top w:val="single" w:sz="4" w:space="0" w:color="auto"/>
              <w:left w:val="single" w:sz="4" w:space="0" w:color="auto"/>
              <w:bottom w:val="single" w:sz="4" w:space="0" w:color="auto"/>
              <w:right w:val="single" w:sz="4" w:space="0" w:color="auto"/>
            </w:tcBorders>
            <w:vAlign w:val="center"/>
          </w:tcPr>
          <w:p w:rsidR="00722782" w:rsidRDefault="00722782" w:rsidP="00722782">
            <w:pPr>
              <w:spacing w:line="360" w:lineRule="auto"/>
              <w:jc w:val="center"/>
              <w:rPr>
                <w:rFonts w:ascii="宋体" w:eastAsia="宋体" w:hAnsi="宋体" w:cs="宋体"/>
                <w:b/>
                <w:szCs w:val="21"/>
                <w:highlight w:val="green"/>
              </w:rPr>
            </w:pPr>
            <w:r>
              <w:rPr>
                <w:rFonts w:ascii="宋体" w:eastAsia="宋体" w:hAnsi="宋体" w:cs="宋体" w:hint="eastAsia"/>
                <w:b/>
                <w:szCs w:val="21"/>
              </w:rPr>
              <w:t>15</w:t>
            </w:r>
            <w:r>
              <w:rPr>
                <w:rFonts w:ascii="宋体" w:eastAsia="宋体" w:hAnsi="宋体" w:cs="宋体" w:hint="eastAsia"/>
                <w:szCs w:val="21"/>
              </w:rPr>
              <w:t>分</w:t>
            </w:r>
          </w:p>
        </w:tc>
      </w:tr>
      <w:tr w:rsidR="00722782" w:rsidTr="007773C4">
        <w:trPr>
          <w:cantSplit/>
          <w:trHeight w:val="416"/>
        </w:trPr>
        <w:tc>
          <w:tcPr>
            <w:tcW w:w="9819" w:type="dxa"/>
            <w:gridSpan w:val="5"/>
            <w:tcBorders>
              <w:top w:val="single" w:sz="4" w:space="0" w:color="auto"/>
              <w:left w:val="single" w:sz="4" w:space="0" w:color="auto"/>
              <w:right w:val="single" w:sz="4" w:space="0" w:color="auto"/>
            </w:tcBorders>
          </w:tcPr>
          <w:p w:rsidR="00722782" w:rsidRDefault="00722782" w:rsidP="007773C4">
            <w:pPr>
              <w:spacing w:line="360" w:lineRule="auto"/>
              <w:jc w:val="left"/>
              <w:rPr>
                <w:rFonts w:ascii="宋体" w:hAnsi="宋体"/>
                <w:szCs w:val="21"/>
                <w:highlight w:val="green"/>
              </w:rPr>
            </w:pPr>
            <w:r>
              <w:rPr>
                <w:rFonts w:ascii="宋体" w:hAnsi="宋体" w:hint="eastAsia"/>
                <w:szCs w:val="21"/>
              </w:rPr>
              <w:t>1+2+3=100分</w:t>
            </w:r>
          </w:p>
        </w:tc>
      </w:tr>
    </w:tbl>
    <w:p w:rsidR="00722782" w:rsidRDefault="00722782" w:rsidP="00722782">
      <w:pPr>
        <w:pStyle w:val="a5"/>
        <w:spacing w:line="360" w:lineRule="auto"/>
        <w:rPr>
          <w:rFonts w:asciiTheme="minorEastAsia" w:hAnsiTheme="minorEastAsia" w:cstheme="minorEastAsia"/>
        </w:rPr>
      </w:pPr>
    </w:p>
    <w:p w:rsidR="003F74CD" w:rsidRDefault="003F74CD"/>
    <w:sectPr w:rsidR="003F74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4CD" w:rsidRDefault="003F74CD" w:rsidP="00722782">
      <w:r>
        <w:separator/>
      </w:r>
    </w:p>
  </w:endnote>
  <w:endnote w:type="continuationSeparator" w:id="1">
    <w:p w:rsidR="003F74CD" w:rsidRDefault="003F74CD" w:rsidP="007227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4CD" w:rsidRDefault="003F74CD" w:rsidP="00722782">
      <w:r>
        <w:separator/>
      </w:r>
    </w:p>
  </w:footnote>
  <w:footnote w:type="continuationSeparator" w:id="1">
    <w:p w:rsidR="003F74CD" w:rsidRDefault="003F74CD" w:rsidP="007227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9A214B6"/>
    <w:multiLevelType w:val="singleLevel"/>
    <w:tmpl w:val="C9A214B6"/>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22782"/>
    <w:rsid w:val="003F74CD"/>
    <w:rsid w:val="007227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227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22782"/>
    <w:rPr>
      <w:sz w:val="18"/>
      <w:szCs w:val="18"/>
    </w:rPr>
  </w:style>
  <w:style w:type="paragraph" w:styleId="a4">
    <w:name w:val="footer"/>
    <w:basedOn w:val="a"/>
    <w:link w:val="Char0"/>
    <w:uiPriority w:val="99"/>
    <w:semiHidden/>
    <w:unhideWhenUsed/>
    <w:rsid w:val="0072278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22782"/>
    <w:rPr>
      <w:sz w:val="18"/>
      <w:szCs w:val="18"/>
    </w:rPr>
  </w:style>
  <w:style w:type="paragraph" w:styleId="a5">
    <w:name w:val="Body Text"/>
    <w:basedOn w:val="a"/>
    <w:link w:val="Char1"/>
    <w:uiPriority w:val="99"/>
    <w:unhideWhenUsed/>
    <w:qFormat/>
    <w:rsid w:val="00722782"/>
    <w:pPr>
      <w:spacing w:after="120"/>
    </w:pPr>
  </w:style>
  <w:style w:type="character" w:customStyle="1" w:styleId="Char1">
    <w:name w:val="正文文本 Char"/>
    <w:basedOn w:val="a0"/>
    <w:link w:val="a5"/>
    <w:uiPriority w:val="99"/>
    <w:qFormat/>
    <w:rsid w:val="00722782"/>
  </w:style>
  <w:style w:type="paragraph" w:customStyle="1" w:styleId="0">
    <w:name w:val="正文0"/>
    <w:basedOn w:val="a"/>
    <w:qFormat/>
    <w:rsid w:val="00722782"/>
    <w:pPr>
      <w:autoSpaceDE w:val="0"/>
      <w:autoSpaceDN w:val="0"/>
      <w:adjustRightInd w:val="0"/>
      <w:spacing w:before="240" w:after="60" w:line="360" w:lineRule="atLeast"/>
    </w:pPr>
    <w:rPr>
      <w:rFonts w:ascii="Times New Roman" w:eastAsia="宋体" w:hAnsi="Times New Roman" w:cs="Times New Roman"/>
      <w:b/>
      <w:kern w:val="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450</Words>
  <Characters>2566</Characters>
  <Application>Microsoft Office Word</Application>
  <DocSecurity>0</DocSecurity>
  <Lines>21</Lines>
  <Paragraphs>6</Paragraphs>
  <ScaleCrop>false</ScaleCrop>
  <Company>Microsoft</Company>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dc:creator>
  <cp:keywords/>
  <dc:description/>
  <cp:lastModifiedBy>KW</cp:lastModifiedBy>
  <cp:revision>2</cp:revision>
  <dcterms:created xsi:type="dcterms:W3CDTF">2026-09-28T01:06:00Z</dcterms:created>
  <dcterms:modified xsi:type="dcterms:W3CDTF">2026-09-28T01:07:00Z</dcterms:modified>
</cp:coreProperties>
</file>