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AB3" w:rsidRDefault="004E3CCB">
      <w:pPr>
        <w:jc w:val="center"/>
        <w:rPr>
          <w:rFonts w:ascii="彩虹小标宋" w:eastAsia="彩虹小标宋"/>
          <w:sz w:val="44"/>
          <w:szCs w:val="44"/>
        </w:rPr>
      </w:pPr>
      <w:r>
        <w:rPr>
          <w:rFonts w:ascii="彩虹小标宋" w:eastAsia="彩虹小标宋" w:hint="eastAsia"/>
          <w:sz w:val="44"/>
          <w:szCs w:val="44"/>
        </w:rPr>
        <w:t>20</w:t>
      </w:r>
      <w:r>
        <w:rPr>
          <w:rFonts w:ascii="彩虹小标宋" w:eastAsia="彩虹小标宋"/>
          <w:sz w:val="44"/>
          <w:szCs w:val="44"/>
        </w:rPr>
        <w:t>27</w:t>
      </w:r>
      <w:r>
        <w:rPr>
          <w:rFonts w:ascii="彩虹小标宋" w:eastAsia="彩虹小标宋" w:hint="eastAsia"/>
          <w:sz w:val="44"/>
          <w:szCs w:val="44"/>
        </w:rPr>
        <w:t>年-</w:t>
      </w:r>
      <w:r>
        <w:rPr>
          <w:rFonts w:ascii="彩虹小标宋" w:eastAsia="彩虹小标宋"/>
          <w:sz w:val="44"/>
          <w:szCs w:val="44"/>
        </w:rPr>
        <w:t>2029</w:t>
      </w:r>
      <w:r>
        <w:rPr>
          <w:rFonts w:ascii="彩虹小标宋" w:eastAsia="彩虹小标宋" w:hint="eastAsia"/>
          <w:sz w:val="44"/>
          <w:szCs w:val="44"/>
        </w:rPr>
        <w:t>年员工补充医疗保险</w:t>
      </w:r>
    </w:p>
    <w:p w:rsidR="00D94AB3" w:rsidRDefault="004E3CCB">
      <w:pPr>
        <w:jc w:val="center"/>
        <w:rPr>
          <w:rFonts w:ascii="彩虹小标宋" w:eastAsia="彩虹小标宋"/>
          <w:sz w:val="44"/>
          <w:szCs w:val="44"/>
        </w:rPr>
      </w:pPr>
      <w:r>
        <w:rPr>
          <w:rFonts w:ascii="彩虹小标宋" w:eastAsia="彩虹小标宋" w:hint="eastAsia"/>
          <w:sz w:val="44"/>
          <w:szCs w:val="44"/>
        </w:rPr>
        <w:t>商业化</w:t>
      </w:r>
      <w:r>
        <w:rPr>
          <w:rFonts w:ascii="彩虹小标宋" w:eastAsia="彩虹小标宋"/>
          <w:sz w:val="44"/>
          <w:szCs w:val="44"/>
        </w:rPr>
        <w:t>采购</w:t>
      </w:r>
      <w:r w:rsidR="00935C8D">
        <w:rPr>
          <w:rFonts w:ascii="彩虹小标宋" w:eastAsia="彩虹小标宋" w:hint="eastAsia"/>
          <w:sz w:val="44"/>
          <w:szCs w:val="44"/>
        </w:rPr>
        <w:t>需求</w:t>
      </w:r>
    </w:p>
    <w:p w:rsidR="00D94AB3" w:rsidRDefault="00D94AB3">
      <w:pPr>
        <w:adjustRightInd w:val="0"/>
        <w:snapToGrid w:val="0"/>
        <w:spacing w:line="587" w:lineRule="exact"/>
        <w:jc w:val="center"/>
        <w:rPr>
          <w:rFonts w:ascii="彩虹粗仿宋" w:eastAsia="彩虹粗仿宋" w:hAnsi="宋体"/>
          <w:snapToGrid w:val="0"/>
          <w:kern w:val="0"/>
          <w:sz w:val="32"/>
          <w:szCs w:val="32"/>
        </w:rPr>
      </w:pPr>
    </w:p>
    <w:p w:rsidR="00D94AB3" w:rsidRDefault="004E3CCB">
      <w:pPr>
        <w:adjustRightInd w:val="0"/>
        <w:snapToGrid w:val="0"/>
        <w:spacing w:line="587" w:lineRule="exact"/>
        <w:ind w:firstLineChars="200" w:firstLine="640"/>
        <w:rPr>
          <w:rFonts w:ascii="彩虹黑体" w:eastAsia="彩虹黑体" w:hAnsi="彩虹黑体" w:cs="彩虹黑体"/>
          <w:snapToGrid w:val="0"/>
          <w:kern w:val="0"/>
          <w:sz w:val="32"/>
          <w:szCs w:val="32"/>
        </w:rPr>
      </w:pPr>
      <w:r>
        <w:rPr>
          <w:rFonts w:ascii="彩虹黑体" w:eastAsia="彩虹黑体" w:hAnsi="彩虹黑体" w:cs="彩虹黑体" w:hint="eastAsia"/>
          <w:snapToGrid w:val="0"/>
          <w:kern w:val="0"/>
          <w:sz w:val="32"/>
          <w:szCs w:val="32"/>
        </w:rPr>
        <w:t>一、服务内容</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为全体员工采购商业化补充医疗保险，保险合同期间为</w:t>
      </w:r>
      <w:r>
        <w:rPr>
          <w:rFonts w:ascii="彩虹粗仿宋" w:eastAsia="彩虹粗仿宋" w:hAnsi="微软雅黑"/>
          <w:bCs/>
          <w:sz w:val="32"/>
          <w:szCs w:val="32"/>
        </w:rPr>
        <w:t>3</w:t>
      </w:r>
      <w:r>
        <w:rPr>
          <w:rFonts w:ascii="彩虹粗仿宋" w:eastAsia="彩虹粗仿宋" w:hAnsi="微软雅黑" w:hint="eastAsia"/>
          <w:bCs/>
          <w:sz w:val="32"/>
          <w:szCs w:val="32"/>
        </w:rPr>
        <w:t>年，自2027年1月1日至20</w:t>
      </w:r>
      <w:r>
        <w:rPr>
          <w:rFonts w:ascii="彩虹粗仿宋" w:eastAsia="彩虹粗仿宋" w:hAnsi="微软雅黑"/>
          <w:bCs/>
          <w:sz w:val="32"/>
          <w:szCs w:val="32"/>
        </w:rPr>
        <w:t>29</w:t>
      </w:r>
      <w:r>
        <w:rPr>
          <w:rFonts w:ascii="彩虹粗仿宋" w:eastAsia="彩虹粗仿宋" w:hAnsi="微软雅黑" w:hint="eastAsia"/>
          <w:bCs/>
          <w:sz w:val="32"/>
          <w:szCs w:val="32"/>
        </w:rPr>
        <w:t>年12月31日。具体保额如下表：</w:t>
      </w:r>
    </w:p>
    <w:tbl>
      <w:tblPr>
        <w:tblW w:w="47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5"/>
        <w:gridCol w:w="1536"/>
        <w:gridCol w:w="2327"/>
        <w:gridCol w:w="2069"/>
        <w:gridCol w:w="2039"/>
      </w:tblGrid>
      <w:tr w:rsidR="00D94AB3" w:rsidTr="000C5536">
        <w:trPr>
          <w:trHeight w:val="397"/>
          <w:jc w:val="center"/>
        </w:trPr>
        <w:tc>
          <w:tcPr>
            <w:tcW w:w="396"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b/>
                <w:bCs/>
                <w:sz w:val="24"/>
              </w:rPr>
            </w:pPr>
            <w:r w:rsidRPr="00F93FFD">
              <w:rPr>
                <w:rFonts w:ascii="彩虹粗仿宋" w:eastAsia="彩虹粗仿宋" w:hAnsi="宋体" w:cs="宋体" w:hint="eastAsia"/>
                <w:b/>
                <w:bCs/>
                <w:sz w:val="24"/>
              </w:rPr>
              <w:t>序号</w:t>
            </w:r>
          </w:p>
        </w:tc>
        <w:tc>
          <w:tcPr>
            <w:tcW w:w="887"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b/>
                <w:bCs/>
                <w:sz w:val="24"/>
              </w:rPr>
            </w:pPr>
            <w:r w:rsidRPr="00F93FFD">
              <w:rPr>
                <w:rFonts w:ascii="彩虹粗仿宋" w:eastAsia="彩虹粗仿宋" w:hAnsi="宋体" w:cs="宋体" w:hint="eastAsia"/>
                <w:b/>
                <w:bCs/>
                <w:sz w:val="24"/>
              </w:rPr>
              <w:t>险种</w:t>
            </w:r>
          </w:p>
        </w:tc>
        <w:tc>
          <w:tcPr>
            <w:tcW w:w="1344"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b/>
                <w:bCs/>
                <w:sz w:val="24"/>
              </w:rPr>
            </w:pPr>
            <w:r w:rsidRPr="00F93FFD">
              <w:rPr>
                <w:rFonts w:ascii="彩虹粗仿宋" w:eastAsia="彩虹粗仿宋" w:hAnsi="宋体" w:cs="宋体" w:hint="eastAsia"/>
                <w:b/>
                <w:bCs/>
                <w:sz w:val="24"/>
              </w:rPr>
              <w:t>在职员工</w:t>
            </w:r>
          </w:p>
        </w:tc>
        <w:tc>
          <w:tcPr>
            <w:tcW w:w="1195"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b/>
                <w:bCs/>
                <w:sz w:val="24"/>
              </w:rPr>
            </w:pPr>
            <w:r w:rsidRPr="00F93FFD">
              <w:rPr>
                <w:rFonts w:ascii="彩虹粗仿宋" w:eastAsia="彩虹粗仿宋" w:hAnsi="宋体" w:cs="宋体" w:hint="eastAsia"/>
                <w:b/>
                <w:bCs/>
                <w:sz w:val="24"/>
              </w:rPr>
              <w:t>退休员工</w:t>
            </w:r>
          </w:p>
        </w:tc>
        <w:tc>
          <w:tcPr>
            <w:tcW w:w="1178"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b/>
                <w:bCs/>
                <w:sz w:val="24"/>
              </w:rPr>
            </w:pPr>
            <w:r w:rsidRPr="00F93FFD">
              <w:rPr>
                <w:rFonts w:ascii="彩虹粗仿宋" w:eastAsia="彩虹粗仿宋" w:hAnsi="宋体" w:cs="宋体" w:hint="eastAsia"/>
                <w:b/>
                <w:bCs/>
                <w:sz w:val="24"/>
              </w:rPr>
              <w:t>离休人员</w:t>
            </w:r>
          </w:p>
        </w:tc>
      </w:tr>
      <w:tr w:rsidR="00D94AB3" w:rsidTr="000C5536">
        <w:trPr>
          <w:trHeight w:val="1991"/>
          <w:jc w:val="center"/>
        </w:trPr>
        <w:tc>
          <w:tcPr>
            <w:tcW w:w="396"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1</w:t>
            </w:r>
          </w:p>
        </w:tc>
        <w:tc>
          <w:tcPr>
            <w:tcW w:w="887"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门诊急诊医疗保险</w:t>
            </w:r>
          </w:p>
        </w:tc>
        <w:tc>
          <w:tcPr>
            <w:tcW w:w="1344"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45周岁以下3500元，45周岁（含）以上5500元，慢性病、重疾慢性病8500元，此外，营业网点员工在上述标准上再增加500元。</w:t>
            </w:r>
          </w:p>
        </w:tc>
        <w:tc>
          <w:tcPr>
            <w:tcW w:w="1195"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一般退休人员8000元，建国初期参加工作人员1.2万元。</w:t>
            </w:r>
          </w:p>
        </w:tc>
        <w:tc>
          <w:tcPr>
            <w:tcW w:w="1178"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不参保</w:t>
            </w:r>
          </w:p>
        </w:tc>
      </w:tr>
      <w:tr w:rsidR="00D94AB3" w:rsidTr="000C5536">
        <w:trPr>
          <w:trHeight w:val="397"/>
          <w:jc w:val="center"/>
        </w:trPr>
        <w:tc>
          <w:tcPr>
            <w:tcW w:w="396"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2</w:t>
            </w:r>
          </w:p>
        </w:tc>
        <w:tc>
          <w:tcPr>
            <w:tcW w:w="887"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住院医疗保险</w:t>
            </w:r>
          </w:p>
        </w:tc>
        <w:tc>
          <w:tcPr>
            <w:tcW w:w="1344"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50万元</w:t>
            </w:r>
          </w:p>
        </w:tc>
        <w:tc>
          <w:tcPr>
            <w:tcW w:w="1195"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50万元</w:t>
            </w:r>
          </w:p>
        </w:tc>
        <w:tc>
          <w:tcPr>
            <w:tcW w:w="1178"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不参保</w:t>
            </w:r>
          </w:p>
        </w:tc>
      </w:tr>
      <w:tr w:rsidR="00D94AB3" w:rsidTr="000C5536">
        <w:trPr>
          <w:trHeight w:val="2590"/>
          <w:jc w:val="center"/>
        </w:trPr>
        <w:tc>
          <w:tcPr>
            <w:tcW w:w="396"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3</w:t>
            </w:r>
          </w:p>
        </w:tc>
        <w:tc>
          <w:tcPr>
            <w:tcW w:w="887"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住院补贴保险</w:t>
            </w:r>
          </w:p>
        </w:tc>
        <w:tc>
          <w:tcPr>
            <w:tcW w:w="1344"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0免赔天数，赔付标准为100元/人/天，单次住院90天为限，全年累计180天。患重大疾病人员，住院补贴单次住院90天为限，全年累计180为限。</w:t>
            </w:r>
          </w:p>
        </w:tc>
        <w:tc>
          <w:tcPr>
            <w:tcW w:w="1195"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0免赔天数，赔付标准为100元/人/天，单次住院90天为限，全年累计180天。患重大疾病人员，住院补贴单次住院90天为限，全年累计180为限。</w:t>
            </w:r>
          </w:p>
        </w:tc>
        <w:tc>
          <w:tcPr>
            <w:tcW w:w="1178"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0免赔天数，赔付标准为100元/人/天，单次住院90天为限，全年累计180天。患重大疾病人员，住院补贴单次住院90天为限，全年累计180为限。</w:t>
            </w:r>
          </w:p>
        </w:tc>
      </w:tr>
      <w:tr w:rsidR="00D94AB3" w:rsidTr="000C5536">
        <w:trPr>
          <w:trHeight w:val="785"/>
          <w:jc w:val="center"/>
        </w:trPr>
        <w:tc>
          <w:tcPr>
            <w:tcW w:w="396"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4</w:t>
            </w:r>
          </w:p>
        </w:tc>
        <w:tc>
          <w:tcPr>
            <w:tcW w:w="887"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重大疾病保险（重疾）</w:t>
            </w:r>
          </w:p>
        </w:tc>
        <w:tc>
          <w:tcPr>
            <w:tcW w:w="1344"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50万元</w:t>
            </w:r>
          </w:p>
        </w:tc>
        <w:tc>
          <w:tcPr>
            <w:tcW w:w="1195"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5万元</w:t>
            </w:r>
          </w:p>
        </w:tc>
        <w:tc>
          <w:tcPr>
            <w:tcW w:w="1178"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5万元</w:t>
            </w:r>
          </w:p>
        </w:tc>
      </w:tr>
      <w:tr w:rsidR="00D94AB3" w:rsidTr="000C5536">
        <w:trPr>
          <w:trHeight w:val="796"/>
          <w:jc w:val="center"/>
        </w:trPr>
        <w:tc>
          <w:tcPr>
            <w:tcW w:w="396"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w:t>
            </w:r>
          </w:p>
        </w:tc>
        <w:tc>
          <w:tcPr>
            <w:tcW w:w="887"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重大疾病保险（轻症）</w:t>
            </w:r>
          </w:p>
        </w:tc>
        <w:tc>
          <w:tcPr>
            <w:tcW w:w="1344"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18万元</w:t>
            </w:r>
          </w:p>
        </w:tc>
        <w:tc>
          <w:tcPr>
            <w:tcW w:w="1195"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1.5万元</w:t>
            </w:r>
          </w:p>
        </w:tc>
        <w:tc>
          <w:tcPr>
            <w:tcW w:w="1178"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1.5万元</w:t>
            </w:r>
          </w:p>
        </w:tc>
      </w:tr>
      <w:tr w:rsidR="00D94AB3" w:rsidTr="000C5536">
        <w:trPr>
          <w:trHeight w:val="397"/>
          <w:jc w:val="center"/>
        </w:trPr>
        <w:tc>
          <w:tcPr>
            <w:tcW w:w="396"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6</w:t>
            </w:r>
          </w:p>
        </w:tc>
        <w:tc>
          <w:tcPr>
            <w:tcW w:w="887"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意外伤害保险（含猝死）</w:t>
            </w:r>
          </w:p>
        </w:tc>
        <w:tc>
          <w:tcPr>
            <w:tcW w:w="1344"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50万元</w:t>
            </w:r>
          </w:p>
        </w:tc>
        <w:tc>
          <w:tcPr>
            <w:tcW w:w="1195"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5万元</w:t>
            </w:r>
          </w:p>
        </w:tc>
        <w:tc>
          <w:tcPr>
            <w:tcW w:w="1178" w:type="pct"/>
            <w:shd w:val="clear" w:color="000000" w:fill="FFFFFF"/>
            <w:tcMar>
              <w:left w:w="108" w:type="dxa"/>
              <w:right w:w="108" w:type="dxa"/>
            </w:tcMar>
            <w:vAlign w:val="center"/>
          </w:tcPr>
          <w:p w:rsidR="00D94AB3" w:rsidRPr="00F93FFD" w:rsidRDefault="004E3CCB">
            <w:pPr>
              <w:adjustRightInd w:val="0"/>
              <w:snapToGrid w:val="0"/>
              <w:spacing w:line="280" w:lineRule="exact"/>
              <w:jc w:val="center"/>
              <w:rPr>
                <w:rFonts w:ascii="彩虹粗仿宋" w:eastAsia="彩虹粗仿宋" w:hAnsi="宋体" w:cs="宋体"/>
                <w:sz w:val="24"/>
              </w:rPr>
            </w:pPr>
            <w:r w:rsidRPr="00F93FFD">
              <w:rPr>
                <w:rFonts w:ascii="彩虹粗仿宋" w:eastAsia="彩虹粗仿宋" w:hAnsi="宋体" w:cs="宋体" w:hint="eastAsia"/>
                <w:sz w:val="24"/>
              </w:rPr>
              <w:t>5万元</w:t>
            </w:r>
          </w:p>
        </w:tc>
      </w:tr>
      <w:tr w:rsidR="000C5536" w:rsidTr="000C5536">
        <w:trPr>
          <w:trHeight w:val="397"/>
          <w:jc w:val="center"/>
        </w:trPr>
        <w:tc>
          <w:tcPr>
            <w:tcW w:w="5000" w:type="pct"/>
            <w:gridSpan w:val="5"/>
            <w:shd w:val="clear" w:color="000000" w:fill="FFFFFF"/>
            <w:tcMar>
              <w:left w:w="108" w:type="dxa"/>
              <w:right w:w="108" w:type="dxa"/>
            </w:tcMar>
            <w:vAlign w:val="center"/>
          </w:tcPr>
          <w:p w:rsidR="000C5536" w:rsidRDefault="000C5536" w:rsidP="000C5536">
            <w:pPr>
              <w:adjustRightInd w:val="0"/>
              <w:snapToGrid w:val="0"/>
              <w:spacing w:line="280" w:lineRule="exact"/>
              <w:jc w:val="left"/>
              <w:rPr>
                <w:rFonts w:ascii="彩虹粗仿宋" w:eastAsia="彩虹粗仿宋" w:hAnsi="宋体" w:cs="宋体"/>
                <w:sz w:val="24"/>
              </w:rPr>
            </w:pPr>
            <w:r w:rsidRPr="000C5536">
              <w:rPr>
                <w:rFonts w:ascii="彩虹粗仿宋" w:eastAsia="彩虹粗仿宋" w:hAnsi="宋体" w:cs="宋体" w:hint="eastAsia"/>
                <w:sz w:val="24"/>
              </w:rPr>
              <w:t>注：</w:t>
            </w:r>
          </w:p>
          <w:p w:rsidR="000C5536" w:rsidRPr="000C5536" w:rsidRDefault="000C5536" w:rsidP="000C5536">
            <w:pPr>
              <w:adjustRightInd w:val="0"/>
              <w:snapToGrid w:val="0"/>
              <w:spacing w:line="280" w:lineRule="exact"/>
              <w:jc w:val="left"/>
              <w:rPr>
                <w:rFonts w:ascii="彩虹粗仿宋" w:eastAsia="彩虹粗仿宋" w:hAnsi="宋体" w:cs="宋体"/>
                <w:sz w:val="24"/>
              </w:rPr>
            </w:pPr>
            <w:r w:rsidRPr="000C5536">
              <w:rPr>
                <w:rFonts w:ascii="彩虹粗仿宋" w:eastAsia="彩虹粗仿宋" w:hAnsi="宋体" w:cs="宋体" w:hint="eastAsia"/>
                <w:sz w:val="24"/>
              </w:rPr>
              <w:t>1.以上保额均为保险公司实际赔付资金的额度。</w:t>
            </w:r>
          </w:p>
          <w:p w:rsidR="000C5536" w:rsidRPr="00F93FFD" w:rsidRDefault="000C5536" w:rsidP="000C5536">
            <w:pPr>
              <w:adjustRightInd w:val="0"/>
              <w:snapToGrid w:val="0"/>
              <w:spacing w:line="280" w:lineRule="exact"/>
              <w:jc w:val="left"/>
              <w:rPr>
                <w:rFonts w:ascii="彩虹粗仿宋" w:eastAsia="彩虹粗仿宋" w:hAnsi="宋体" w:cs="宋体"/>
                <w:sz w:val="24"/>
              </w:rPr>
            </w:pPr>
            <w:r>
              <w:rPr>
                <w:rFonts w:ascii="彩虹粗仿宋" w:eastAsia="彩虹粗仿宋" w:hAnsi="宋体" w:cs="宋体" w:hint="eastAsia"/>
                <w:sz w:val="24"/>
              </w:rPr>
              <w:t xml:space="preserve">2. </w:t>
            </w:r>
            <w:r w:rsidRPr="000C5536">
              <w:rPr>
                <w:rFonts w:ascii="彩虹粗仿宋" w:eastAsia="彩虹粗仿宋" w:hAnsi="宋体" w:cs="宋体" w:hint="eastAsia"/>
                <w:sz w:val="24"/>
              </w:rPr>
              <w:t>赠送每位被保险人非商业运营机动车辆意外险5万、航空意外保险</w:t>
            </w:r>
            <w:r w:rsidR="002B76FF">
              <w:rPr>
                <w:rFonts w:ascii="彩虹粗仿宋" w:eastAsia="彩虹粗仿宋" w:hAnsi="宋体" w:cs="宋体" w:hint="eastAsia"/>
                <w:sz w:val="24"/>
              </w:rPr>
              <w:t>2</w:t>
            </w:r>
            <w:r w:rsidRPr="000C5536">
              <w:rPr>
                <w:rFonts w:ascii="彩虹粗仿宋" w:eastAsia="彩虹粗仿宋" w:hAnsi="宋体" w:cs="宋体" w:hint="eastAsia"/>
                <w:sz w:val="24"/>
              </w:rPr>
              <w:t>00万、高速列车意外保险50万、轮船意外保险50万、轨道交通意外保险50万、客运汽车意外保险50万。</w:t>
            </w:r>
          </w:p>
        </w:tc>
      </w:tr>
    </w:tbl>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lastRenderedPageBreak/>
        <w:t>在满足以上保额要求下，还需满足以下服务要求：</w:t>
      </w:r>
    </w:p>
    <w:p w:rsidR="00D94AB3" w:rsidRDefault="004E3CCB">
      <w:pPr>
        <w:adjustRightInd w:val="0"/>
        <w:snapToGrid w:val="0"/>
        <w:spacing w:line="587" w:lineRule="exact"/>
        <w:ind w:firstLineChars="200" w:firstLine="643"/>
        <w:rPr>
          <w:rFonts w:ascii="彩虹楷体" w:eastAsia="彩虹楷体" w:hAnsi="微软雅黑"/>
          <w:b/>
          <w:bCs/>
          <w:sz w:val="32"/>
          <w:szCs w:val="32"/>
        </w:rPr>
      </w:pPr>
      <w:r>
        <w:rPr>
          <w:rFonts w:ascii="彩虹楷体" w:eastAsia="彩虹楷体" w:hAnsi="微软雅黑" w:hint="eastAsia"/>
          <w:b/>
          <w:bCs/>
          <w:sz w:val="32"/>
          <w:szCs w:val="32"/>
        </w:rPr>
        <w:t>（一）门急诊</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1.门急诊赔付标准：0免赔额，无等待期，承担既往病史，承担慢性病、重疾慢性病赔付责任；挂号费、诊疗费纳入赔付责任。</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在一个保单期限内员工在基本医疗保险定点医疗机构发生的合理医疗费用，由个人负担的基本医疗保险内甲乙丙类药品、医疗服务项目及医用材料100%赔付。自费药、自费医疗服务项目及医用材料按以下赔付比例赔付：在职员工赔付比例为50%，退休、慢性病、重疾慢性病员工赔付比例为60%。</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2.承担就诊当地城市发生的急救费用，包含急救车等费用。</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3.医院范围：基本医疗保险定点医疗机构（含社区医院，卫生院）。</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4.药店购药：可到定点零售药店购买药品，额度500元。</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注：慢性病人员药店取药因基本医疗保险统筹支付，属于在定点医疗机构就医，此情形不属于药店购药。</w:t>
      </w:r>
    </w:p>
    <w:p w:rsidR="00D94AB3" w:rsidRDefault="004E3CCB">
      <w:pPr>
        <w:adjustRightInd w:val="0"/>
        <w:snapToGrid w:val="0"/>
        <w:spacing w:line="587" w:lineRule="exact"/>
        <w:ind w:firstLineChars="200" w:firstLine="643"/>
        <w:rPr>
          <w:rFonts w:ascii="彩虹楷体" w:eastAsia="彩虹楷体" w:hAnsi="微软雅黑"/>
          <w:b/>
          <w:bCs/>
          <w:sz w:val="32"/>
          <w:szCs w:val="32"/>
        </w:rPr>
      </w:pPr>
      <w:r>
        <w:rPr>
          <w:rFonts w:ascii="彩虹楷体" w:eastAsia="彩虹楷体" w:hAnsi="微软雅黑" w:hint="eastAsia"/>
          <w:b/>
          <w:bCs/>
          <w:sz w:val="32"/>
          <w:szCs w:val="32"/>
        </w:rPr>
        <w:t>（二）住院医疗</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1.住院医疗赔付标准：0免赔，无等待期，承担既往病史，承担慢性病、重疾慢性病赔付责任；挂号费、诊疗费纳入赔付责任。</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在一个保单期限内员工在基本医疗保险定点医疗机构发生的合理医疗费用，由个人负担的基本医疗保险内甲乙丙类药品、</w:t>
      </w:r>
      <w:r>
        <w:rPr>
          <w:rFonts w:ascii="彩虹粗仿宋" w:eastAsia="彩虹粗仿宋" w:hAnsi="微软雅黑" w:hint="eastAsia"/>
          <w:bCs/>
          <w:sz w:val="32"/>
          <w:szCs w:val="32"/>
        </w:rPr>
        <w:lastRenderedPageBreak/>
        <w:t>医疗服务项目及医用材料100%赔付。自费药、自费医疗服务项目及医用材料按以下赔付比例在险种保险金额范围内进行赔付：在职员工赔付比例为50%，退休、慢性病、重疾慢性病员工赔付比例为60%。</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2.承担就诊当地城市发生的急救费用，包含急救车等费用。</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3.医院范围：基本医疗保险定点医疗机构（含社区医院，卫生院）。</w:t>
      </w:r>
    </w:p>
    <w:p w:rsidR="00D94AB3" w:rsidRDefault="004E3CCB">
      <w:pPr>
        <w:adjustRightInd w:val="0"/>
        <w:snapToGrid w:val="0"/>
        <w:spacing w:line="587" w:lineRule="exact"/>
        <w:ind w:firstLineChars="200" w:firstLine="643"/>
        <w:rPr>
          <w:rFonts w:ascii="彩虹楷体" w:eastAsia="彩虹楷体" w:hAnsi="微软雅黑"/>
          <w:b/>
          <w:bCs/>
          <w:sz w:val="32"/>
          <w:szCs w:val="32"/>
        </w:rPr>
      </w:pPr>
      <w:r>
        <w:rPr>
          <w:rFonts w:ascii="彩虹楷体" w:eastAsia="彩虹楷体" w:hAnsi="微软雅黑" w:hint="eastAsia"/>
          <w:b/>
          <w:bCs/>
          <w:sz w:val="32"/>
          <w:szCs w:val="32"/>
        </w:rPr>
        <w:t>（三）住院津贴</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住院津贴0免赔天数，赔付标准为100元/人/天，单次住院90天为限，全年累计180天。患重大疾病人员，住院补贴单次住院90天为限，全年累计180为限。</w:t>
      </w:r>
    </w:p>
    <w:p w:rsidR="00D94AB3" w:rsidRDefault="004E3CCB">
      <w:pPr>
        <w:adjustRightInd w:val="0"/>
        <w:snapToGrid w:val="0"/>
        <w:spacing w:line="587" w:lineRule="exact"/>
        <w:ind w:firstLineChars="200" w:firstLine="643"/>
        <w:rPr>
          <w:rFonts w:ascii="彩虹楷体" w:eastAsia="彩虹楷体" w:hAnsi="微软雅黑"/>
          <w:b/>
          <w:bCs/>
          <w:sz w:val="32"/>
          <w:szCs w:val="32"/>
        </w:rPr>
      </w:pPr>
      <w:r>
        <w:rPr>
          <w:rFonts w:ascii="彩虹楷体" w:eastAsia="彩虹楷体" w:hAnsi="微软雅黑" w:hint="eastAsia"/>
          <w:b/>
          <w:bCs/>
          <w:sz w:val="32"/>
          <w:szCs w:val="32"/>
        </w:rPr>
        <w:t>（四）重大疾病保险</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1.无等待期限制，免提供健康声明或体检报告，免高保额件相关材料。</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2.员工在一个保单期限内罹患28种重大疾病（任何一种或多种的，以具体的疾病名称为准,如患A癌症又患B癌症，为2种不同重大疾病，下同），保险公司承担保险责任。</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员工在投保前已经确诊上述的28种重大疾病（任何一种或多种的，以具体的疾病名称为准），保险公司不就其已确诊疾病承担重大疾病保险责任；但再确诊投保前已</w:t>
      </w:r>
      <w:r w:rsidR="00B1062C">
        <w:rPr>
          <w:rFonts w:ascii="彩虹粗仿宋" w:eastAsia="彩虹粗仿宋" w:hAnsi="微软雅黑" w:hint="eastAsia"/>
          <w:bCs/>
          <w:sz w:val="32"/>
          <w:szCs w:val="32"/>
        </w:rPr>
        <w:t>确诊的重大疾病以外的且为首次确诊的重大疾病（任何一种或多种的，</w:t>
      </w:r>
      <w:r>
        <w:rPr>
          <w:rFonts w:ascii="彩虹粗仿宋" w:eastAsia="彩虹粗仿宋" w:hAnsi="微软雅黑" w:hint="eastAsia"/>
          <w:bCs/>
          <w:sz w:val="32"/>
          <w:szCs w:val="32"/>
        </w:rPr>
        <w:t>以具体的疾病名称为准），则保险公司承担保险责任。</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lastRenderedPageBreak/>
        <w:t>员工在投保前已确诊3种轻症（任何一种或多种的，以具体的疾病名称为准），保险公司不就其已患疾病承担轻症保险金责任，但再确诊投保前已确诊的轻症以外的且为首次确诊的轻症（任何一种或多种的，以具体的疾病名称为准），则保险公司按该员工的轻症基本保险金额给付轻症保险金，该员工的轻症保险金责任终止。</w:t>
      </w:r>
    </w:p>
    <w:p w:rsidR="00D94AB3" w:rsidRDefault="004E3CCB">
      <w:pPr>
        <w:adjustRightInd w:val="0"/>
        <w:snapToGrid w:val="0"/>
        <w:spacing w:line="587" w:lineRule="exact"/>
        <w:ind w:firstLineChars="200" w:firstLine="640"/>
        <w:rPr>
          <w:rFonts w:ascii="彩虹粗仿宋" w:eastAsia="彩虹粗仿宋" w:hAnsi="宋体" w:cs="宋体"/>
          <w:sz w:val="32"/>
          <w:szCs w:val="32"/>
        </w:rPr>
      </w:pPr>
      <w:r>
        <w:rPr>
          <w:rFonts w:ascii="彩虹粗仿宋" w:eastAsia="彩虹粗仿宋" w:hAnsi="宋体" w:cs="宋体" w:hint="eastAsia"/>
          <w:sz w:val="32"/>
          <w:szCs w:val="32"/>
        </w:rPr>
        <w:t>28种重大疾病如下：</w:t>
      </w:r>
    </w:p>
    <w:tbl>
      <w:tblPr>
        <w:tblW w:w="7666" w:type="dxa"/>
        <w:jc w:val="center"/>
        <w:tblLook w:val="04A0" w:firstRow="1" w:lastRow="0" w:firstColumn="1" w:lastColumn="0" w:noHBand="0" w:noVBand="1"/>
      </w:tblPr>
      <w:tblGrid>
        <w:gridCol w:w="1098"/>
        <w:gridCol w:w="6568"/>
      </w:tblGrid>
      <w:tr w:rsidR="00D94AB3">
        <w:trPr>
          <w:cantSplit/>
          <w:trHeight w:val="317"/>
          <w:tblHeader/>
          <w:jc w:val="center"/>
        </w:trPr>
        <w:tc>
          <w:tcPr>
            <w:tcW w:w="10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b/>
                <w:bCs/>
                <w:color w:val="000000"/>
                <w:kern w:val="0"/>
                <w:sz w:val="24"/>
              </w:rPr>
            </w:pPr>
            <w:r>
              <w:rPr>
                <w:rFonts w:ascii="宋体" w:hAnsi="宋体" w:cs="宋体" w:hint="eastAsia"/>
                <w:b/>
                <w:bCs/>
                <w:color w:val="000000"/>
                <w:kern w:val="0"/>
                <w:sz w:val="24"/>
              </w:rPr>
              <w:t>序号</w:t>
            </w:r>
          </w:p>
        </w:tc>
        <w:tc>
          <w:tcPr>
            <w:tcW w:w="6568" w:type="dxa"/>
            <w:tcBorders>
              <w:top w:val="single" w:sz="4" w:space="0" w:color="auto"/>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b/>
                <w:bCs/>
                <w:color w:val="000000"/>
                <w:kern w:val="0"/>
                <w:sz w:val="24"/>
              </w:rPr>
            </w:pPr>
            <w:r>
              <w:rPr>
                <w:rFonts w:ascii="宋体" w:hAnsi="宋体" w:cs="宋体" w:hint="eastAsia"/>
                <w:b/>
                <w:bCs/>
                <w:color w:val="000000"/>
                <w:kern w:val="0"/>
                <w:sz w:val="24"/>
              </w:rPr>
              <w:t>重大疾病名称</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恶性肿瘤—重度</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较重急性心肌梗死</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3</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严重脑中风后遗症</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4</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重大器官移植术或造血干细胞移植术</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5</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冠状动脉搭桥术（或称冠状动脉旁路移植术）</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6</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严重慢性肾衰竭</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7</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多个肢体缺失</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8</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急性重症肝炎或亚急性重症肝炎</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9</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严重非恶性颅内肿瘤</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10</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严重慢性肝衰竭</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11</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严重脑炎后遗症或严重脑膜炎后遗症</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12</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深度昏迷</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13</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双耳失聪</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lastRenderedPageBreak/>
              <w:t>14</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双目失明</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15</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瘫痪</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16</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心脏瓣膜手术</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17</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严重阿尔茨海默病</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18</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严重脑损伤</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19</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严重原发性帕金森病</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20</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严重Ⅲ度烧伤</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21</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严重特发性肺动脉高压</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22</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严重运动神经元病</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23</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语言能力丧失</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24</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重型再生障碍性贫血</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25</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主动脉手术</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26</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严重慢性呼吸衰竭</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27</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严重克罗恩病</w:t>
            </w:r>
          </w:p>
        </w:tc>
      </w:tr>
      <w:tr w:rsidR="00D94AB3">
        <w:trPr>
          <w:trHeight w:val="315"/>
          <w:tblHeader/>
          <w:jc w:val="center"/>
        </w:trPr>
        <w:tc>
          <w:tcPr>
            <w:tcW w:w="1098"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28</w:t>
            </w:r>
          </w:p>
        </w:tc>
        <w:tc>
          <w:tcPr>
            <w:tcW w:w="6568"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宋体" w:hAnsi="宋体" w:cs="宋体"/>
                <w:color w:val="000000"/>
                <w:kern w:val="0"/>
                <w:sz w:val="24"/>
              </w:rPr>
            </w:pPr>
            <w:r>
              <w:rPr>
                <w:rFonts w:ascii="宋体" w:hAnsi="宋体" w:cs="宋体" w:hint="eastAsia"/>
                <w:color w:val="000000"/>
                <w:kern w:val="0"/>
                <w:sz w:val="24"/>
              </w:rPr>
              <w:t>严重溃疡性结肠炎</w:t>
            </w:r>
          </w:p>
        </w:tc>
      </w:tr>
    </w:tbl>
    <w:p w:rsidR="00D94AB3" w:rsidRDefault="00D94AB3">
      <w:pPr>
        <w:adjustRightInd w:val="0"/>
        <w:snapToGrid w:val="0"/>
        <w:spacing w:line="587" w:lineRule="exact"/>
        <w:rPr>
          <w:rFonts w:ascii="彩虹粗仿宋" w:eastAsia="彩虹粗仿宋" w:hAnsi="宋体" w:cs="宋体"/>
          <w:sz w:val="32"/>
          <w:szCs w:val="32"/>
        </w:rPr>
      </w:pPr>
    </w:p>
    <w:p w:rsidR="00D94AB3" w:rsidRDefault="004E3CCB">
      <w:pPr>
        <w:snapToGrid w:val="0"/>
        <w:spacing w:line="587" w:lineRule="exact"/>
        <w:ind w:firstLineChars="200" w:firstLine="640"/>
        <w:rPr>
          <w:rFonts w:ascii="彩虹粗仿宋" w:eastAsia="彩虹粗仿宋"/>
          <w:sz w:val="32"/>
          <w:szCs w:val="32"/>
        </w:rPr>
      </w:pPr>
      <w:r>
        <w:rPr>
          <w:rFonts w:ascii="彩虹粗仿宋" w:eastAsia="彩虹粗仿宋" w:hint="eastAsia"/>
          <w:sz w:val="32"/>
          <w:szCs w:val="32"/>
        </w:rPr>
        <w:t>3种轻症如下：</w:t>
      </w:r>
    </w:p>
    <w:tbl>
      <w:tblPr>
        <w:tblW w:w="7700" w:type="dxa"/>
        <w:jc w:val="center"/>
        <w:tblLook w:val="04A0" w:firstRow="1" w:lastRow="0" w:firstColumn="1" w:lastColumn="0" w:noHBand="0" w:noVBand="1"/>
      </w:tblPr>
      <w:tblGrid>
        <w:gridCol w:w="1080"/>
        <w:gridCol w:w="6620"/>
      </w:tblGrid>
      <w:tr w:rsidR="00D94AB3">
        <w:trPr>
          <w:trHeight w:val="330"/>
          <w:jc w:val="center"/>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彩虹粗仿宋" w:eastAsia="彩虹粗仿宋" w:hAnsi="等线" w:cs="宋体"/>
                <w:color w:val="000000"/>
                <w:kern w:val="0"/>
                <w:sz w:val="28"/>
                <w:szCs w:val="28"/>
              </w:rPr>
            </w:pPr>
            <w:r>
              <w:rPr>
                <w:rFonts w:ascii="彩虹粗仿宋" w:eastAsia="彩虹粗仿宋" w:hAnsi="等线" w:cs="宋体" w:hint="eastAsia"/>
                <w:color w:val="000000"/>
                <w:kern w:val="0"/>
                <w:sz w:val="28"/>
                <w:szCs w:val="28"/>
              </w:rPr>
              <w:t>序号</w:t>
            </w:r>
          </w:p>
        </w:tc>
        <w:tc>
          <w:tcPr>
            <w:tcW w:w="6620" w:type="dxa"/>
            <w:tcBorders>
              <w:top w:val="single" w:sz="4" w:space="0" w:color="auto"/>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彩虹粗仿宋" w:eastAsia="彩虹粗仿宋" w:hAnsi="等线" w:cs="宋体"/>
                <w:color w:val="000000"/>
                <w:kern w:val="0"/>
                <w:sz w:val="28"/>
                <w:szCs w:val="28"/>
              </w:rPr>
            </w:pPr>
            <w:r>
              <w:rPr>
                <w:rFonts w:ascii="彩虹粗仿宋" w:eastAsia="彩虹粗仿宋" w:hAnsi="等线" w:cs="宋体" w:hint="eastAsia"/>
                <w:color w:val="000000"/>
                <w:kern w:val="0"/>
                <w:sz w:val="28"/>
                <w:szCs w:val="28"/>
              </w:rPr>
              <w:t>轻症名称</w:t>
            </w:r>
          </w:p>
        </w:tc>
      </w:tr>
      <w:tr w:rsidR="00D94AB3">
        <w:trPr>
          <w:trHeight w:val="330"/>
          <w:jc w:val="center"/>
        </w:trPr>
        <w:tc>
          <w:tcPr>
            <w:tcW w:w="1080"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彩虹粗仿宋" w:eastAsia="彩虹粗仿宋" w:hAnsi="等线" w:cs="宋体"/>
                <w:color w:val="000000"/>
                <w:kern w:val="0"/>
                <w:sz w:val="28"/>
                <w:szCs w:val="28"/>
              </w:rPr>
            </w:pPr>
            <w:r>
              <w:rPr>
                <w:rFonts w:ascii="彩虹粗仿宋" w:eastAsia="彩虹粗仿宋" w:hAnsi="等线" w:cs="宋体" w:hint="eastAsia"/>
                <w:color w:val="000000"/>
                <w:kern w:val="0"/>
                <w:sz w:val="28"/>
                <w:szCs w:val="28"/>
              </w:rPr>
              <w:t>1</w:t>
            </w:r>
          </w:p>
        </w:tc>
        <w:tc>
          <w:tcPr>
            <w:tcW w:w="6620"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彩虹粗仿宋" w:eastAsia="彩虹粗仿宋" w:hAnsi="等线" w:cs="宋体"/>
                <w:color w:val="000000"/>
                <w:kern w:val="0"/>
                <w:sz w:val="28"/>
                <w:szCs w:val="28"/>
              </w:rPr>
            </w:pPr>
            <w:r>
              <w:rPr>
                <w:rFonts w:ascii="彩虹粗仿宋" w:eastAsia="彩虹粗仿宋" w:hAnsi="等线" w:cs="宋体" w:hint="eastAsia"/>
                <w:color w:val="000000"/>
                <w:kern w:val="0"/>
                <w:sz w:val="28"/>
                <w:szCs w:val="28"/>
              </w:rPr>
              <w:t>恶性肿瘤—轻度</w:t>
            </w:r>
          </w:p>
        </w:tc>
      </w:tr>
      <w:tr w:rsidR="00D94AB3">
        <w:trPr>
          <w:trHeight w:val="330"/>
          <w:jc w:val="center"/>
        </w:trPr>
        <w:tc>
          <w:tcPr>
            <w:tcW w:w="1080"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彩虹粗仿宋" w:eastAsia="彩虹粗仿宋" w:hAnsi="等线" w:cs="宋体"/>
                <w:color w:val="000000"/>
                <w:kern w:val="0"/>
                <w:sz w:val="28"/>
                <w:szCs w:val="28"/>
              </w:rPr>
            </w:pPr>
            <w:r>
              <w:rPr>
                <w:rFonts w:ascii="彩虹粗仿宋" w:eastAsia="彩虹粗仿宋" w:hAnsi="等线" w:cs="宋体" w:hint="eastAsia"/>
                <w:color w:val="000000"/>
                <w:kern w:val="0"/>
                <w:sz w:val="28"/>
                <w:szCs w:val="28"/>
              </w:rPr>
              <w:t>2</w:t>
            </w:r>
          </w:p>
        </w:tc>
        <w:tc>
          <w:tcPr>
            <w:tcW w:w="6620"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彩虹粗仿宋" w:eastAsia="彩虹粗仿宋" w:hAnsi="等线" w:cs="宋体"/>
                <w:color w:val="000000"/>
                <w:kern w:val="0"/>
                <w:sz w:val="28"/>
                <w:szCs w:val="28"/>
              </w:rPr>
            </w:pPr>
            <w:r>
              <w:rPr>
                <w:rFonts w:ascii="彩虹粗仿宋" w:eastAsia="彩虹粗仿宋" w:hAnsi="等线" w:cs="宋体" w:hint="eastAsia"/>
                <w:color w:val="000000"/>
                <w:kern w:val="0"/>
                <w:sz w:val="28"/>
                <w:szCs w:val="28"/>
              </w:rPr>
              <w:t>较轻急性心肌梗死</w:t>
            </w:r>
          </w:p>
        </w:tc>
      </w:tr>
      <w:tr w:rsidR="00D94AB3">
        <w:trPr>
          <w:trHeight w:val="330"/>
          <w:jc w:val="center"/>
        </w:trPr>
        <w:tc>
          <w:tcPr>
            <w:tcW w:w="1080" w:type="dxa"/>
            <w:tcBorders>
              <w:top w:val="nil"/>
              <w:left w:val="single" w:sz="4" w:space="0" w:color="auto"/>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彩虹粗仿宋" w:eastAsia="彩虹粗仿宋" w:hAnsi="等线" w:cs="宋体"/>
                <w:color w:val="000000"/>
                <w:kern w:val="0"/>
                <w:sz w:val="28"/>
                <w:szCs w:val="28"/>
              </w:rPr>
            </w:pPr>
            <w:r>
              <w:rPr>
                <w:rFonts w:ascii="彩虹粗仿宋" w:eastAsia="彩虹粗仿宋" w:hAnsi="等线" w:cs="宋体" w:hint="eastAsia"/>
                <w:color w:val="000000"/>
                <w:kern w:val="0"/>
                <w:sz w:val="28"/>
                <w:szCs w:val="28"/>
              </w:rPr>
              <w:t>3</w:t>
            </w:r>
          </w:p>
        </w:tc>
        <w:tc>
          <w:tcPr>
            <w:tcW w:w="6620" w:type="dxa"/>
            <w:tcBorders>
              <w:top w:val="nil"/>
              <w:left w:val="nil"/>
              <w:bottom w:val="single" w:sz="4" w:space="0" w:color="auto"/>
              <w:right w:val="single" w:sz="4" w:space="0" w:color="auto"/>
            </w:tcBorders>
            <w:shd w:val="clear" w:color="auto" w:fill="auto"/>
            <w:noWrap/>
            <w:vAlign w:val="center"/>
          </w:tcPr>
          <w:p w:rsidR="00D94AB3" w:rsidRDefault="004E3CCB">
            <w:pPr>
              <w:widowControl/>
              <w:spacing w:line="587" w:lineRule="exact"/>
              <w:jc w:val="center"/>
              <w:rPr>
                <w:rFonts w:ascii="彩虹粗仿宋" w:eastAsia="彩虹粗仿宋" w:hAnsi="等线" w:cs="宋体"/>
                <w:color w:val="000000"/>
                <w:kern w:val="0"/>
                <w:sz w:val="28"/>
                <w:szCs w:val="28"/>
              </w:rPr>
            </w:pPr>
            <w:r>
              <w:rPr>
                <w:rFonts w:ascii="彩虹粗仿宋" w:eastAsia="彩虹粗仿宋" w:hAnsi="等线" w:cs="宋体" w:hint="eastAsia"/>
                <w:color w:val="000000"/>
                <w:kern w:val="0"/>
                <w:sz w:val="28"/>
                <w:szCs w:val="28"/>
              </w:rPr>
              <w:t>轻度脑中风后遗症</w:t>
            </w:r>
          </w:p>
        </w:tc>
      </w:tr>
    </w:tbl>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lastRenderedPageBreak/>
        <w:t>重大疾病保险的疾病定义按照最新规范要求执行。</w:t>
      </w:r>
    </w:p>
    <w:p w:rsidR="00D94AB3" w:rsidRDefault="004E3CCB">
      <w:pPr>
        <w:adjustRightInd w:val="0"/>
        <w:snapToGrid w:val="0"/>
        <w:spacing w:line="560" w:lineRule="exact"/>
        <w:ind w:firstLineChars="200" w:firstLine="643"/>
        <w:rPr>
          <w:rFonts w:ascii="彩虹楷体" w:eastAsia="彩虹楷体" w:hAnsi="微软雅黑"/>
          <w:b/>
          <w:bCs/>
          <w:sz w:val="32"/>
          <w:szCs w:val="32"/>
        </w:rPr>
      </w:pPr>
      <w:r>
        <w:rPr>
          <w:rFonts w:ascii="彩虹楷体" w:eastAsia="彩虹楷体" w:hAnsi="微软雅黑" w:hint="eastAsia"/>
          <w:b/>
          <w:bCs/>
          <w:sz w:val="32"/>
          <w:szCs w:val="32"/>
        </w:rPr>
        <w:t>（五）意外伤害保险</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被保险人因意外伤害事故导致身故及残疾，保险公司按照以下承担保险责任：</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1．意外伤害身故（含猝死）</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被保险人因发生意外伤害事故而致使身体遭受伤害，且自该次意外伤害事故发生之日起180日内因该次事故致成身故，保险公司给付意外伤害身故保险金。</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2．意外伤害残疾</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若被保险人因发生意外伤害事故而致使身体遭受伤害，且自该次意外伤害事故发生之日起180日内因该次事故致残的，则乙方以该被保险人的保险金额为基数，按该伤残程度等级对应的保险金给付比例给付意外伤害残疾保险金。</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意外伤害保险保险责任按照银保监会最新的要求和规范执行。</w:t>
      </w:r>
    </w:p>
    <w:p w:rsidR="00562CD4" w:rsidRDefault="00562CD4" w:rsidP="00562CD4">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3. 猝死</w:t>
      </w:r>
    </w:p>
    <w:p w:rsidR="00562CD4" w:rsidRDefault="00562CD4" w:rsidP="00562CD4">
      <w:pPr>
        <w:adjustRightInd w:val="0"/>
        <w:snapToGrid w:val="0"/>
        <w:spacing w:line="560" w:lineRule="exact"/>
        <w:ind w:firstLineChars="200" w:firstLine="640"/>
        <w:rPr>
          <w:rFonts w:ascii="彩虹粗仿宋" w:eastAsia="彩虹粗仿宋" w:hAnsi="微软雅黑"/>
          <w:bCs/>
          <w:sz w:val="32"/>
          <w:szCs w:val="32"/>
        </w:rPr>
      </w:pPr>
      <w:r w:rsidRPr="000C5536">
        <w:rPr>
          <w:rFonts w:ascii="彩虹粗仿宋" w:eastAsia="彩虹粗仿宋" w:hAnsi="微软雅黑" w:hint="eastAsia"/>
          <w:bCs/>
          <w:sz w:val="32"/>
          <w:szCs w:val="32"/>
        </w:rPr>
        <w:t>若员工因潜在疾病、机能障碍或其他原因在出现症状后</w:t>
      </w:r>
      <w:r>
        <w:rPr>
          <w:rFonts w:ascii="彩虹粗仿宋" w:eastAsia="彩虹粗仿宋" w:hAnsi="微软雅黑" w:hint="eastAsia"/>
          <w:bCs/>
          <w:sz w:val="32"/>
          <w:szCs w:val="32"/>
        </w:rPr>
        <w:t>24小时内发生的非暴力性突然死亡，</w:t>
      </w:r>
      <w:r w:rsidRPr="000C5536">
        <w:rPr>
          <w:rFonts w:ascii="彩虹粗仿宋" w:eastAsia="彩虹粗仿宋" w:hAnsi="微软雅黑" w:hint="eastAsia"/>
          <w:bCs/>
          <w:sz w:val="32"/>
          <w:szCs w:val="32"/>
        </w:rPr>
        <w:t>猝死的认定以国家卫生行政部门认定的医疗机构、公安部门出具的死亡证明为准。</w:t>
      </w:r>
    </w:p>
    <w:p w:rsidR="00D94AB3" w:rsidRPr="00D5715A" w:rsidRDefault="004E3CCB">
      <w:pPr>
        <w:adjustRightInd w:val="0"/>
        <w:snapToGrid w:val="0"/>
        <w:spacing w:line="560" w:lineRule="exact"/>
        <w:ind w:firstLineChars="200" w:firstLine="640"/>
        <w:rPr>
          <w:rFonts w:ascii="彩虹黑体" w:eastAsia="彩虹黑体" w:hAnsi="宋体"/>
          <w:snapToGrid w:val="0"/>
          <w:kern w:val="0"/>
          <w:sz w:val="32"/>
          <w:szCs w:val="32"/>
        </w:rPr>
      </w:pPr>
      <w:r w:rsidRPr="00D5715A">
        <w:rPr>
          <w:rFonts w:ascii="彩虹黑体" w:eastAsia="彩虹黑体" w:hAnsi="宋体" w:hint="eastAsia"/>
          <w:snapToGrid w:val="0"/>
          <w:kern w:val="0"/>
          <w:sz w:val="32"/>
          <w:szCs w:val="32"/>
        </w:rPr>
        <w:t>二、服务供应商要求</w:t>
      </w:r>
    </w:p>
    <w:p w:rsidR="00D94AB3" w:rsidRPr="00D5715A" w:rsidRDefault="004E3CCB">
      <w:pPr>
        <w:adjustRightInd w:val="0"/>
        <w:snapToGrid w:val="0"/>
        <w:spacing w:line="560" w:lineRule="exact"/>
        <w:ind w:firstLineChars="200" w:firstLine="640"/>
        <w:rPr>
          <w:rFonts w:ascii="彩虹粗仿宋" w:eastAsia="彩虹粗仿宋" w:hAnsi="微软雅黑"/>
          <w:bCs/>
          <w:sz w:val="32"/>
          <w:szCs w:val="32"/>
        </w:rPr>
      </w:pPr>
      <w:r w:rsidRPr="00D5715A">
        <w:rPr>
          <w:rFonts w:ascii="彩虹粗仿宋" w:eastAsia="彩虹粗仿宋" w:hAnsi="微软雅黑" w:hint="eastAsia"/>
          <w:bCs/>
          <w:sz w:val="32"/>
          <w:szCs w:val="32"/>
        </w:rPr>
        <w:t>（一）</w:t>
      </w:r>
      <w:r w:rsidR="005B0E17" w:rsidRPr="00D5715A">
        <w:rPr>
          <w:rFonts w:ascii="彩虹粗仿宋" w:eastAsia="彩虹粗仿宋" w:hAnsi="微软雅黑" w:hint="eastAsia"/>
          <w:bCs/>
          <w:sz w:val="32"/>
          <w:szCs w:val="32"/>
        </w:rPr>
        <w:t>能</w:t>
      </w:r>
      <w:r w:rsidR="00C308DC" w:rsidRPr="00D5715A">
        <w:rPr>
          <w:rFonts w:ascii="彩虹粗仿宋" w:eastAsia="彩虹粗仿宋" w:hAnsi="微软雅黑" w:hint="eastAsia"/>
          <w:bCs/>
          <w:sz w:val="32"/>
          <w:szCs w:val="32"/>
        </w:rPr>
        <w:t>够提供</w:t>
      </w:r>
      <w:r w:rsidR="005B0E17" w:rsidRPr="00D5715A">
        <w:rPr>
          <w:rFonts w:ascii="彩虹粗仿宋" w:eastAsia="彩虹粗仿宋" w:hAnsi="微软雅黑"/>
          <w:bCs/>
          <w:sz w:val="32"/>
          <w:szCs w:val="32"/>
        </w:rPr>
        <w:t>保险许可证，</w:t>
      </w:r>
      <w:r w:rsidRPr="00D5715A">
        <w:rPr>
          <w:rFonts w:ascii="彩虹粗仿宋" w:eastAsia="彩虹粗仿宋" w:hAnsi="微软雅黑" w:hint="eastAsia"/>
          <w:bCs/>
          <w:sz w:val="32"/>
          <w:szCs w:val="32"/>
        </w:rPr>
        <w:t>有门急诊医疗保险、住院医疗保险、重大疾病保险和意外伤害保险</w:t>
      </w:r>
      <w:r w:rsidR="00692AD0">
        <w:rPr>
          <w:rFonts w:ascii="彩虹粗仿宋" w:eastAsia="彩虹粗仿宋" w:hAnsi="微软雅黑" w:hint="eastAsia"/>
          <w:bCs/>
          <w:sz w:val="32"/>
          <w:szCs w:val="32"/>
        </w:rPr>
        <w:t>等</w:t>
      </w:r>
      <w:r w:rsidR="00C308DC" w:rsidRPr="00D5715A">
        <w:rPr>
          <w:rFonts w:ascii="彩虹粗仿宋" w:eastAsia="彩虹粗仿宋" w:hAnsi="微软雅黑" w:hint="eastAsia"/>
          <w:bCs/>
          <w:sz w:val="32"/>
          <w:szCs w:val="32"/>
        </w:rPr>
        <w:t>业务</w:t>
      </w:r>
      <w:r w:rsidRPr="00D5715A">
        <w:rPr>
          <w:rFonts w:ascii="彩虹粗仿宋" w:eastAsia="彩虹粗仿宋" w:hAnsi="微软雅黑" w:hint="eastAsia"/>
          <w:bCs/>
          <w:sz w:val="32"/>
          <w:szCs w:val="32"/>
        </w:rPr>
        <w:t>所需的资质。</w:t>
      </w:r>
    </w:p>
    <w:p w:rsidR="00D94AB3" w:rsidRPr="00D5715A" w:rsidRDefault="004E3CCB">
      <w:pPr>
        <w:adjustRightInd w:val="0"/>
        <w:snapToGrid w:val="0"/>
        <w:spacing w:line="560" w:lineRule="exact"/>
        <w:ind w:firstLineChars="200" w:firstLine="640"/>
        <w:rPr>
          <w:rFonts w:ascii="彩虹粗仿宋" w:eastAsia="彩虹粗仿宋" w:hAnsi="微软雅黑"/>
          <w:bCs/>
          <w:sz w:val="32"/>
          <w:szCs w:val="32"/>
        </w:rPr>
      </w:pPr>
      <w:r w:rsidRPr="00D5715A">
        <w:rPr>
          <w:rFonts w:ascii="彩虹粗仿宋" w:eastAsia="彩虹粗仿宋" w:hAnsi="微软雅黑" w:hint="eastAsia"/>
          <w:bCs/>
          <w:sz w:val="32"/>
          <w:szCs w:val="32"/>
        </w:rPr>
        <w:t>（二）</w:t>
      </w:r>
      <w:r w:rsidR="008C2F70">
        <w:rPr>
          <w:rFonts w:ascii="彩虹粗仿宋" w:eastAsia="彩虹粗仿宋" w:hAnsi="微软雅黑" w:hint="eastAsia"/>
          <w:bCs/>
          <w:sz w:val="32"/>
          <w:szCs w:val="32"/>
        </w:rPr>
        <w:t>能够</w:t>
      </w:r>
      <w:r w:rsidR="008C2F70">
        <w:rPr>
          <w:rFonts w:ascii="彩虹粗仿宋" w:eastAsia="彩虹粗仿宋" w:hAnsi="微软雅黑"/>
          <w:bCs/>
          <w:sz w:val="32"/>
          <w:szCs w:val="32"/>
        </w:rPr>
        <w:t>提供营业执照，</w:t>
      </w:r>
      <w:r w:rsidRPr="00D5715A">
        <w:rPr>
          <w:rFonts w:ascii="彩虹粗仿宋" w:eastAsia="彩虹粗仿宋" w:hAnsi="微软雅黑" w:hint="eastAsia"/>
          <w:bCs/>
          <w:sz w:val="32"/>
          <w:szCs w:val="32"/>
        </w:rPr>
        <w:t>有固定的经营场所，有相应从业</w:t>
      </w:r>
      <w:r w:rsidRPr="00D5715A">
        <w:rPr>
          <w:rFonts w:ascii="彩虹粗仿宋" w:eastAsia="彩虹粗仿宋" w:hAnsi="微软雅黑" w:hint="eastAsia"/>
          <w:bCs/>
          <w:sz w:val="32"/>
          <w:szCs w:val="32"/>
        </w:rPr>
        <w:lastRenderedPageBreak/>
        <w:t>人员。</w:t>
      </w:r>
      <w:bookmarkStart w:id="0" w:name="_GoBack"/>
      <w:bookmarkEnd w:id="0"/>
    </w:p>
    <w:p w:rsidR="00D94AB3" w:rsidRPr="00D5715A" w:rsidRDefault="004E3CCB">
      <w:pPr>
        <w:adjustRightInd w:val="0"/>
        <w:snapToGrid w:val="0"/>
        <w:spacing w:line="560" w:lineRule="exact"/>
        <w:ind w:firstLineChars="200" w:firstLine="640"/>
        <w:rPr>
          <w:rFonts w:ascii="彩虹粗仿宋" w:eastAsia="彩虹粗仿宋" w:hAnsi="微软雅黑"/>
          <w:bCs/>
          <w:sz w:val="32"/>
          <w:szCs w:val="32"/>
        </w:rPr>
      </w:pPr>
      <w:r w:rsidRPr="00D5715A">
        <w:rPr>
          <w:rFonts w:ascii="彩虹粗仿宋" w:eastAsia="彩虹粗仿宋" w:hAnsi="微软雅黑" w:hint="eastAsia"/>
          <w:bCs/>
          <w:sz w:val="32"/>
          <w:szCs w:val="32"/>
        </w:rPr>
        <w:t>（三）</w:t>
      </w:r>
      <w:r w:rsidR="005B0E17" w:rsidRPr="00D5715A">
        <w:rPr>
          <w:rFonts w:ascii="彩虹粗仿宋" w:eastAsia="彩虹粗仿宋" w:hAnsi="微软雅黑" w:hint="eastAsia"/>
          <w:bCs/>
          <w:sz w:val="32"/>
          <w:szCs w:val="32"/>
        </w:rPr>
        <w:t>近三年无</w:t>
      </w:r>
      <w:r w:rsidR="005B0E17" w:rsidRPr="00D5715A">
        <w:rPr>
          <w:rFonts w:ascii="彩虹粗仿宋" w:eastAsia="彩虹粗仿宋" w:hAnsi="微软雅黑"/>
          <w:bCs/>
          <w:sz w:val="32"/>
          <w:szCs w:val="32"/>
        </w:rPr>
        <w:t>金融监管</w:t>
      </w:r>
      <w:r w:rsidR="005B0E17" w:rsidRPr="00D5715A">
        <w:rPr>
          <w:rFonts w:ascii="彩虹粗仿宋" w:eastAsia="彩虹粗仿宋" w:hAnsi="微软雅黑" w:hint="eastAsia"/>
          <w:bCs/>
          <w:sz w:val="32"/>
          <w:szCs w:val="32"/>
        </w:rPr>
        <w:t>部门</w:t>
      </w:r>
      <w:r w:rsidR="005B0E17" w:rsidRPr="00D5715A">
        <w:rPr>
          <w:rFonts w:ascii="彩虹粗仿宋" w:eastAsia="彩虹粗仿宋" w:hAnsi="微软雅黑"/>
          <w:bCs/>
          <w:sz w:val="32"/>
          <w:szCs w:val="32"/>
        </w:rPr>
        <w:t>重大行政处罚</w:t>
      </w:r>
      <w:r w:rsidR="00F5109B" w:rsidRPr="00D5715A">
        <w:rPr>
          <w:rFonts w:ascii="彩虹粗仿宋" w:eastAsia="彩虹粗仿宋" w:hAnsi="微软雅黑" w:hint="eastAsia"/>
          <w:bCs/>
          <w:sz w:val="32"/>
          <w:szCs w:val="32"/>
        </w:rPr>
        <w:t>记录</w:t>
      </w:r>
      <w:r w:rsidR="00F5109B" w:rsidRPr="00D5715A">
        <w:rPr>
          <w:rFonts w:ascii="彩虹粗仿宋" w:eastAsia="彩虹粗仿宋" w:hAnsi="微软雅黑"/>
          <w:bCs/>
          <w:sz w:val="32"/>
          <w:szCs w:val="32"/>
        </w:rPr>
        <w:t>，</w:t>
      </w:r>
      <w:r w:rsidR="00F5109B" w:rsidRPr="00D5715A">
        <w:rPr>
          <w:rFonts w:ascii="彩虹粗仿宋" w:eastAsia="彩虹粗仿宋" w:hAnsi="微软雅黑" w:hint="eastAsia"/>
          <w:bCs/>
          <w:sz w:val="32"/>
          <w:szCs w:val="32"/>
        </w:rPr>
        <w:t>同类</w:t>
      </w:r>
      <w:r w:rsidR="00F5109B" w:rsidRPr="00D5715A">
        <w:rPr>
          <w:rFonts w:ascii="彩虹粗仿宋" w:eastAsia="彩虹粗仿宋" w:hAnsi="微软雅黑"/>
          <w:bCs/>
          <w:sz w:val="32"/>
          <w:szCs w:val="32"/>
        </w:rPr>
        <w:t>团体补充医疗保险项目无重大合同违约、群体性理赔纠纷、重大负面舆情</w:t>
      </w:r>
      <w:r w:rsidR="00F5109B" w:rsidRPr="00D5715A">
        <w:rPr>
          <w:rFonts w:ascii="彩虹粗仿宋" w:eastAsia="彩虹粗仿宋" w:hAnsi="微软雅黑" w:hint="eastAsia"/>
          <w:bCs/>
          <w:sz w:val="32"/>
          <w:szCs w:val="32"/>
        </w:rPr>
        <w:t>的记录</w:t>
      </w:r>
      <w:r w:rsidRPr="00D5715A">
        <w:rPr>
          <w:rFonts w:ascii="彩虹粗仿宋" w:eastAsia="彩虹粗仿宋" w:hAnsi="微软雅黑" w:hint="eastAsia"/>
          <w:bCs/>
          <w:sz w:val="32"/>
          <w:szCs w:val="32"/>
        </w:rPr>
        <w:t>。</w:t>
      </w:r>
      <w:r w:rsidR="006A78E1" w:rsidRPr="00D5715A">
        <w:rPr>
          <w:rFonts w:ascii="彩虹粗仿宋" w:eastAsia="彩虹粗仿宋" w:hAnsi="微软雅黑" w:hint="eastAsia"/>
          <w:bCs/>
          <w:sz w:val="32"/>
          <w:szCs w:val="32"/>
        </w:rPr>
        <w:t>（如</w:t>
      </w:r>
      <w:r w:rsidR="006A78E1" w:rsidRPr="00D5715A">
        <w:rPr>
          <w:rFonts w:ascii="彩虹粗仿宋" w:eastAsia="彩虹粗仿宋" w:hAnsi="微软雅黑"/>
          <w:bCs/>
          <w:sz w:val="32"/>
          <w:szCs w:val="32"/>
        </w:rPr>
        <w:t>投标人为</w:t>
      </w:r>
      <w:r w:rsidR="00D5715A">
        <w:rPr>
          <w:rFonts w:ascii="彩虹粗仿宋" w:eastAsia="彩虹粗仿宋" w:hAnsi="微软雅黑" w:hint="eastAsia"/>
          <w:bCs/>
          <w:sz w:val="32"/>
          <w:szCs w:val="32"/>
        </w:rPr>
        <w:t>分支机构</w:t>
      </w:r>
      <w:r w:rsidR="006A78E1" w:rsidRPr="00D5715A">
        <w:rPr>
          <w:rFonts w:ascii="彩虹粗仿宋" w:eastAsia="彩虹粗仿宋" w:hAnsi="微软雅黑"/>
          <w:bCs/>
          <w:sz w:val="32"/>
          <w:szCs w:val="32"/>
        </w:rPr>
        <w:t>，则</w:t>
      </w:r>
      <w:r w:rsidR="00692AD0">
        <w:rPr>
          <w:rFonts w:ascii="彩虹粗仿宋" w:eastAsia="彩虹粗仿宋" w:hAnsi="微软雅黑" w:hint="eastAsia"/>
          <w:bCs/>
          <w:sz w:val="32"/>
          <w:szCs w:val="32"/>
        </w:rPr>
        <w:t>审查</w:t>
      </w:r>
      <w:r w:rsidR="006A78E1" w:rsidRPr="00D5715A">
        <w:rPr>
          <w:rFonts w:ascii="彩虹粗仿宋" w:eastAsia="彩虹粗仿宋" w:hAnsi="微软雅黑" w:hint="eastAsia"/>
          <w:bCs/>
          <w:sz w:val="32"/>
          <w:szCs w:val="32"/>
        </w:rPr>
        <w:t>该</w:t>
      </w:r>
      <w:r w:rsidR="00692AD0">
        <w:rPr>
          <w:rFonts w:ascii="彩虹粗仿宋" w:eastAsia="彩虹粗仿宋" w:hAnsi="微软雅黑" w:hint="eastAsia"/>
          <w:bCs/>
          <w:sz w:val="32"/>
          <w:szCs w:val="32"/>
        </w:rPr>
        <w:t>分支</w:t>
      </w:r>
      <w:r w:rsidR="00692AD0">
        <w:rPr>
          <w:rFonts w:ascii="彩虹粗仿宋" w:eastAsia="彩虹粗仿宋" w:hAnsi="微软雅黑"/>
          <w:bCs/>
          <w:sz w:val="32"/>
          <w:szCs w:val="32"/>
        </w:rPr>
        <w:t>机构</w:t>
      </w:r>
      <w:r w:rsidR="006A78E1" w:rsidRPr="00D5715A">
        <w:rPr>
          <w:rFonts w:ascii="彩虹粗仿宋" w:eastAsia="彩虹粗仿宋" w:hAnsi="微软雅黑" w:hint="eastAsia"/>
          <w:bCs/>
          <w:sz w:val="32"/>
          <w:szCs w:val="32"/>
        </w:rPr>
        <w:t>层面有无相关处罚</w:t>
      </w:r>
      <w:r w:rsidR="006A78E1" w:rsidRPr="00D5715A">
        <w:rPr>
          <w:rFonts w:ascii="彩虹粗仿宋" w:eastAsia="彩虹粗仿宋" w:hAnsi="微软雅黑"/>
          <w:bCs/>
          <w:sz w:val="32"/>
          <w:szCs w:val="32"/>
        </w:rPr>
        <w:t>及负面情况</w:t>
      </w:r>
      <w:r w:rsidR="006A78E1" w:rsidRPr="00D5715A">
        <w:rPr>
          <w:rFonts w:ascii="彩虹粗仿宋" w:eastAsia="彩虹粗仿宋" w:hAnsi="微软雅黑" w:hint="eastAsia"/>
          <w:bCs/>
          <w:sz w:val="32"/>
          <w:szCs w:val="32"/>
        </w:rPr>
        <w:t>）</w:t>
      </w:r>
    </w:p>
    <w:p w:rsidR="00D94AB3" w:rsidRDefault="004E3CCB">
      <w:pPr>
        <w:adjustRightInd w:val="0"/>
        <w:snapToGrid w:val="0"/>
        <w:spacing w:line="560" w:lineRule="exact"/>
        <w:ind w:firstLineChars="200" w:firstLine="640"/>
        <w:rPr>
          <w:rFonts w:ascii="彩虹黑体" w:eastAsia="彩虹黑体" w:hAnsi="宋体"/>
          <w:snapToGrid w:val="0"/>
          <w:kern w:val="0"/>
          <w:sz w:val="32"/>
          <w:szCs w:val="32"/>
        </w:rPr>
      </w:pPr>
      <w:r w:rsidRPr="00D5715A">
        <w:rPr>
          <w:rFonts w:ascii="彩虹黑体" w:eastAsia="彩虹黑体" w:hAnsi="宋体" w:hint="eastAsia"/>
          <w:snapToGrid w:val="0"/>
          <w:kern w:val="0"/>
          <w:sz w:val="32"/>
          <w:szCs w:val="32"/>
        </w:rPr>
        <w:t>三、服务质量要求</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供应商提交服务方案，方案须包括服务内容、价格、限制性条款，服务模式、免赔范围、理赔流程、被保险人增减变动及费用结算流程等，员工查询及投诉方式，以及企业查询方式等。同时，供应商须满足下列要求：</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（一）固定团队：要求建立专门的服务团队进行对接，指定专人负责我行所有理赔案件的集中统一理赔审理；要求指定专人负责特殊理赔案件的沟通协调。</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（二）时效要求：普通理赔案件时效要求5个工作日以内；特殊或大额理赔案件时效要求15个工作日以内。</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三）服务渠道：一是供应商需开发专属APP或小程序线上解决员工理赔申请；二是需定期安排专人上门，到我行分行本部及二级分支机构收取员工理赔资料并接受员工咨询；三是需开通电话客服专线，员工可预约快递上门收单，快递费由供应商支付。</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（四）绿色服务通道：对于部分特殊案件建立绿色快速服务通道，对非关键理赔材料进行适当减免，或缩短理赔时效。</w:t>
      </w:r>
    </w:p>
    <w:p w:rsidR="00D94AB3" w:rsidRDefault="004E3CCB">
      <w:pPr>
        <w:adjustRightInd w:val="0"/>
        <w:snapToGrid w:val="0"/>
        <w:spacing w:line="560"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（五）被保险人变更：如遇发生理赔事项之时，投保人或供应商未及时进行被保险人增减或信息变更的，应按照我行提交的</w:t>
      </w:r>
      <w:r>
        <w:rPr>
          <w:rFonts w:ascii="彩虹粗仿宋" w:eastAsia="彩虹粗仿宋" w:hAnsi="微软雅黑" w:hint="eastAsia"/>
          <w:bCs/>
          <w:sz w:val="32"/>
          <w:szCs w:val="32"/>
        </w:rPr>
        <w:lastRenderedPageBreak/>
        <w:t>书面证明，对被保险人发生理赔时的实际参保状态对照理赔。</w:t>
      </w:r>
    </w:p>
    <w:p w:rsidR="00D94AB3" w:rsidRDefault="004E3CCB">
      <w:pPr>
        <w:adjustRightInd w:val="0"/>
        <w:snapToGrid w:val="0"/>
        <w:spacing w:line="560" w:lineRule="exact"/>
        <w:ind w:firstLineChars="200" w:firstLine="640"/>
        <w:rPr>
          <w:rFonts w:ascii="彩虹黑体" w:eastAsia="彩虹黑体" w:hAnsi="宋体"/>
          <w:snapToGrid w:val="0"/>
          <w:kern w:val="0"/>
          <w:sz w:val="32"/>
          <w:szCs w:val="32"/>
        </w:rPr>
      </w:pPr>
      <w:r>
        <w:rPr>
          <w:rFonts w:ascii="彩虹黑体" w:eastAsia="彩虹黑体" w:hAnsi="宋体" w:hint="eastAsia"/>
          <w:snapToGrid w:val="0"/>
          <w:kern w:val="0"/>
          <w:sz w:val="32"/>
          <w:szCs w:val="32"/>
        </w:rPr>
        <w:t>四、服务数量要求</w:t>
      </w:r>
    </w:p>
    <w:p w:rsidR="00D94AB3" w:rsidRDefault="004E3CCB">
      <w:pPr>
        <w:adjustRightInd w:val="0"/>
        <w:snapToGrid w:val="0"/>
        <w:spacing w:line="560" w:lineRule="exact"/>
        <w:ind w:firstLineChars="200" w:firstLine="640"/>
        <w:rPr>
          <w:rFonts w:ascii="彩虹粗仿宋" w:eastAsia="彩虹粗仿宋" w:hAnsi="微软雅黑"/>
          <w:snapToGrid w:val="0"/>
          <w:color w:val="FF0000"/>
          <w:kern w:val="0"/>
          <w:sz w:val="32"/>
          <w:szCs w:val="32"/>
        </w:rPr>
      </w:pPr>
      <w:r>
        <w:rPr>
          <w:rFonts w:ascii="彩虹粗仿宋" w:eastAsia="彩虹粗仿宋" w:hAnsi="微软雅黑" w:hint="eastAsia"/>
          <w:snapToGrid w:val="0"/>
          <w:kern w:val="0"/>
          <w:sz w:val="32"/>
          <w:szCs w:val="32"/>
        </w:rPr>
        <w:t>需服务我行全部员工（包括离退休人员、广西总审计室及</w:t>
      </w:r>
      <w:r>
        <w:rPr>
          <w:rFonts w:ascii="彩虹粗仿宋" w:eastAsia="彩虹粗仿宋" w:hAnsi="微软雅黑"/>
          <w:snapToGrid w:val="0"/>
          <w:kern w:val="0"/>
          <w:sz w:val="32"/>
          <w:szCs w:val="32"/>
        </w:rPr>
        <w:t>远程智能银行中心南宁分中心</w:t>
      </w:r>
      <w:r>
        <w:rPr>
          <w:rFonts w:ascii="彩虹粗仿宋" w:eastAsia="彩虹粗仿宋" w:hAnsi="微软雅黑" w:hint="eastAsia"/>
          <w:snapToGrid w:val="0"/>
          <w:kern w:val="0"/>
          <w:sz w:val="32"/>
          <w:szCs w:val="32"/>
        </w:rPr>
        <w:t>人员），预计年末以上口径人员：</w:t>
      </w:r>
      <w:r>
        <w:rPr>
          <w:rFonts w:ascii="彩虹粗仿宋" w:eastAsia="彩虹粗仿宋" w:hAnsi="微软雅黑" w:hint="eastAsia"/>
          <w:snapToGrid w:val="0"/>
          <w:color w:val="FF0000"/>
          <w:kern w:val="0"/>
          <w:sz w:val="32"/>
          <w:szCs w:val="32"/>
        </w:rPr>
        <w:t xml:space="preserve"> </w:t>
      </w:r>
    </w:p>
    <w:tbl>
      <w:tblPr>
        <w:tblStyle w:val="ab"/>
        <w:tblW w:w="6600" w:type="dxa"/>
        <w:jc w:val="center"/>
        <w:tblLook w:val="04A0" w:firstRow="1" w:lastRow="0" w:firstColumn="1" w:lastColumn="0" w:noHBand="0" w:noVBand="1"/>
      </w:tblPr>
      <w:tblGrid>
        <w:gridCol w:w="1773"/>
        <w:gridCol w:w="1709"/>
        <w:gridCol w:w="1559"/>
        <w:gridCol w:w="1559"/>
      </w:tblGrid>
      <w:tr w:rsidR="00D94AB3">
        <w:trPr>
          <w:trHeight w:val="569"/>
          <w:jc w:val="center"/>
        </w:trPr>
        <w:tc>
          <w:tcPr>
            <w:tcW w:w="1773" w:type="dxa"/>
            <w:vAlign w:val="center"/>
          </w:tcPr>
          <w:p w:rsidR="00D94AB3" w:rsidRDefault="004E3CCB">
            <w:pPr>
              <w:adjustRightInd w:val="0"/>
              <w:snapToGrid w:val="0"/>
              <w:spacing w:line="300" w:lineRule="exact"/>
              <w:jc w:val="center"/>
              <w:rPr>
                <w:rFonts w:ascii="宋体" w:hAnsi="宋体" w:cs="宋体"/>
                <w:b/>
                <w:bCs/>
                <w:snapToGrid w:val="0"/>
                <w:kern w:val="0"/>
                <w:sz w:val="24"/>
              </w:rPr>
            </w:pPr>
            <w:r>
              <w:rPr>
                <w:rFonts w:ascii="宋体" w:hAnsi="宋体" w:cs="宋体" w:hint="eastAsia"/>
                <w:b/>
                <w:bCs/>
                <w:snapToGrid w:val="0"/>
                <w:kern w:val="0"/>
                <w:sz w:val="24"/>
              </w:rPr>
              <w:t>人员类别</w:t>
            </w:r>
          </w:p>
        </w:tc>
        <w:tc>
          <w:tcPr>
            <w:tcW w:w="1709" w:type="dxa"/>
            <w:vAlign w:val="center"/>
          </w:tcPr>
          <w:p w:rsidR="00D94AB3" w:rsidRDefault="004E3CCB">
            <w:pPr>
              <w:adjustRightInd w:val="0"/>
              <w:snapToGrid w:val="0"/>
              <w:spacing w:line="300" w:lineRule="exact"/>
              <w:jc w:val="center"/>
              <w:rPr>
                <w:rFonts w:ascii="宋体" w:hAnsi="宋体" w:cs="宋体"/>
                <w:b/>
                <w:bCs/>
                <w:snapToGrid w:val="0"/>
                <w:kern w:val="0"/>
                <w:sz w:val="24"/>
              </w:rPr>
            </w:pPr>
            <w:r>
              <w:rPr>
                <w:rFonts w:ascii="宋体" w:hAnsi="宋体" w:cs="宋体" w:hint="eastAsia"/>
                <w:b/>
                <w:bCs/>
                <w:snapToGrid w:val="0"/>
                <w:kern w:val="0"/>
                <w:sz w:val="24"/>
              </w:rPr>
              <w:t>2027年</w:t>
            </w:r>
          </w:p>
        </w:tc>
        <w:tc>
          <w:tcPr>
            <w:tcW w:w="1559" w:type="dxa"/>
            <w:vAlign w:val="center"/>
          </w:tcPr>
          <w:p w:rsidR="00D94AB3" w:rsidRDefault="004E3CCB">
            <w:pPr>
              <w:adjustRightInd w:val="0"/>
              <w:snapToGrid w:val="0"/>
              <w:spacing w:line="300" w:lineRule="exact"/>
              <w:jc w:val="center"/>
              <w:rPr>
                <w:rFonts w:ascii="宋体" w:hAnsi="宋体" w:cs="宋体"/>
                <w:b/>
                <w:bCs/>
                <w:snapToGrid w:val="0"/>
                <w:kern w:val="0"/>
                <w:sz w:val="24"/>
              </w:rPr>
            </w:pPr>
            <w:r>
              <w:rPr>
                <w:rFonts w:ascii="宋体" w:hAnsi="宋体" w:cs="宋体" w:hint="eastAsia"/>
                <w:b/>
                <w:bCs/>
                <w:snapToGrid w:val="0"/>
                <w:kern w:val="0"/>
                <w:sz w:val="24"/>
              </w:rPr>
              <w:t>2028年</w:t>
            </w:r>
          </w:p>
        </w:tc>
        <w:tc>
          <w:tcPr>
            <w:tcW w:w="1559" w:type="dxa"/>
            <w:vAlign w:val="center"/>
          </w:tcPr>
          <w:p w:rsidR="00D94AB3" w:rsidRDefault="004E3CCB">
            <w:pPr>
              <w:adjustRightInd w:val="0"/>
              <w:snapToGrid w:val="0"/>
              <w:spacing w:line="300" w:lineRule="exact"/>
              <w:jc w:val="center"/>
              <w:rPr>
                <w:rFonts w:ascii="宋体" w:hAnsi="宋体" w:cs="宋体"/>
                <w:b/>
                <w:bCs/>
                <w:snapToGrid w:val="0"/>
                <w:kern w:val="0"/>
                <w:sz w:val="24"/>
              </w:rPr>
            </w:pPr>
            <w:r>
              <w:rPr>
                <w:rFonts w:ascii="宋体" w:hAnsi="宋体" w:cs="宋体" w:hint="eastAsia"/>
                <w:b/>
                <w:bCs/>
                <w:snapToGrid w:val="0"/>
                <w:kern w:val="0"/>
                <w:sz w:val="24"/>
              </w:rPr>
              <w:t>2029年</w:t>
            </w:r>
          </w:p>
        </w:tc>
      </w:tr>
      <w:tr w:rsidR="00D94AB3">
        <w:trPr>
          <w:trHeight w:val="430"/>
          <w:jc w:val="center"/>
        </w:trPr>
        <w:tc>
          <w:tcPr>
            <w:tcW w:w="1773" w:type="dxa"/>
            <w:vAlign w:val="center"/>
          </w:tcPr>
          <w:p w:rsidR="00D94AB3" w:rsidRDefault="004E3CCB">
            <w:pPr>
              <w:adjustRightInd w:val="0"/>
              <w:snapToGrid w:val="0"/>
              <w:spacing w:line="300" w:lineRule="exact"/>
              <w:jc w:val="center"/>
              <w:rPr>
                <w:rFonts w:ascii="宋体" w:hAnsi="宋体" w:cs="宋体"/>
                <w:snapToGrid w:val="0"/>
                <w:kern w:val="0"/>
                <w:sz w:val="24"/>
              </w:rPr>
            </w:pPr>
            <w:r>
              <w:rPr>
                <w:rFonts w:ascii="宋体" w:hAnsi="宋体" w:cs="宋体" w:hint="eastAsia"/>
                <w:snapToGrid w:val="0"/>
                <w:kern w:val="0"/>
                <w:sz w:val="24"/>
              </w:rPr>
              <w:t>在职</w:t>
            </w:r>
          </w:p>
        </w:tc>
        <w:tc>
          <w:tcPr>
            <w:tcW w:w="1709" w:type="dxa"/>
            <w:vAlign w:val="center"/>
          </w:tcPr>
          <w:p w:rsidR="00D94AB3" w:rsidRDefault="004E3CCB">
            <w:pPr>
              <w:adjustRightInd w:val="0"/>
              <w:snapToGrid w:val="0"/>
              <w:spacing w:line="300" w:lineRule="exact"/>
              <w:jc w:val="center"/>
              <w:rPr>
                <w:rFonts w:ascii="宋体" w:hAnsi="宋体" w:cs="宋体"/>
                <w:snapToGrid w:val="0"/>
                <w:kern w:val="0"/>
                <w:sz w:val="24"/>
              </w:rPr>
            </w:pPr>
            <w:r>
              <w:rPr>
                <w:rFonts w:ascii="宋体" w:hAnsi="宋体" w:cs="宋体" w:hint="eastAsia"/>
                <w:snapToGrid w:val="0"/>
                <w:kern w:val="0"/>
                <w:sz w:val="24"/>
              </w:rPr>
              <w:t>8802</w:t>
            </w:r>
          </w:p>
        </w:tc>
        <w:tc>
          <w:tcPr>
            <w:tcW w:w="1559" w:type="dxa"/>
            <w:vAlign w:val="center"/>
          </w:tcPr>
          <w:p w:rsidR="00D94AB3" w:rsidRDefault="004E3CCB">
            <w:pPr>
              <w:spacing w:line="300" w:lineRule="exact"/>
              <w:jc w:val="center"/>
              <w:rPr>
                <w:rFonts w:ascii="宋体" w:hAnsi="宋体" w:cs="宋体"/>
                <w:snapToGrid w:val="0"/>
                <w:kern w:val="0"/>
                <w:sz w:val="24"/>
              </w:rPr>
            </w:pPr>
            <w:r>
              <w:rPr>
                <w:rFonts w:ascii="宋体" w:hAnsi="宋体" w:cs="宋体" w:hint="eastAsia"/>
                <w:snapToGrid w:val="0"/>
                <w:kern w:val="0"/>
                <w:sz w:val="24"/>
              </w:rPr>
              <w:t>8765</w:t>
            </w:r>
          </w:p>
        </w:tc>
        <w:tc>
          <w:tcPr>
            <w:tcW w:w="1559" w:type="dxa"/>
            <w:vAlign w:val="center"/>
          </w:tcPr>
          <w:p w:rsidR="00D94AB3" w:rsidRDefault="004E3CCB">
            <w:pPr>
              <w:spacing w:line="300" w:lineRule="exact"/>
              <w:jc w:val="center"/>
              <w:rPr>
                <w:rFonts w:ascii="宋体" w:hAnsi="宋体" w:cs="宋体"/>
                <w:snapToGrid w:val="0"/>
                <w:kern w:val="0"/>
                <w:sz w:val="24"/>
              </w:rPr>
            </w:pPr>
            <w:r>
              <w:rPr>
                <w:rFonts w:ascii="宋体" w:hAnsi="宋体" w:cs="宋体" w:hint="eastAsia"/>
                <w:snapToGrid w:val="0"/>
                <w:kern w:val="0"/>
                <w:sz w:val="24"/>
              </w:rPr>
              <w:t>8611</w:t>
            </w:r>
          </w:p>
        </w:tc>
      </w:tr>
      <w:tr w:rsidR="00D94AB3">
        <w:trPr>
          <w:trHeight w:val="490"/>
          <w:jc w:val="center"/>
        </w:trPr>
        <w:tc>
          <w:tcPr>
            <w:tcW w:w="1773" w:type="dxa"/>
            <w:vAlign w:val="center"/>
          </w:tcPr>
          <w:p w:rsidR="00D94AB3" w:rsidRDefault="004E3CCB">
            <w:pPr>
              <w:adjustRightInd w:val="0"/>
              <w:snapToGrid w:val="0"/>
              <w:spacing w:line="300" w:lineRule="exact"/>
              <w:jc w:val="center"/>
              <w:rPr>
                <w:rFonts w:ascii="宋体" w:hAnsi="宋体" w:cs="宋体"/>
                <w:snapToGrid w:val="0"/>
                <w:kern w:val="0"/>
                <w:sz w:val="24"/>
              </w:rPr>
            </w:pPr>
            <w:r>
              <w:rPr>
                <w:rFonts w:ascii="宋体" w:hAnsi="宋体" w:cs="宋体" w:hint="eastAsia"/>
                <w:snapToGrid w:val="0"/>
                <w:kern w:val="0"/>
                <w:sz w:val="24"/>
              </w:rPr>
              <w:t>退休</w:t>
            </w:r>
          </w:p>
        </w:tc>
        <w:tc>
          <w:tcPr>
            <w:tcW w:w="1709" w:type="dxa"/>
            <w:vAlign w:val="center"/>
          </w:tcPr>
          <w:p w:rsidR="00D94AB3" w:rsidRDefault="004E3CCB">
            <w:pPr>
              <w:adjustRightInd w:val="0"/>
              <w:snapToGrid w:val="0"/>
              <w:spacing w:line="300" w:lineRule="exact"/>
              <w:jc w:val="center"/>
              <w:rPr>
                <w:rFonts w:ascii="宋体" w:hAnsi="宋体" w:cs="宋体"/>
                <w:snapToGrid w:val="0"/>
                <w:kern w:val="0"/>
                <w:sz w:val="24"/>
              </w:rPr>
            </w:pPr>
            <w:r>
              <w:rPr>
                <w:rFonts w:ascii="宋体" w:hAnsi="宋体" w:cs="宋体" w:hint="eastAsia"/>
                <w:snapToGrid w:val="0"/>
                <w:kern w:val="0"/>
                <w:sz w:val="24"/>
              </w:rPr>
              <w:t>2377</w:t>
            </w:r>
          </w:p>
        </w:tc>
        <w:tc>
          <w:tcPr>
            <w:tcW w:w="1559" w:type="dxa"/>
            <w:vAlign w:val="center"/>
          </w:tcPr>
          <w:p w:rsidR="00D94AB3" w:rsidRDefault="004E3CCB">
            <w:pPr>
              <w:spacing w:line="300" w:lineRule="exact"/>
              <w:jc w:val="center"/>
              <w:rPr>
                <w:rFonts w:ascii="宋体" w:hAnsi="宋体" w:cs="宋体"/>
                <w:snapToGrid w:val="0"/>
                <w:kern w:val="0"/>
                <w:sz w:val="24"/>
              </w:rPr>
            </w:pPr>
            <w:r>
              <w:rPr>
                <w:rFonts w:ascii="宋体" w:hAnsi="宋体" w:cs="宋体" w:hint="eastAsia"/>
                <w:snapToGrid w:val="0"/>
                <w:kern w:val="0"/>
                <w:sz w:val="24"/>
              </w:rPr>
              <w:t>2600</w:t>
            </w:r>
          </w:p>
        </w:tc>
        <w:tc>
          <w:tcPr>
            <w:tcW w:w="1559" w:type="dxa"/>
            <w:vAlign w:val="center"/>
          </w:tcPr>
          <w:p w:rsidR="00D94AB3" w:rsidRDefault="004E3CCB">
            <w:pPr>
              <w:spacing w:line="300" w:lineRule="exact"/>
              <w:jc w:val="center"/>
              <w:rPr>
                <w:rFonts w:ascii="宋体" w:hAnsi="宋体" w:cs="宋体"/>
                <w:snapToGrid w:val="0"/>
                <w:kern w:val="0"/>
                <w:sz w:val="24"/>
              </w:rPr>
            </w:pPr>
            <w:r>
              <w:rPr>
                <w:rFonts w:ascii="宋体" w:hAnsi="宋体" w:cs="宋体" w:hint="eastAsia"/>
                <w:snapToGrid w:val="0"/>
                <w:kern w:val="0"/>
                <w:sz w:val="24"/>
              </w:rPr>
              <w:t>2850</w:t>
            </w:r>
          </w:p>
        </w:tc>
      </w:tr>
      <w:tr w:rsidR="00D94AB3">
        <w:trPr>
          <w:trHeight w:val="466"/>
          <w:jc w:val="center"/>
        </w:trPr>
        <w:tc>
          <w:tcPr>
            <w:tcW w:w="1773" w:type="dxa"/>
            <w:vAlign w:val="center"/>
          </w:tcPr>
          <w:p w:rsidR="00D94AB3" w:rsidRDefault="004E3CCB">
            <w:pPr>
              <w:adjustRightInd w:val="0"/>
              <w:snapToGrid w:val="0"/>
              <w:spacing w:line="300" w:lineRule="exact"/>
              <w:jc w:val="center"/>
              <w:rPr>
                <w:rFonts w:ascii="宋体" w:hAnsi="宋体" w:cs="宋体"/>
                <w:snapToGrid w:val="0"/>
                <w:kern w:val="0"/>
                <w:sz w:val="24"/>
              </w:rPr>
            </w:pPr>
            <w:r>
              <w:rPr>
                <w:rFonts w:ascii="宋体" w:hAnsi="宋体" w:cs="宋体" w:hint="eastAsia"/>
                <w:snapToGrid w:val="0"/>
                <w:kern w:val="0"/>
                <w:sz w:val="24"/>
              </w:rPr>
              <w:t>合计</w:t>
            </w:r>
          </w:p>
        </w:tc>
        <w:tc>
          <w:tcPr>
            <w:tcW w:w="1709" w:type="dxa"/>
            <w:vAlign w:val="center"/>
          </w:tcPr>
          <w:p w:rsidR="00D94AB3" w:rsidRDefault="004E3CCB">
            <w:pPr>
              <w:adjustRightInd w:val="0"/>
              <w:snapToGrid w:val="0"/>
              <w:spacing w:line="300" w:lineRule="exact"/>
              <w:jc w:val="center"/>
              <w:rPr>
                <w:rFonts w:ascii="宋体" w:hAnsi="宋体" w:cs="宋体"/>
                <w:snapToGrid w:val="0"/>
                <w:kern w:val="0"/>
                <w:sz w:val="24"/>
              </w:rPr>
            </w:pPr>
            <w:r>
              <w:rPr>
                <w:rFonts w:ascii="宋体" w:hAnsi="宋体" w:cs="宋体" w:hint="eastAsia"/>
                <w:snapToGrid w:val="0"/>
                <w:kern w:val="0"/>
                <w:sz w:val="24"/>
              </w:rPr>
              <w:t>11179</w:t>
            </w:r>
          </w:p>
        </w:tc>
        <w:tc>
          <w:tcPr>
            <w:tcW w:w="1559" w:type="dxa"/>
            <w:vAlign w:val="center"/>
          </w:tcPr>
          <w:p w:rsidR="00D94AB3" w:rsidRDefault="004E3CCB">
            <w:pPr>
              <w:adjustRightInd w:val="0"/>
              <w:snapToGrid w:val="0"/>
              <w:spacing w:line="300" w:lineRule="exact"/>
              <w:jc w:val="center"/>
              <w:rPr>
                <w:rFonts w:ascii="宋体" w:hAnsi="宋体" w:cs="宋体"/>
                <w:snapToGrid w:val="0"/>
                <w:kern w:val="0"/>
                <w:sz w:val="24"/>
              </w:rPr>
            </w:pPr>
            <w:r>
              <w:rPr>
                <w:rFonts w:ascii="宋体" w:hAnsi="宋体" w:cs="宋体" w:hint="eastAsia"/>
                <w:snapToGrid w:val="0"/>
                <w:kern w:val="0"/>
                <w:sz w:val="24"/>
              </w:rPr>
              <w:t>11365</w:t>
            </w:r>
          </w:p>
        </w:tc>
        <w:tc>
          <w:tcPr>
            <w:tcW w:w="1559" w:type="dxa"/>
            <w:vAlign w:val="center"/>
          </w:tcPr>
          <w:p w:rsidR="00D94AB3" w:rsidRDefault="004E3CCB">
            <w:pPr>
              <w:adjustRightInd w:val="0"/>
              <w:snapToGrid w:val="0"/>
              <w:spacing w:line="300" w:lineRule="exact"/>
              <w:jc w:val="center"/>
              <w:rPr>
                <w:rFonts w:ascii="宋体" w:hAnsi="宋体" w:cs="宋体"/>
                <w:snapToGrid w:val="0"/>
                <w:kern w:val="0"/>
                <w:sz w:val="24"/>
              </w:rPr>
            </w:pPr>
            <w:r>
              <w:rPr>
                <w:rFonts w:ascii="宋体" w:hAnsi="宋体" w:cs="宋体" w:hint="eastAsia"/>
                <w:snapToGrid w:val="0"/>
                <w:kern w:val="0"/>
                <w:sz w:val="24"/>
              </w:rPr>
              <w:t>11461</w:t>
            </w:r>
          </w:p>
        </w:tc>
      </w:tr>
    </w:tbl>
    <w:p w:rsidR="00D94AB3" w:rsidRDefault="004E3CCB">
      <w:pPr>
        <w:adjustRightInd w:val="0"/>
        <w:snapToGrid w:val="0"/>
        <w:spacing w:line="587" w:lineRule="exact"/>
        <w:ind w:firstLineChars="200" w:firstLine="640"/>
        <w:rPr>
          <w:rFonts w:ascii="彩虹粗仿宋" w:eastAsia="彩虹粗仿宋" w:hAnsi="微软雅黑"/>
          <w:snapToGrid w:val="0"/>
          <w:kern w:val="0"/>
          <w:sz w:val="32"/>
          <w:szCs w:val="32"/>
        </w:rPr>
      </w:pPr>
      <w:r>
        <w:rPr>
          <w:rFonts w:ascii="彩虹粗仿宋" w:eastAsia="彩虹粗仿宋" w:hAnsi="微软雅黑" w:hint="eastAsia"/>
          <w:snapToGrid w:val="0"/>
          <w:kern w:val="0"/>
          <w:sz w:val="32"/>
          <w:szCs w:val="32"/>
        </w:rPr>
        <w:t>具体人数以最终协议签订后每年提供的名单为准。</w:t>
      </w:r>
    </w:p>
    <w:p w:rsidR="00D94AB3" w:rsidRDefault="004E3CCB">
      <w:pPr>
        <w:adjustRightInd w:val="0"/>
        <w:snapToGrid w:val="0"/>
        <w:spacing w:line="587" w:lineRule="exact"/>
        <w:ind w:firstLineChars="200" w:firstLine="640"/>
        <w:rPr>
          <w:rFonts w:ascii="彩虹黑体" w:eastAsia="彩虹黑体" w:hAnsi="宋体"/>
          <w:snapToGrid w:val="0"/>
          <w:kern w:val="0"/>
          <w:sz w:val="32"/>
          <w:szCs w:val="32"/>
        </w:rPr>
      </w:pPr>
      <w:r>
        <w:rPr>
          <w:rFonts w:ascii="彩虹黑体" w:eastAsia="彩虹黑体" w:hAnsi="宋体" w:hint="eastAsia"/>
          <w:snapToGrid w:val="0"/>
          <w:kern w:val="0"/>
          <w:sz w:val="32"/>
          <w:szCs w:val="32"/>
        </w:rPr>
        <w:t>五、款项支付要求</w:t>
      </w:r>
    </w:p>
    <w:p w:rsidR="00D94AB3" w:rsidRDefault="004E3CCB">
      <w:pPr>
        <w:adjustRightInd w:val="0"/>
        <w:snapToGrid w:val="0"/>
        <w:spacing w:line="587" w:lineRule="exact"/>
        <w:ind w:firstLineChars="200" w:firstLine="640"/>
        <w:rPr>
          <w:rFonts w:ascii="彩虹粗仿宋" w:eastAsia="彩虹粗仿宋" w:hAnsi="微软雅黑"/>
          <w:snapToGrid w:val="0"/>
          <w:kern w:val="0"/>
          <w:sz w:val="32"/>
          <w:szCs w:val="32"/>
        </w:rPr>
      </w:pPr>
      <w:r>
        <w:rPr>
          <w:rFonts w:ascii="彩虹粗仿宋" w:eastAsia="彩虹粗仿宋" w:hAnsi="微软雅黑" w:hint="eastAsia"/>
          <w:snapToGrid w:val="0"/>
          <w:kern w:val="0"/>
          <w:sz w:val="32"/>
          <w:szCs w:val="32"/>
        </w:rPr>
        <w:t>保费采用年初按照投保人员名单对应保额支付，年末或次年按照人员增减变动进行清算。</w:t>
      </w:r>
    </w:p>
    <w:p w:rsidR="00D94AB3" w:rsidRDefault="004E3CCB">
      <w:pPr>
        <w:adjustRightInd w:val="0"/>
        <w:snapToGrid w:val="0"/>
        <w:spacing w:line="587" w:lineRule="exact"/>
        <w:ind w:firstLineChars="200" w:firstLine="640"/>
        <w:rPr>
          <w:rFonts w:ascii="彩虹黑体" w:eastAsia="彩虹黑体" w:hAnsi="宋体"/>
          <w:snapToGrid w:val="0"/>
          <w:kern w:val="0"/>
          <w:sz w:val="32"/>
          <w:szCs w:val="32"/>
        </w:rPr>
      </w:pPr>
      <w:r>
        <w:rPr>
          <w:rFonts w:ascii="彩虹黑体" w:eastAsia="彩虹黑体" w:hAnsi="宋体" w:hint="eastAsia"/>
          <w:snapToGrid w:val="0"/>
          <w:kern w:val="0"/>
          <w:sz w:val="32"/>
          <w:szCs w:val="32"/>
        </w:rPr>
        <w:t>六、售后服务要求</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（一）员工查询和投诉：建立24小时员工查询和投诉通道；每发生一次双方确认的有效投诉，向我行缴纳投诉处罚金200元。</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（二）向我行每位员工印发服务手册。</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（三）根据我行需求，随时安排业务巡讲及培训。</w:t>
      </w:r>
    </w:p>
    <w:p w:rsidR="00D94AB3" w:rsidRDefault="004E3CCB">
      <w:pPr>
        <w:adjustRightInd w:val="0"/>
        <w:snapToGrid w:val="0"/>
        <w:spacing w:line="587" w:lineRule="exact"/>
        <w:ind w:firstLineChars="200" w:firstLine="640"/>
        <w:rPr>
          <w:rFonts w:ascii="彩虹粗仿宋" w:eastAsia="彩虹粗仿宋" w:hAnsi="微软雅黑"/>
          <w:bCs/>
          <w:sz w:val="32"/>
          <w:szCs w:val="32"/>
        </w:rPr>
      </w:pPr>
      <w:r>
        <w:rPr>
          <w:rFonts w:ascii="彩虹粗仿宋" w:eastAsia="彩虹粗仿宋" w:hAnsi="微软雅黑" w:hint="eastAsia"/>
          <w:bCs/>
          <w:sz w:val="32"/>
          <w:szCs w:val="32"/>
        </w:rPr>
        <w:t>（四）定期向我行提交被保险人理赔台账和理赔情况分析，台账格式和分析格式按我行要求执行。</w:t>
      </w:r>
    </w:p>
    <w:p w:rsidR="00D94AB3" w:rsidRDefault="004E3CCB">
      <w:pPr>
        <w:adjustRightInd w:val="0"/>
        <w:snapToGrid w:val="0"/>
        <w:spacing w:line="587" w:lineRule="exact"/>
        <w:ind w:firstLineChars="200" w:firstLine="640"/>
        <w:rPr>
          <w:rFonts w:ascii="彩虹黑体" w:eastAsia="彩虹黑体" w:hAnsi="宋体"/>
          <w:snapToGrid w:val="0"/>
          <w:kern w:val="0"/>
          <w:sz w:val="32"/>
          <w:szCs w:val="32"/>
        </w:rPr>
      </w:pPr>
      <w:r>
        <w:rPr>
          <w:rFonts w:ascii="彩虹黑体" w:eastAsia="彩虹黑体" w:hAnsi="宋体" w:hint="eastAsia"/>
          <w:snapToGrid w:val="0"/>
          <w:kern w:val="0"/>
          <w:sz w:val="32"/>
          <w:szCs w:val="32"/>
        </w:rPr>
        <w:t>七、报价要求</w:t>
      </w:r>
    </w:p>
    <w:p w:rsidR="00D94AB3" w:rsidRDefault="004E3CCB">
      <w:pPr>
        <w:adjustRightInd w:val="0"/>
        <w:snapToGrid w:val="0"/>
        <w:spacing w:line="587" w:lineRule="exact"/>
        <w:ind w:firstLineChars="200" w:firstLine="640"/>
        <w:rPr>
          <w:rFonts w:ascii="彩虹粗仿宋" w:eastAsia="彩虹粗仿宋" w:hAnsi="微软雅黑"/>
          <w:snapToGrid w:val="0"/>
          <w:kern w:val="0"/>
          <w:sz w:val="32"/>
          <w:szCs w:val="32"/>
        </w:rPr>
      </w:pPr>
      <w:r>
        <w:rPr>
          <w:rFonts w:ascii="彩虹粗仿宋" w:eastAsia="彩虹粗仿宋" w:hAnsi="微软雅黑" w:hint="eastAsia"/>
          <w:snapToGrid w:val="0"/>
          <w:kern w:val="0"/>
          <w:sz w:val="32"/>
          <w:szCs w:val="32"/>
        </w:rPr>
        <w:t>按不同类别人数人均保费报价。报价为含税价，并注明适用增值税率。</w:t>
      </w:r>
    </w:p>
    <w:p w:rsidR="00D94AB3" w:rsidRDefault="004E3CCB">
      <w:pPr>
        <w:adjustRightInd w:val="0"/>
        <w:snapToGrid w:val="0"/>
        <w:spacing w:line="587" w:lineRule="exact"/>
        <w:ind w:firstLineChars="200" w:firstLine="640"/>
        <w:rPr>
          <w:rFonts w:ascii="彩虹黑体" w:eastAsia="彩虹黑体" w:hAnsi="宋体"/>
          <w:snapToGrid w:val="0"/>
          <w:kern w:val="0"/>
          <w:sz w:val="32"/>
          <w:szCs w:val="32"/>
        </w:rPr>
      </w:pPr>
      <w:r>
        <w:rPr>
          <w:rFonts w:ascii="彩虹黑体" w:eastAsia="彩虹黑体" w:hAnsi="宋体" w:hint="eastAsia"/>
          <w:snapToGrid w:val="0"/>
          <w:kern w:val="0"/>
          <w:sz w:val="32"/>
          <w:szCs w:val="32"/>
        </w:rPr>
        <w:t>八</w:t>
      </w:r>
      <w:r>
        <w:rPr>
          <w:rFonts w:ascii="彩虹黑体" w:eastAsia="彩虹黑体" w:hAnsi="宋体"/>
          <w:snapToGrid w:val="0"/>
          <w:kern w:val="0"/>
          <w:sz w:val="32"/>
          <w:szCs w:val="32"/>
        </w:rPr>
        <w:t>、特别说明</w:t>
      </w:r>
    </w:p>
    <w:p w:rsidR="00D94AB3" w:rsidRDefault="004E3CCB">
      <w:pPr>
        <w:adjustRightInd w:val="0"/>
        <w:snapToGrid w:val="0"/>
        <w:spacing w:line="587" w:lineRule="exact"/>
        <w:ind w:firstLineChars="200" w:firstLine="640"/>
        <w:rPr>
          <w:rFonts w:ascii="彩虹粗仿宋" w:eastAsia="彩虹粗仿宋" w:hAnsi="微软雅黑"/>
          <w:snapToGrid w:val="0"/>
          <w:kern w:val="0"/>
          <w:sz w:val="32"/>
          <w:szCs w:val="32"/>
        </w:rPr>
      </w:pPr>
      <w:r>
        <w:rPr>
          <w:rFonts w:ascii="彩虹粗仿宋" w:eastAsia="彩虹粗仿宋" w:hAnsi="微软雅黑" w:hint="eastAsia"/>
          <w:snapToGrid w:val="0"/>
          <w:kern w:val="0"/>
          <w:sz w:val="32"/>
          <w:szCs w:val="32"/>
        </w:rPr>
        <w:lastRenderedPageBreak/>
        <w:t>补充医疗保险具体条款最终以双方磋商确认及正式签订的合同文本为准。</w:t>
      </w:r>
    </w:p>
    <w:sectPr w:rsidR="00D94AB3">
      <w:footerReference w:type="default" r:id="rId8"/>
      <w:pgSz w:w="11906" w:h="16838"/>
      <w:pgMar w:top="1871" w:right="1531" w:bottom="1871" w:left="1531" w:header="0" w:footer="1701"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3F1" w:rsidRDefault="00FA63F1">
      <w:r>
        <w:separator/>
      </w:r>
    </w:p>
  </w:endnote>
  <w:endnote w:type="continuationSeparator" w:id="0">
    <w:p w:rsidR="00FA63F1" w:rsidRDefault="00FA6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彩虹小标宋">
    <w:panose1 w:val="03000509000000000000"/>
    <w:charset w:val="86"/>
    <w:family w:val="script"/>
    <w:pitch w:val="fixed"/>
    <w:sig w:usb0="00000001" w:usb1="080E0000" w:usb2="00000010" w:usb3="00000000" w:csb0="00040000" w:csb1="00000000"/>
  </w:font>
  <w:font w:name="彩虹粗仿宋">
    <w:panose1 w:val="03000509000000000000"/>
    <w:charset w:val="86"/>
    <w:family w:val="script"/>
    <w:pitch w:val="fixed"/>
    <w:sig w:usb0="00000001" w:usb1="080E0000" w:usb2="00000010" w:usb3="00000000" w:csb0="00040000" w:csb1="00000000"/>
  </w:font>
  <w:font w:name="彩虹黑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彩虹楷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AB3" w:rsidRDefault="004E3CCB">
    <w:pPr>
      <w:pStyle w:val="a7"/>
      <w:jc w:val="both"/>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94AB3" w:rsidRDefault="004E3CCB">
                          <w:pPr>
                            <w:pStyle w:val="a7"/>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8C2F70">
                            <w:rPr>
                              <w:rFonts w:ascii="宋体" w:hAnsi="宋体" w:cs="宋体"/>
                              <w:noProof/>
                              <w:sz w:val="28"/>
                              <w:szCs w:val="28"/>
                            </w:rPr>
                            <w:t>6</w:t>
                          </w:r>
                          <w:r>
                            <w:rPr>
                              <w:rFonts w:ascii="宋体" w:hAnsi="宋体" w:cs="宋体" w:hint="eastAsia"/>
                              <w:sz w:val="28"/>
                              <w:szCs w:val="28"/>
                            </w:rPr>
                            <w:fldChar w:fldCharType="end"/>
                          </w:r>
                          <w:r>
                            <w:rPr>
                              <w:rFonts w:ascii="宋体" w:hAnsi="宋体" w:cs="宋体"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D94AB3" w:rsidRDefault="004E3CCB">
                    <w:pPr>
                      <w:pStyle w:val="a7"/>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8C2F70">
                      <w:rPr>
                        <w:rFonts w:ascii="宋体" w:hAnsi="宋体" w:cs="宋体"/>
                        <w:noProof/>
                        <w:sz w:val="28"/>
                        <w:szCs w:val="28"/>
                      </w:rPr>
                      <w:t>6</w:t>
                    </w:r>
                    <w:r>
                      <w:rPr>
                        <w:rFonts w:ascii="宋体" w:hAnsi="宋体" w:cs="宋体" w:hint="eastAsia"/>
                        <w:sz w:val="28"/>
                        <w:szCs w:val="28"/>
                      </w:rPr>
                      <w:fldChar w:fldCharType="end"/>
                    </w:r>
                    <w:r>
                      <w:rPr>
                        <w:rFonts w:ascii="宋体" w:hAnsi="宋体" w:cs="宋体"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3F1" w:rsidRDefault="00FA63F1">
      <w:r>
        <w:separator/>
      </w:r>
    </w:p>
  </w:footnote>
  <w:footnote w:type="continuationSeparator" w:id="0">
    <w:p w:rsidR="00FA63F1" w:rsidRDefault="00FA63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83E"/>
    <w:rsid w:val="000039B6"/>
    <w:rsid w:val="00010647"/>
    <w:rsid w:val="000135BD"/>
    <w:rsid w:val="000170A6"/>
    <w:rsid w:val="00020D0C"/>
    <w:rsid w:val="00025C27"/>
    <w:rsid w:val="00026F6B"/>
    <w:rsid w:val="00027F8B"/>
    <w:rsid w:val="000343A0"/>
    <w:rsid w:val="00035644"/>
    <w:rsid w:val="000417BA"/>
    <w:rsid w:val="000438E2"/>
    <w:rsid w:val="00046099"/>
    <w:rsid w:val="00046ADD"/>
    <w:rsid w:val="00051C45"/>
    <w:rsid w:val="000527C4"/>
    <w:rsid w:val="000551F7"/>
    <w:rsid w:val="000562CA"/>
    <w:rsid w:val="000570A2"/>
    <w:rsid w:val="0006572D"/>
    <w:rsid w:val="00075B55"/>
    <w:rsid w:val="000766FF"/>
    <w:rsid w:val="00086DF0"/>
    <w:rsid w:val="000A0E28"/>
    <w:rsid w:val="000A436A"/>
    <w:rsid w:val="000A552B"/>
    <w:rsid w:val="000A60EC"/>
    <w:rsid w:val="000A796C"/>
    <w:rsid w:val="000A7CF3"/>
    <w:rsid w:val="000B0D7E"/>
    <w:rsid w:val="000B1745"/>
    <w:rsid w:val="000B384A"/>
    <w:rsid w:val="000B4081"/>
    <w:rsid w:val="000C1075"/>
    <w:rsid w:val="000C122C"/>
    <w:rsid w:val="000C1746"/>
    <w:rsid w:val="000C5536"/>
    <w:rsid w:val="000D29D0"/>
    <w:rsid w:val="000F027D"/>
    <w:rsid w:val="000F0797"/>
    <w:rsid w:val="000F14C7"/>
    <w:rsid w:val="000F4456"/>
    <w:rsid w:val="000F592B"/>
    <w:rsid w:val="000F7A9E"/>
    <w:rsid w:val="00102829"/>
    <w:rsid w:val="00112A2D"/>
    <w:rsid w:val="00113F6E"/>
    <w:rsid w:val="001222C1"/>
    <w:rsid w:val="0012254D"/>
    <w:rsid w:val="001256DE"/>
    <w:rsid w:val="00130123"/>
    <w:rsid w:val="0013326C"/>
    <w:rsid w:val="00135A49"/>
    <w:rsid w:val="00140364"/>
    <w:rsid w:val="0014266E"/>
    <w:rsid w:val="00142E4B"/>
    <w:rsid w:val="0014482E"/>
    <w:rsid w:val="001463F0"/>
    <w:rsid w:val="0015176E"/>
    <w:rsid w:val="0016131F"/>
    <w:rsid w:val="00164B15"/>
    <w:rsid w:val="00167BF8"/>
    <w:rsid w:val="0017135C"/>
    <w:rsid w:val="00185A26"/>
    <w:rsid w:val="00186137"/>
    <w:rsid w:val="001861BC"/>
    <w:rsid w:val="001925F7"/>
    <w:rsid w:val="001A04E5"/>
    <w:rsid w:val="001A43D6"/>
    <w:rsid w:val="001A6F7E"/>
    <w:rsid w:val="001A7E1A"/>
    <w:rsid w:val="001B1B42"/>
    <w:rsid w:val="001B46E3"/>
    <w:rsid w:val="001B6B0F"/>
    <w:rsid w:val="001C2134"/>
    <w:rsid w:val="001C7EA5"/>
    <w:rsid w:val="001D1856"/>
    <w:rsid w:val="001D4EB8"/>
    <w:rsid w:val="001D5253"/>
    <w:rsid w:val="001D6AF3"/>
    <w:rsid w:val="001E2912"/>
    <w:rsid w:val="001F0E65"/>
    <w:rsid w:val="001F48D6"/>
    <w:rsid w:val="001F6D1B"/>
    <w:rsid w:val="002004D3"/>
    <w:rsid w:val="00204A98"/>
    <w:rsid w:val="00207A5C"/>
    <w:rsid w:val="0021140C"/>
    <w:rsid w:val="0021154B"/>
    <w:rsid w:val="00211C08"/>
    <w:rsid w:val="00214B3E"/>
    <w:rsid w:val="00222BB2"/>
    <w:rsid w:val="00224D58"/>
    <w:rsid w:val="00232173"/>
    <w:rsid w:val="00232EC2"/>
    <w:rsid w:val="00233DE8"/>
    <w:rsid w:val="002579FF"/>
    <w:rsid w:val="00261CA2"/>
    <w:rsid w:val="00264FF3"/>
    <w:rsid w:val="002716CF"/>
    <w:rsid w:val="00272F6C"/>
    <w:rsid w:val="002739CC"/>
    <w:rsid w:val="002742FC"/>
    <w:rsid w:val="002802EB"/>
    <w:rsid w:val="00291ECF"/>
    <w:rsid w:val="00292E02"/>
    <w:rsid w:val="00293509"/>
    <w:rsid w:val="00297BA3"/>
    <w:rsid w:val="002A41DF"/>
    <w:rsid w:val="002A5922"/>
    <w:rsid w:val="002B2559"/>
    <w:rsid w:val="002B76FF"/>
    <w:rsid w:val="002B78C4"/>
    <w:rsid w:val="002D1396"/>
    <w:rsid w:val="002D790D"/>
    <w:rsid w:val="002E0968"/>
    <w:rsid w:val="002E0C25"/>
    <w:rsid w:val="002E2E85"/>
    <w:rsid w:val="002E333E"/>
    <w:rsid w:val="002F2531"/>
    <w:rsid w:val="002F33D4"/>
    <w:rsid w:val="003058D3"/>
    <w:rsid w:val="003059A4"/>
    <w:rsid w:val="00305DCC"/>
    <w:rsid w:val="00315288"/>
    <w:rsid w:val="00331AB1"/>
    <w:rsid w:val="0033284B"/>
    <w:rsid w:val="00336E06"/>
    <w:rsid w:val="00343700"/>
    <w:rsid w:val="00346D6B"/>
    <w:rsid w:val="003514C2"/>
    <w:rsid w:val="00353991"/>
    <w:rsid w:val="00365D4E"/>
    <w:rsid w:val="00373A37"/>
    <w:rsid w:val="00380996"/>
    <w:rsid w:val="00386AC9"/>
    <w:rsid w:val="00396F7C"/>
    <w:rsid w:val="003A3400"/>
    <w:rsid w:val="003A3C8A"/>
    <w:rsid w:val="003A7618"/>
    <w:rsid w:val="003A7CAE"/>
    <w:rsid w:val="003B09A0"/>
    <w:rsid w:val="003B6925"/>
    <w:rsid w:val="003C0C9D"/>
    <w:rsid w:val="003D2873"/>
    <w:rsid w:val="003D2DFD"/>
    <w:rsid w:val="003D4238"/>
    <w:rsid w:val="003D4FFE"/>
    <w:rsid w:val="003E0618"/>
    <w:rsid w:val="003E2CC8"/>
    <w:rsid w:val="003F1310"/>
    <w:rsid w:val="003F2CDF"/>
    <w:rsid w:val="00406121"/>
    <w:rsid w:val="00410B66"/>
    <w:rsid w:val="004142C0"/>
    <w:rsid w:val="0041437D"/>
    <w:rsid w:val="00423BD4"/>
    <w:rsid w:val="00435683"/>
    <w:rsid w:val="00437C74"/>
    <w:rsid w:val="0045612C"/>
    <w:rsid w:val="00472052"/>
    <w:rsid w:val="0047518B"/>
    <w:rsid w:val="00484282"/>
    <w:rsid w:val="004866F0"/>
    <w:rsid w:val="00496FFA"/>
    <w:rsid w:val="004A10A1"/>
    <w:rsid w:val="004A6CC1"/>
    <w:rsid w:val="004B29C2"/>
    <w:rsid w:val="004B313A"/>
    <w:rsid w:val="004B40F3"/>
    <w:rsid w:val="004B55DD"/>
    <w:rsid w:val="004B7BF1"/>
    <w:rsid w:val="004C69AB"/>
    <w:rsid w:val="004C7B73"/>
    <w:rsid w:val="004D0EE9"/>
    <w:rsid w:val="004E3CCB"/>
    <w:rsid w:val="004F2816"/>
    <w:rsid w:val="004F408E"/>
    <w:rsid w:val="00511CAB"/>
    <w:rsid w:val="00513E3F"/>
    <w:rsid w:val="00524EEC"/>
    <w:rsid w:val="0054453A"/>
    <w:rsid w:val="00545645"/>
    <w:rsid w:val="00554D9A"/>
    <w:rsid w:val="00555CBF"/>
    <w:rsid w:val="00560E33"/>
    <w:rsid w:val="00562CD4"/>
    <w:rsid w:val="005762B1"/>
    <w:rsid w:val="00592116"/>
    <w:rsid w:val="00592C00"/>
    <w:rsid w:val="00594608"/>
    <w:rsid w:val="005B0E17"/>
    <w:rsid w:val="005B24C5"/>
    <w:rsid w:val="005C3051"/>
    <w:rsid w:val="005C3E91"/>
    <w:rsid w:val="005C4C4A"/>
    <w:rsid w:val="005C4CAC"/>
    <w:rsid w:val="005C6833"/>
    <w:rsid w:val="005D447D"/>
    <w:rsid w:val="005E22B6"/>
    <w:rsid w:val="005E67BA"/>
    <w:rsid w:val="005F76F3"/>
    <w:rsid w:val="00606B30"/>
    <w:rsid w:val="00612987"/>
    <w:rsid w:val="006136DD"/>
    <w:rsid w:val="006140ED"/>
    <w:rsid w:val="0063216C"/>
    <w:rsid w:val="00633D20"/>
    <w:rsid w:val="00634FCE"/>
    <w:rsid w:val="00635E1F"/>
    <w:rsid w:val="0063730B"/>
    <w:rsid w:val="006373E7"/>
    <w:rsid w:val="00644A15"/>
    <w:rsid w:val="00655BB9"/>
    <w:rsid w:val="00657A8F"/>
    <w:rsid w:val="006751AA"/>
    <w:rsid w:val="00675F54"/>
    <w:rsid w:val="00691351"/>
    <w:rsid w:val="00692AD0"/>
    <w:rsid w:val="006A2BBE"/>
    <w:rsid w:val="006A4CFC"/>
    <w:rsid w:val="006A71EA"/>
    <w:rsid w:val="006A78E1"/>
    <w:rsid w:val="006B1614"/>
    <w:rsid w:val="006B577D"/>
    <w:rsid w:val="006C1FBD"/>
    <w:rsid w:val="006D0062"/>
    <w:rsid w:val="006D40C7"/>
    <w:rsid w:val="006D7E11"/>
    <w:rsid w:val="006E5508"/>
    <w:rsid w:val="006E6E38"/>
    <w:rsid w:val="006F0A6F"/>
    <w:rsid w:val="006F2AFC"/>
    <w:rsid w:val="006F5897"/>
    <w:rsid w:val="00700AD7"/>
    <w:rsid w:val="00701E0E"/>
    <w:rsid w:val="00712AC9"/>
    <w:rsid w:val="007206C7"/>
    <w:rsid w:val="0072323D"/>
    <w:rsid w:val="00726D15"/>
    <w:rsid w:val="00727159"/>
    <w:rsid w:val="00730E8F"/>
    <w:rsid w:val="007340EB"/>
    <w:rsid w:val="00743DAD"/>
    <w:rsid w:val="0074737D"/>
    <w:rsid w:val="00751810"/>
    <w:rsid w:val="00753D9A"/>
    <w:rsid w:val="00766079"/>
    <w:rsid w:val="00775E27"/>
    <w:rsid w:val="007763A6"/>
    <w:rsid w:val="00776FCF"/>
    <w:rsid w:val="00781B4C"/>
    <w:rsid w:val="00790F67"/>
    <w:rsid w:val="007A02B8"/>
    <w:rsid w:val="007A1308"/>
    <w:rsid w:val="007A2D8A"/>
    <w:rsid w:val="007B170C"/>
    <w:rsid w:val="007C07A6"/>
    <w:rsid w:val="007C35C1"/>
    <w:rsid w:val="007C444F"/>
    <w:rsid w:val="007C5E83"/>
    <w:rsid w:val="007E6510"/>
    <w:rsid w:val="007E6615"/>
    <w:rsid w:val="007F3AEA"/>
    <w:rsid w:val="007F53B2"/>
    <w:rsid w:val="00810A3D"/>
    <w:rsid w:val="0081699C"/>
    <w:rsid w:val="008211F1"/>
    <w:rsid w:val="00822E27"/>
    <w:rsid w:val="008252CE"/>
    <w:rsid w:val="008307A9"/>
    <w:rsid w:val="008370E2"/>
    <w:rsid w:val="00845EC4"/>
    <w:rsid w:val="00846119"/>
    <w:rsid w:val="008514EE"/>
    <w:rsid w:val="008702FD"/>
    <w:rsid w:val="00870B62"/>
    <w:rsid w:val="008730EC"/>
    <w:rsid w:val="008749EE"/>
    <w:rsid w:val="0087567A"/>
    <w:rsid w:val="00882F61"/>
    <w:rsid w:val="0088382B"/>
    <w:rsid w:val="00886C1C"/>
    <w:rsid w:val="00890A54"/>
    <w:rsid w:val="0089184E"/>
    <w:rsid w:val="008A29CA"/>
    <w:rsid w:val="008A3897"/>
    <w:rsid w:val="008A3DCF"/>
    <w:rsid w:val="008C13FD"/>
    <w:rsid w:val="008C2F70"/>
    <w:rsid w:val="008C6C2A"/>
    <w:rsid w:val="008D19DC"/>
    <w:rsid w:val="008D3F44"/>
    <w:rsid w:val="008E53CD"/>
    <w:rsid w:val="008E62F2"/>
    <w:rsid w:val="008F037F"/>
    <w:rsid w:val="009068CE"/>
    <w:rsid w:val="00914C44"/>
    <w:rsid w:val="00914F9F"/>
    <w:rsid w:val="00917585"/>
    <w:rsid w:val="009179F1"/>
    <w:rsid w:val="00920B8D"/>
    <w:rsid w:val="0092583E"/>
    <w:rsid w:val="00935C8D"/>
    <w:rsid w:val="009366CE"/>
    <w:rsid w:val="00943E8F"/>
    <w:rsid w:val="00945DE9"/>
    <w:rsid w:val="00952479"/>
    <w:rsid w:val="009615E9"/>
    <w:rsid w:val="00962E9D"/>
    <w:rsid w:val="00963176"/>
    <w:rsid w:val="00974A31"/>
    <w:rsid w:val="00982537"/>
    <w:rsid w:val="009954B2"/>
    <w:rsid w:val="009A1D81"/>
    <w:rsid w:val="009A54F2"/>
    <w:rsid w:val="009B25F3"/>
    <w:rsid w:val="009B380F"/>
    <w:rsid w:val="009C5A28"/>
    <w:rsid w:val="009D152D"/>
    <w:rsid w:val="009D15A1"/>
    <w:rsid w:val="009D34A4"/>
    <w:rsid w:val="009D7806"/>
    <w:rsid w:val="009E211A"/>
    <w:rsid w:val="009F07D6"/>
    <w:rsid w:val="009F1D5A"/>
    <w:rsid w:val="00A04B8B"/>
    <w:rsid w:val="00A1177F"/>
    <w:rsid w:val="00A139D1"/>
    <w:rsid w:val="00A13A28"/>
    <w:rsid w:val="00A15A92"/>
    <w:rsid w:val="00A210BF"/>
    <w:rsid w:val="00A3206A"/>
    <w:rsid w:val="00A33364"/>
    <w:rsid w:val="00A46BCC"/>
    <w:rsid w:val="00A55E8B"/>
    <w:rsid w:val="00A61820"/>
    <w:rsid w:val="00A7037E"/>
    <w:rsid w:val="00A77773"/>
    <w:rsid w:val="00A77EB8"/>
    <w:rsid w:val="00A96C81"/>
    <w:rsid w:val="00AA5CC4"/>
    <w:rsid w:val="00AA6AC0"/>
    <w:rsid w:val="00AB3B3A"/>
    <w:rsid w:val="00AC7DA6"/>
    <w:rsid w:val="00AF7893"/>
    <w:rsid w:val="00B02A19"/>
    <w:rsid w:val="00B07DFD"/>
    <w:rsid w:val="00B1062C"/>
    <w:rsid w:val="00B12C5C"/>
    <w:rsid w:val="00B16EDC"/>
    <w:rsid w:val="00B23CFC"/>
    <w:rsid w:val="00B35A57"/>
    <w:rsid w:val="00B40CA3"/>
    <w:rsid w:val="00B53CC3"/>
    <w:rsid w:val="00B65B4F"/>
    <w:rsid w:val="00B70D49"/>
    <w:rsid w:val="00B7483D"/>
    <w:rsid w:val="00B74886"/>
    <w:rsid w:val="00B748CB"/>
    <w:rsid w:val="00B8625F"/>
    <w:rsid w:val="00B87782"/>
    <w:rsid w:val="00B909E1"/>
    <w:rsid w:val="00B93271"/>
    <w:rsid w:val="00B949B5"/>
    <w:rsid w:val="00BA2A81"/>
    <w:rsid w:val="00BA2B9B"/>
    <w:rsid w:val="00BA34E3"/>
    <w:rsid w:val="00BA51EB"/>
    <w:rsid w:val="00BA6333"/>
    <w:rsid w:val="00BA6864"/>
    <w:rsid w:val="00BA755D"/>
    <w:rsid w:val="00BA7941"/>
    <w:rsid w:val="00BB257C"/>
    <w:rsid w:val="00BB3B01"/>
    <w:rsid w:val="00BB5484"/>
    <w:rsid w:val="00BB5FA7"/>
    <w:rsid w:val="00BC049D"/>
    <w:rsid w:val="00BC2323"/>
    <w:rsid w:val="00BD0D2A"/>
    <w:rsid w:val="00BD23A0"/>
    <w:rsid w:val="00BE1769"/>
    <w:rsid w:val="00BF4B4A"/>
    <w:rsid w:val="00BF7FB9"/>
    <w:rsid w:val="00C0141A"/>
    <w:rsid w:val="00C025F8"/>
    <w:rsid w:val="00C0439C"/>
    <w:rsid w:val="00C073AC"/>
    <w:rsid w:val="00C13441"/>
    <w:rsid w:val="00C14EBC"/>
    <w:rsid w:val="00C21CDA"/>
    <w:rsid w:val="00C23A14"/>
    <w:rsid w:val="00C24B06"/>
    <w:rsid w:val="00C308DC"/>
    <w:rsid w:val="00C326EA"/>
    <w:rsid w:val="00C33BE2"/>
    <w:rsid w:val="00C351F3"/>
    <w:rsid w:val="00C37F05"/>
    <w:rsid w:val="00C424FA"/>
    <w:rsid w:val="00C456C7"/>
    <w:rsid w:val="00C51823"/>
    <w:rsid w:val="00C56D65"/>
    <w:rsid w:val="00C63D95"/>
    <w:rsid w:val="00C70D22"/>
    <w:rsid w:val="00C717C4"/>
    <w:rsid w:val="00C7204A"/>
    <w:rsid w:val="00C80D50"/>
    <w:rsid w:val="00C83644"/>
    <w:rsid w:val="00C92A12"/>
    <w:rsid w:val="00C96DFC"/>
    <w:rsid w:val="00CA395A"/>
    <w:rsid w:val="00CB1451"/>
    <w:rsid w:val="00CB2509"/>
    <w:rsid w:val="00CB42B3"/>
    <w:rsid w:val="00CC3603"/>
    <w:rsid w:val="00CC548B"/>
    <w:rsid w:val="00CD730D"/>
    <w:rsid w:val="00CE169B"/>
    <w:rsid w:val="00CE17BB"/>
    <w:rsid w:val="00CE3124"/>
    <w:rsid w:val="00CE36D1"/>
    <w:rsid w:val="00CE7555"/>
    <w:rsid w:val="00CF5F71"/>
    <w:rsid w:val="00D00E9D"/>
    <w:rsid w:val="00D10910"/>
    <w:rsid w:val="00D10F0A"/>
    <w:rsid w:val="00D138DD"/>
    <w:rsid w:val="00D248BB"/>
    <w:rsid w:val="00D24A7C"/>
    <w:rsid w:val="00D27C45"/>
    <w:rsid w:val="00D37805"/>
    <w:rsid w:val="00D41C09"/>
    <w:rsid w:val="00D44A6E"/>
    <w:rsid w:val="00D564C0"/>
    <w:rsid w:val="00D5715A"/>
    <w:rsid w:val="00D6167A"/>
    <w:rsid w:val="00D61E95"/>
    <w:rsid w:val="00D6338D"/>
    <w:rsid w:val="00D700BE"/>
    <w:rsid w:val="00D70212"/>
    <w:rsid w:val="00D878DF"/>
    <w:rsid w:val="00D92F5A"/>
    <w:rsid w:val="00D933C3"/>
    <w:rsid w:val="00D94AB3"/>
    <w:rsid w:val="00D95B5D"/>
    <w:rsid w:val="00DA2524"/>
    <w:rsid w:val="00DA5EF3"/>
    <w:rsid w:val="00DA6A83"/>
    <w:rsid w:val="00DB4E3A"/>
    <w:rsid w:val="00DC4447"/>
    <w:rsid w:val="00DC6656"/>
    <w:rsid w:val="00DD4F18"/>
    <w:rsid w:val="00DD597C"/>
    <w:rsid w:val="00DD68A1"/>
    <w:rsid w:val="00DE64B6"/>
    <w:rsid w:val="00DF7393"/>
    <w:rsid w:val="00DF7B3D"/>
    <w:rsid w:val="00E02492"/>
    <w:rsid w:val="00E044BB"/>
    <w:rsid w:val="00E055CE"/>
    <w:rsid w:val="00E10A44"/>
    <w:rsid w:val="00E12373"/>
    <w:rsid w:val="00E16873"/>
    <w:rsid w:val="00E33891"/>
    <w:rsid w:val="00E35654"/>
    <w:rsid w:val="00E36183"/>
    <w:rsid w:val="00E445A3"/>
    <w:rsid w:val="00E46277"/>
    <w:rsid w:val="00E525AC"/>
    <w:rsid w:val="00E5279D"/>
    <w:rsid w:val="00E56C51"/>
    <w:rsid w:val="00E634DE"/>
    <w:rsid w:val="00E66387"/>
    <w:rsid w:val="00E7578B"/>
    <w:rsid w:val="00E937BC"/>
    <w:rsid w:val="00EA1001"/>
    <w:rsid w:val="00EA3512"/>
    <w:rsid w:val="00EB2CD6"/>
    <w:rsid w:val="00EB71B2"/>
    <w:rsid w:val="00EC217B"/>
    <w:rsid w:val="00ED2490"/>
    <w:rsid w:val="00ED6280"/>
    <w:rsid w:val="00ED7478"/>
    <w:rsid w:val="00EE3B82"/>
    <w:rsid w:val="00EF6906"/>
    <w:rsid w:val="00F02222"/>
    <w:rsid w:val="00F02957"/>
    <w:rsid w:val="00F03F2C"/>
    <w:rsid w:val="00F059F6"/>
    <w:rsid w:val="00F05E61"/>
    <w:rsid w:val="00F06455"/>
    <w:rsid w:val="00F06741"/>
    <w:rsid w:val="00F070F0"/>
    <w:rsid w:val="00F20FF7"/>
    <w:rsid w:val="00F216B0"/>
    <w:rsid w:val="00F2278A"/>
    <w:rsid w:val="00F26464"/>
    <w:rsid w:val="00F330D0"/>
    <w:rsid w:val="00F41356"/>
    <w:rsid w:val="00F42A05"/>
    <w:rsid w:val="00F44733"/>
    <w:rsid w:val="00F46236"/>
    <w:rsid w:val="00F46E5A"/>
    <w:rsid w:val="00F5109B"/>
    <w:rsid w:val="00F569CD"/>
    <w:rsid w:val="00F56B90"/>
    <w:rsid w:val="00F56C18"/>
    <w:rsid w:val="00F57C8A"/>
    <w:rsid w:val="00F62C4F"/>
    <w:rsid w:val="00F6397B"/>
    <w:rsid w:val="00F757DE"/>
    <w:rsid w:val="00F76752"/>
    <w:rsid w:val="00F823B4"/>
    <w:rsid w:val="00F9085E"/>
    <w:rsid w:val="00F93FFD"/>
    <w:rsid w:val="00F94A76"/>
    <w:rsid w:val="00FA296B"/>
    <w:rsid w:val="00FA31BD"/>
    <w:rsid w:val="00FA63F1"/>
    <w:rsid w:val="00FB5553"/>
    <w:rsid w:val="00FB5956"/>
    <w:rsid w:val="00FC1DCD"/>
    <w:rsid w:val="00FD1717"/>
    <w:rsid w:val="00FD42A7"/>
    <w:rsid w:val="00FD66D0"/>
    <w:rsid w:val="00FD770E"/>
    <w:rsid w:val="00FE5AB4"/>
    <w:rsid w:val="00FE7B88"/>
    <w:rsid w:val="00FF215A"/>
    <w:rsid w:val="00FF2560"/>
    <w:rsid w:val="07425891"/>
    <w:rsid w:val="286824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7E5120"/>
  <w15:docId w15:val="{EBCEA1EC-D7D9-423E-97D7-9B9B18674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2">
    <w:name w:val="heading 2"/>
    <w:basedOn w:val="a"/>
    <w:next w:val="a"/>
    <w:link w:val="20"/>
    <w:qFormat/>
    <w:pPr>
      <w:keepNext/>
      <w:keepLines/>
      <w:spacing w:before="260" w:after="260" w:line="415"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rPr>
      <w:rFonts w:ascii="等线" w:hAnsi="等线"/>
      <w:sz w:val="28"/>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basedOn w:val="a0"/>
    <w:link w:val="2"/>
    <w:qFormat/>
    <w:rPr>
      <w:rFonts w:ascii="Arial" w:eastAsia="黑体" w:hAnsi="Arial" w:cs="Times New Roman"/>
      <w:b/>
      <w:bCs/>
      <w:sz w:val="32"/>
      <w:szCs w:val="32"/>
    </w:rPr>
  </w:style>
  <w:style w:type="paragraph" w:styleId="ac">
    <w:name w:val="List Paragraph"/>
    <w:basedOn w:val="a"/>
    <w:uiPriority w:val="34"/>
    <w:qFormat/>
    <w:pPr>
      <w:ind w:firstLineChars="200" w:firstLine="420"/>
    </w:pPr>
  </w:style>
  <w:style w:type="character" w:customStyle="1" w:styleId="aa">
    <w:name w:val="页眉 字符"/>
    <w:basedOn w:val="a0"/>
    <w:link w:val="a9"/>
    <w:uiPriority w:val="99"/>
    <w:qFormat/>
    <w:rPr>
      <w:rFonts w:ascii="Times New Roman" w:eastAsia="宋体" w:hAnsi="Times New Roman" w:cs="Times New Roman"/>
      <w:sz w:val="18"/>
      <w:szCs w:val="18"/>
    </w:rPr>
  </w:style>
  <w:style w:type="character" w:customStyle="1" w:styleId="a8">
    <w:name w:val="页脚 字符"/>
    <w:basedOn w:val="a0"/>
    <w:link w:val="a7"/>
    <w:uiPriority w:val="99"/>
    <w:rPr>
      <w:rFonts w:ascii="Times New Roman" w:eastAsia="宋体" w:hAnsi="Times New Roman" w:cs="Times New Roman"/>
      <w:sz w:val="18"/>
      <w:szCs w:val="18"/>
    </w:rPr>
  </w:style>
  <w:style w:type="table" w:customStyle="1" w:styleId="11">
    <w:name w:val="无格式表格 11"/>
    <w:basedOn w:val="a1"/>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6">
    <w:name w:val="批注框文本 字符"/>
    <w:basedOn w:val="a0"/>
    <w:link w:val="a5"/>
    <w:uiPriority w:val="99"/>
    <w:semiHidden/>
    <w:rPr>
      <w:rFonts w:ascii="Times New Roman" w:eastAsia="宋体" w:hAnsi="Times New Roman" w:cs="Times New Roman"/>
      <w:sz w:val="18"/>
      <w:szCs w:val="18"/>
    </w:rPr>
  </w:style>
  <w:style w:type="table" w:customStyle="1" w:styleId="110">
    <w:name w:val="网格表 1 浅色1"/>
    <w:basedOn w:val="a1"/>
    <w:uiPriority w:val="46"/>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4">
    <w:name w:val="批注文字 字符"/>
    <w:basedOn w:val="a0"/>
    <w:link w:val="a3"/>
    <w:uiPriority w:val="99"/>
    <w:semiHidden/>
    <w:qFormat/>
    <w:rPr>
      <w:rFonts w:ascii="等线" w:eastAsia="宋体" w:hAnsi="等线"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807CD6-4028-4F53-A45C-262C04562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9</Pages>
  <Words>552</Words>
  <Characters>3148</Characters>
  <Application>Microsoft Office Word</Application>
  <DocSecurity>0</DocSecurity>
  <Lines>26</Lines>
  <Paragraphs>7</Paragraphs>
  <ScaleCrop>false</ScaleCrop>
  <Company>Microsoft</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杨希</dc:creator>
  <cp:lastModifiedBy>周昌宇</cp:lastModifiedBy>
  <cp:revision>68</cp:revision>
  <cp:lastPrinted>2024-09-26T11:31:00Z</cp:lastPrinted>
  <dcterms:created xsi:type="dcterms:W3CDTF">2024-08-27T03:59:00Z</dcterms:created>
  <dcterms:modified xsi:type="dcterms:W3CDTF">2026-09-21T11:28:00Z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B4472681092047B5B0D6D04044D900AC_12</vt:lpwstr>
  </property>
</Properties>
</file>