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322520">
      <w:pPr>
        <w:spacing w:line="560" w:lineRule="exact"/>
        <w:jc w:val="center"/>
        <w:rPr>
          <w:rFonts w:ascii="彩虹小标宋" w:hAnsi="Times New Roman" w:eastAsia="彩虹小标宋" w:cs="Times New Roman"/>
          <w:bCs/>
          <w:sz w:val="44"/>
          <w:szCs w:val="44"/>
        </w:rPr>
      </w:pPr>
      <w:r>
        <w:rPr>
          <w:rFonts w:ascii="彩虹小标宋" w:hAnsi="Times New Roman" w:eastAsia="彩虹小标宋" w:cs="Times New Roman"/>
          <w:bCs/>
          <w:sz w:val="44"/>
          <w:szCs w:val="44"/>
        </w:rPr>
        <w:t>2026-2028年全区实物营销用品</w:t>
      </w:r>
    </w:p>
    <w:p w14:paraId="74EC09EA">
      <w:pPr>
        <w:spacing w:line="560" w:lineRule="exact"/>
        <w:jc w:val="center"/>
        <w:rPr>
          <w:rFonts w:ascii="彩虹小标宋" w:hAnsi="Times New Roman" w:eastAsia="彩虹小标宋" w:cs="Times New Roman"/>
          <w:bCs/>
          <w:sz w:val="44"/>
          <w:szCs w:val="44"/>
        </w:rPr>
      </w:pPr>
      <w:r>
        <w:rPr>
          <w:rFonts w:hint="eastAsia" w:ascii="彩虹小标宋" w:hAnsi="宋体" w:eastAsia="彩虹小标宋"/>
          <w:snapToGrid w:val="0"/>
          <w:kern w:val="0"/>
          <w:sz w:val="44"/>
          <w:szCs w:val="44"/>
        </w:rPr>
        <w:t>采购需求</w:t>
      </w:r>
    </w:p>
    <w:p w14:paraId="272E0630">
      <w:pPr>
        <w:adjustRightInd w:val="0"/>
        <w:snapToGrid w:val="0"/>
        <w:spacing w:line="560" w:lineRule="exact"/>
        <w:ind w:firstLine="880" w:firstLineChars="200"/>
        <w:rPr>
          <w:rFonts w:ascii="彩虹小标宋" w:hAnsi="宋体" w:eastAsia="彩虹小标宋" w:cs="Times New Roman"/>
          <w:bCs/>
          <w:snapToGrid w:val="0"/>
          <w:color w:val="FF0000"/>
          <w:kern w:val="0"/>
          <w:sz w:val="44"/>
          <w:szCs w:val="44"/>
        </w:rPr>
      </w:pPr>
    </w:p>
    <w:p w14:paraId="7A5D1765">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一、采购内容</w:t>
      </w:r>
    </w:p>
    <w:p w14:paraId="4114784A">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该项目采购</w:t>
      </w:r>
      <w:r>
        <w:rPr>
          <w:rFonts w:ascii="彩虹粗仿宋" w:eastAsia="彩虹粗仿宋"/>
          <w:kern w:val="0"/>
          <w:sz w:val="32"/>
          <w:szCs w:val="32"/>
        </w:rPr>
        <w:t>2026-2028</w:t>
      </w:r>
      <w:r>
        <w:rPr>
          <w:rFonts w:hint="eastAsia" w:ascii="彩虹粗仿宋" w:eastAsia="彩虹粗仿宋"/>
          <w:kern w:val="0"/>
          <w:sz w:val="32"/>
          <w:szCs w:val="32"/>
        </w:rPr>
        <w:t>年建行广西区分行实物营销用品</w:t>
      </w:r>
      <w:r>
        <w:rPr>
          <w:rFonts w:hint="eastAsia" w:ascii="彩虹粗仿宋" w:hAnsi="宋体" w:eastAsia="彩虹粗仿宋" w:cs="Times New Roman"/>
          <w:snapToGrid w:val="0"/>
          <w:kern w:val="0"/>
          <w:sz w:val="32"/>
          <w:szCs w:val="32"/>
        </w:rPr>
        <w:t>，合同期限两年。</w:t>
      </w:r>
    </w:p>
    <w:p w14:paraId="4B03D21F">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二、投标人资质要求</w:t>
      </w:r>
    </w:p>
    <w:p w14:paraId="2B1BBFFD">
      <w:pPr>
        <w:pStyle w:val="2"/>
        <w:spacing w:before="1" w:line="560" w:lineRule="exact"/>
        <w:ind w:firstLine="499"/>
        <w:rPr>
          <w:rFonts w:ascii="彩虹粗仿宋" w:eastAsia="彩虹粗仿宋" w:hAnsiTheme="minorHAnsi" w:cstheme="minorBidi"/>
          <w:kern w:val="0"/>
          <w:lang w:eastAsia="zh-CN"/>
        </w:rPr>
      </w:pPr>
      <w:r>
        <w:rPr>
          <w:rFonts w:ascii="彩虹粗仿宋" w:eastAsia="彩虹粗仿宋" w:hAnsiTheme="minorHAnsi" w:cstheme="minorBidi"/>
          <w:kern w:val="0"/>
          <w:lang w:eastAsia="zh-CN"/>
        </w:rPr>
        <w:t>1</w:t>
      </w:r>
      <w:r>
        <w:rPr>
          <w:rFonts w:hint="eastAsia" w:ascii="彩虹粗仿宋" w:eastAsia="彩虹粗仿宋" w:hAnsiTheme="minorHAnsi" w:cstheme="minorBidi"/>
          <w:kern w:val="0"/>
          <w:lang w:eastAsia="zh-CN"/>
        </w:rPr>
        <w:t>.</w:t>
      </w:r>
      <w:r>
        <w:rPr>
          <w:rFonts w:ascii="彩虹粗仿宋" w:eastAsia="彩虹粗仿宋" w:hAnsiTheme="minorHAnsi" w:cstheme="minorBidi"/>
          <w:kern w:val="0"/>
          <w:lang w:eastAsia="zh-CN"/>
        </w:rPr>
        <w:t>投标人具有有效期内的《食品生产许可证》或《食品经营许可证》</w:t>
      </w:r>
      <w:r>
        <w:rPr>
          <w:rFonts w:hint="eastAsia" w:ascii="彩虹粗仿宋" w:eastAsia="彩虹粗仿宋" w:hAnsiTheme="minorHAnsi" w:cstheme="minorBidi"/>
          <w:kern w:val="0"/>
          <w:lang w:eastAsia="zh-CN"/>
        </w:rPr>
        <w:t>。</w:t>
      </w:r>
    </w:p>
    <w:p w14:paraId="38F84125">
      <w:pPr>
        <w:spacing w:line="560" w:lineRule="exact"/>
        <w:ind w:firstLine="480" w:firstLineChars="150"/>
        <w:rPr>
          <w:rFonts w:ascii="彩虹粗仿宋" w:eastAsia="彩虹粗仿宋"/>
          <w:kern w:val="0"/>
          <w:sz w:val="32"/>
          <w:szCs w:val="32"/>
        </w:rPr>
      </w:pPr>
      <w:r>
        <w:rPr>
          <w:rFonts w:hint="eastAsia" w:ascii="彩虹粗仿宋" w:eastAsia="彩虹粗仿宋"/>
          <w:kern w:val="0"/>
          <w:sz w:val="32"/>
          <w:szCs w:val="32"/>
        </w:rPr>
        <w:t>2. 投标人须提供至少一个</w:t>
      </w:r>
      <w:r>
        <w:rPr>
          <w:rFonts w:ascii="彩虹粗仿宋" w:eastAsia="彩虹粗仿宋"/>
          <w:kern w:val="0"/>
          <w:sz w:val="32"/>
          <w:szCs w:val="32"/>
        </w:rPr>
        <w:t>2024年1月1日至投标截止时间期</w:t>
      </w:r>
      <w:r>
        <w:rPr>
          <w:rFonts w:ascii="彩虹粗仿宋" w:eastAsia="彩虹粗仿宋"/>
          <w:kern w:val="0"/>
          <w:sz w:val="32"/>
          <w:szCs w:val="32"/>
          <w:highlight w:val="none"/>
        </w:rPr>
        <w:t>间开展的商品销售业绩案例，销售</w:t>
      </w:r>
      <w:r>
        <w:rPr>
          <w:rFonts w:ascii="彩虹粗仿宋" w:eastAsia="彩虹粗仿宋"/>
          <w:kern w:val="0"/>
          <w:sz w:val="32"/>
          <w:szCs w:val="32"/>
        </w:rPr>
        <w:t>商品须涵盖食品粮油、家用电器、3C数码、茶具厨具、居家布艺、清洁洗护、居家日用品等品类中的一类或多类，单个案例销售金额不低于50万元（可为合同金额或框架协议实际结算金额）。若以合同作为业绩证明，投标人须提供单项合同金额≥50万元的合同复印件</w:t>
      </w:r>
      <w:r>
        <w:rPr>
          <w:rFonts w:hint="eastAsia" w:ascii="彩虹粗仿宋" w:eastAsia="彩虹粗仿宋"/>
          <w:kern w:val="0"/>
          <w:sz w:val="32"/>
          <w:szCs w:val="32"/>
        </w:rPr>
        <w:t>并</w:t>
      </w:r>
      <w:r>
        <w:rPr>
          <w:rFonts w:ascii="彩虹粗仿宋" w:eastAsia="彩虹粗仿宋"/>
          <w:kern w:val="0"/>
          <w:sz w:val="32"/>
          <w:szCs w:val="32"/>
        </w:rPr>
        <w:t>加盖公章，合同中须体现金额；若以框架协议作为业绩证明，投标人须同时提供框架协议复印件和结算发票并加盖公章，结算发票合计金额≥50万元，关键信息清晰可辨认。</w:t>
      </w:r>
    </w:p>
    <w:p w14:paraId="2F40006B">
      <w:pPr>
        <w:spacing w:line="560" w:lineRule="exact"/>
        <w:ind w:firstLine="640" w:firstLineChars="200"/>
        <w:rPr>
          <w:rFonts w:ascii="彩虹粗仿宋" w:eastAsia="彩虹粗仿宋"/>
          <w:kern w:val="0"/>
          <w:sz w:val="32"/>
          <w:szCs w:val="32"/>
        </w:rPr>
      </w:pPr>
      <w:r>
        <w:rPr>
          <w:rFonts w:hint="eastAsia" w:ascii="彩虹黑体" w:hAnsi="宋体" w:eastAsia="彩虹黑体" w:cs="Times New Roman"/>
          <w:snapToGrid w:val="0"/>
          <w:kern w:val="0"/>
          <w:sz w:val="32"/>
          <w:szCs w:val="32"/>
        </w:rPr>
        <w:t>三、项目需求</w:t>
      </w:r>
    </w:p>
    <w:p w14:paraId="5B070A34">
      <w:pPr>
        <w:adjustRightInd w:val="0"/>
        <w:snapToGrid w:val="0"/>
        <w:spacing w:line="560" w:lineRule="exact"/>
        <w:ind w:firstLine="643" w:firstLineChars="200"/>
        <w:rPr>
          <w:rFonts w:ascii="彩虹楷体" w:eastAsia="彩虹楷体"/>
          <w:b/>
          <w:kern w:val="0"/>
          <w:sz w:val="32"/>
          <w:szCs w:val="32"/>
        </w:rPr>
      </w:pPr>
      <w:r>
        <w:rPr>
          <w:rFonts w:hint="eastAsia" w:ascii="彩虹楷体" w:eastAsia="彩虹楷体"/>
          <w:b/>
          <w:kern w:val="0"/>
          <w:sz w:val="32"/>
          <w:szCs w:val="32"/>
        </w:rPr>
        <w:t>（一）物品数量</w:t>
      </w:r>
    </w:p>
    <w:p w14:paraId="26321A3E">
      <w:pPr>
        <w:pStyle w:val="2"/>
        <w:spacing w:before="1" w:line="560" w:lineRule="exact"/>
        <w:ind w:firstLine="499"/>
        <w:rPr>
          <w:rFonts w:ascii="彩虹粗仿宋" w:eastAsia="彩虹粗仿宋" w:hAnsiTheme="minorHAnsi" w:cstheme="minorBidi"/>
          <w:kern w:val="0"/>
          <w:lang w:eastAsia="zh-CN"/>
        </w:rPr>
      </w:pPr>
      <w:r>
        <w:rPr>
          <w:rFonts w:ascii="彩虹粗仿宋" w:eastAsia="彩虹粗仿宋" w:hAnsiTheme="minorHAnsi" w:cstheme="minorBidi"/>
          <w:kern w:val="0"/>
          <w:lang w:eastAsia="zh-CN"/>
        </w:rPr>
        <w:t>招标人根据实际需求确定采购数量</w:t>
      </w:r>
      <w:r>
        <w:rPr>
          <w:rFonts w:hint="eastAsia" w:ascii="彩虹粗仿宋" w:eastAsia="彩虹粗仿宋" w:hAnsiTheme="minorHAnsi" w:cstheme="minorBidi"/>
          <w:kern w:val="0"/>
          <w:lang w:eastAsia="zh-CN"/>
        </w:rPr>
        <w:t>，</w:t>
      </w:r>
      <w:r>
        <w:rPr>
          <w:rFonts w:ascii="彩虹粗仿宋" w:eastAsia="彩虹粗仿宋" w:hAnsiTheme="minorHAnsi" w:cstheme="minorBidi"/>
          <w:kern w:val="0"/>
          <w:lang w:eastAsia="zh-CN"/>
        </w:rPr>
        <w:t>清单内</w:t>
      </w:r>
      <w:r>
        <w:rPr>
          <w:rFonts w:hint="eastAsia" w:ascii="彩虹粗仿宋" w:eastAsia="彩虹粗仿宋" w:hAnsiTheme="minorHAnsi" w:cstheme="minorBidi"/>
          <w:kern w:val="0"/>
          <w:lang w:eastAsia="zh-CN"/>
        </w:rPr>
        <w:t>商品</w:t>
      </w:r>
      <w:r>
        <w:rPr>
          <w:rFonts w:ascii="彩虹粗仿宋" w:eastAsia="彩虹粗仿宋" w:hAnsiTheme="minorHAnsi" w:cstheme="minorBidi"/>
          <w:kern w:val="0"/>
          <w:lang w:eastAsia="zh-CN"/>
        </w:rPr>
        <w:t>数量详见附件</w:t>
      </w:r>
      <w:r>
        <w:rPr>
          <w:rFonts w:hint="eastAsia" w:ascii="彩虹粗仿宋" w:eastAsia="彩虹粗仿宋" w:hAnsiTheme="minorHAnsi" w:cstheme="minorBidi"/>
          <w:kern w:val="0"/>
          <w:lang w:eastAsia="zh-CN"/>
        </w:rPr>
        <w:t>1《清单内商品明细表》</w:t>
      </w:r>
      <w:r>
        <w:rPr>
          <w:rFonts w:ascii="彩虹粗仿宋" w:eastAsia="彩虹粗仿宋" w:hAnsiTheme="minorHAnsi" w:cstheme="minorBidi"/>
          <w:kern w:val="0"/>
          <w:lang w:eastAsia="zh-CN"/>
        </w:rPr>
        <w:t>。招标人不对本项目采购数量做任何承诺，最终</w:t>
      </w:r>
      <w:r>
        <w:rPr>
          <w:rFonts w:hint="eastAsia" w:ascii="彩虹粗仿宋" w:eastAsia="彩虹粗仿宋" w:hAnsiTheme="minorHAnsi" w:cstheme="minorBidi"/>
          <w:kern w:val="0"/>
          <w:lang w:eastAsia="zh-CN"/>
        </w:rPr>
        <w:t>据</w:t>
      </w:r>
      <w:r>
        <w:rPr>
          <w:rFonts w:ascii="彩虹粗仿宋" w:eastAsia="彩虹粗仿宋" w:hAnsiTheme="minorHAnsi" w:cstheme="minorBidi"/>
          <w:kern w:val="0"/>
          <w:lang w:eastAsia="zh-CN"/>
        </w:rPr>
        <w:t>实结算。</w:t>
      </w:r>
    </w:p>
    <w:p w14:paraId="0692B27D">
      <w:pPr>
        <w:tabs>
          <w:tab w:val="left" w:pos="312"/>
        </w:tabs>
        <w:adjustRightInd w:val="0"/>
        <w:snapToGrid w:val="0"/>
        <w:spacing w:line="560" w:lineRule="exact"/>
        <w:ind w:firstLine="643" w:firstLineChars="200"/>
        <w:rPr>
          <w:rFonts w:ascii="彩虹楷体" w:hAnsi="宋体" w:eastAsia="彩虹楷体"/>
          <w:b/>
          <w:snapToGrid w:val="0"/>
          <w:kern w:val="0"/>
          <w:sz w:val="32"/>
          <w:szCs w:val="32"/>
        </w:rPr>
      </w:pPr>
      <w:r>
        <w:rPr>
          <w:rFonts w:hint="eastAsia" w:ascii="彩虹楷体" w:hAnsi="宋体" w:eastAsia="彩虹楷体"/>
          <w:b/>
          <w:snapToGrid w:val="0"/>
          <w:kern w:val="0"/>
          <w:sz w:val="32"/>
          <w:szCs w:val="32"/>
        </w:rPr>
        <w:t>（二）服务要求</w:t>
      </w:r>
    </w:p>
    <w:p w14:paraId="449FF7B9">
      <w:pPr>
        <w:pStyle w:val="2"/>
        <w:spacing w:before="1" w:line="560" w:lineRule="exact"/>
        <w:ind w:firstLine="499"/>
        <w:rPr>
          <w:rFonts w:ascii="彩虹粗仿宋" w:hAnsi="宋体" w:eastAsia="彩虹粗仿宋" w:cstheme="minorBidi"/>
          <w:b/>
          <w:snapToGrid w:val="0"/>
          <w:kern w:val="0"/>
          <w:lang w:eastAsia="zh-CN"/>
        </w:rPr>
      </w:pPr>
      <w:r>
        <w:rPr>
          <w:rFonts w:ascii="彩虹粗仿宋" w:hAnsi="宋体" w:eastAsia="彩虹粗仿宋" w:cstheme="minorBidi"/>
          <w:b/>
          <w:snapToGrid w:val="0"/>
          <w:kern w:val="0"/>
          <w:lang w:eastAsia="zh-CN"/>
        </w:rPr>
        <w:t>1.商品质量及相关管理要求</w:t>
      </w:r>
    </w:p>
    <w:p w14:paraId="0C2695B9">
      <w:pPr>
        <w:pStyle w:val="2"/>
        <w:spacing w:before="1" w:line="560" w:lineRule="exact"/>
        <w:ind w:firstLine="499"/>
        <w:rPr>
          <w:rFonts w:ascii="彩虹粗仿宋" w:hAnsi="宋体" w:eastAsia="彩虹粗仿宋" w:cstheme="minorBidi"/>
          <w:snapToGrid w:val="0"/>
          <w:kern w:val="0"/>
          <w:lang w:eastAsia="zh-CN"/>
        </w:rPr>
      </w:pPr>
      <w:r>
        <w:rPr>
          <w:rFonts w:hint="eastAsia" w:ascii="彩虹粗仿宋" w:hAnsi="宋体" w:eastAsia="彩虹粗仿宋" w:cstheme="minorBidi"/>
          <w:snapToGrid w:val="0"/>
          <w:kern w:val="0"/>
          <w:lang w:eastAsia="zh-CN"/>
        </w:rPr>
        <w:t>（</w:t>
      </w:r>
      <w:r>
        <w:rPr>
          <w:rFonts w:ascii="彩虹粗仿宋" w:hAnsi="宋体" w:eastAsia="彩虹粗仿宋" w:cstheme="minorBidi"/>
          <w:snapToGrid w:val="0"/>
          <w:kern w:val="0"/>
          <w:lang w:eastAsia="zh-CN"/>
        </w:rPr>
        <w:t>1）物品质量要求：产品应是全新、未使用过的原装合格正品，品牌、型号、各项参数完全符合产品质量国家和行业标准，属“三包”范围内的商品。不可提供假冒伪劣商品，对于残次品需协助退换，满足招标人各项要求。</w:t>
      </w:r>
    </w:p>
    <w:p w14:paraId="482C130F">
      <w:pPr>
        <w:pStyle w:val="2"/>
        <w:spacing w:before="1" w:line="560" w:lineRule="exact"/>
        <w:ind w:firstLine="499"/>
        <w:rPr>
          <w:rFonts w:ascii="彩虹粗仿宋" w:hAnsi="宋体" w:eastAsia="彩虹粗仿宋" w:cstheme="minorBidi"/>
          <w:snapToGrid w:val="0"/>
          <w:kern w:val="0"/>
          <w:lang w:eastAsia="zh-CN"/>
        </w:rPr>
      </w:pPr>
      <w:r>
        <w:rPr>
          <w:rFonts w:hint="eastAsia" w:ascii="彩虹粗仿宋" w:hAnsi="宋体" w:eastAsia="彩虹粗仿宋" w:cstheme="minorBidi"/>
          <w:snapToGrid w:val="0"/>
          <w:kern w:val="0"/>
          <w:lang w:eastAsia="zh-CN"/>
        </w:rPr>
        <w:t>（</w:t>
      </w:r>
      <w:r>
        <w:rPr>
          <w:rFonts w:ascii="彩虹粗仿宋" w:hAnsi="宋体" w:eastAsia="彩虹粗仿宋" w:cstheme="minorBidi"/>
          <w:snapToGrid w:val="0"/>
          <w:kern w:val="0"/>
          <w:lang w:eastAsia="zh-CN"/>
        </w:rPr>
        <w:t>2）投标人提供的产品和服务(包括但不限于运输、供货、售后服务),造成建行或其他第三人的人身、财产损害的，投标人应承担赔偿责任。</w:t>
      </w:r>
    </w:p>
    <w:p w14:paraId="7FC68743">
      <w:pPr>
        <w:pStyle w:val="2"/>
        <w:spacing w:before="1" w:line="560" w:lineRule="exact"/>
        <w:ind w:firstLine="499"/>
        <w:rPr>
          <w:rFonts w:ascii="彩虹粗仿宋" w:hAnsi="宋体" w:eastAsia="彩虹粗仿宋" w:cstheme="minorBidi"/>
          <w:snapToGrid w:val="0"/>
          <w:kern w:val="0"/>
          <w:lang w:eastAsia="zh-CN"/>
        </w:rPr>
      </w:pPr>
      <w:r>
        <w:rPr>
          <w:rFonts w:hint="eastAsia" w:ascii="彩虹粗仿宋" w:hAnsi="宋体" w:eastAsia="彩虹粗仿宋" w:cstheme="minorBidi"/>
          <w:snapToGrid w:val="0"/>
          <w:kern w:val="0"/>
          <w:lang w:eastAsia="zh-CN"/>
        </w:rPr>
        <w:t>（</w:t>
      </w:r>
      <w:r>
        <w:rPr>
          <w:rFonts w:ascii="彩虹粗仿宋" w:hAnsi="宋体" w:eastAsia="彩虹粗仿宋" w:cstheme="minorBidi"/>
          <w:snapToGrid w:val="0"/>
          <w:kern w:val="0"/>
          <w:lang w:eastAsia="zh-CN"/>
        </w:rPr>
        <w:t>3）产品的包装均应有良好的防湿、防潮、防雨、防腐及防碰撞的措施。凡由于包装不良造成的损失和由此产生的费用均由投标人承担。</w:t>
      </w:r>
    </w:p>
    <w:p w14:paraId="65095229">
      <w:pPr>
        <w:pStyle w:val="2"/>
        <w:spacing w:before="1" w:line="560" w:lineRule="exact"/>
        <w:ind w:firstLine="499"/>
        <w:rPr>
          <w:rFonts w:ascii="彩虹粗仿宋" w:hAnsi="宋体" w:eastAsia="彩虹粗仿宋" w:cstheme="minorBidi"/>
          <w:snapToGrid w:val="0"/>
          <w:kern w:val="0"/>
          <w:lang w:eastAsia="zh-CN"/>
        </w:rPr>
      </w:pPr>
      <w:r>
        <w:rPr>
          <w:rFonts w:hint="eastAsia" w:ascii="彩虹粗仿宋" w:hAnsi="宋体" w:eastAsia="彩虹粗仿宋" w:cstheme="minorBidi"/>
          <w:snapToGrid w:val="0"/>
          <w:kern w:val="0"/>
          <w:lang w:eastAsia="zh-CN"/>
        </w:rPr>
        <w:t>（</w:t>
      </w:r>
      <w:r>
        <w:rPr>
          <w:rFonts w:ascii="彩虹粗仿宋" w:hAnsi="宋体" w:eastAsia="彩虹粗仿宋" w:cstheme="minorBidi"/>
          <w:snapToGrid w:val="0"/>
          <w:kern w:val="0"/>
          <w:lang w:eastAsia="zh-CN"/>
        </w:rPr>
        <w:t>4）对于食品类产品，应符合相关食品安全卫生要求。不得提供腐烂变质、霉变、混有异物或其他感官性状异常，含有毒、有害物质污染，可能对人体健康有害的食品。对于有保质期的产品，享有保质期内的质量保证，收货日期距生产日期的时间不得超过质保期的三分之一且粮油类商品收货日期距生产日期不得超过3个月，保质期内如产品出现任何质量问题，投标人应无条件更换或退货。因所供应食品的质量问题引起食物中毒等食源性疾病的发生或其他事故由中标人负全部责任，并承担由此而因此的全部经济损失。</w:t>
      </w:r>
    </w:p>
    <w:p w14:paraId="0BC087A2">
      <w:pPr>
        <w:pStyle w:val="2"/>
        <w:spacing w:before="1" w:line="560" w:lineRule="exact"/>
        <w:ind w:firstLine="499"/>
        <w:rPr>
          <w:rFonts w:ascii="彩虹粗仿宋" w:hAnsi="宋体" w:eastAsia="彩虹粗仿宋" w:cstheme="minorBidi"/>
          <w:snapToGrid w:val="0"/>
          <w:kern w:val="0"/>
          <w:lang w:eastAsia="zh-CN"/>
        </w:rPr>
      </w:pPr>
      <w:r>
        <w:rPr>
          <w:rFonts w:hint="eastAsia" w:ascii="彩虹粗仿宋" w:hAnsi="宋体" w:eastAsia="彩虹粗仿宋" w:cstheme="minorBidi"/>
          <w:snapToGrid w:val="0"/>
          <w:kern w:val="0"/>
          <w:lang w:eastAsia="zh-CN"/>
        </w:rPr>
        <w:t>（</w:t>
      </w:r>
      <w:r>
        <w:rPr>
          <w:rFonts w:ascii="彩虹粗仿宋" w:hAnsi="宋体" w:eastAsia="彩虹粗仿宋" w:cstheme="minorBidi"/>
          <w:snapToGrid w:val="0"/>
          <w:kern w:val="0"/>
          <w:lang w:eastAsia="zh-CN"/>
        </w:rPr>
        <w:t>5）对于电器类、3c数码类产品，招标人享有为期至少1年的质量保证期(所投产品原厂商提供的质量保证期如果高于1年，则质量保证期按照孰高者执行),该期限自产品验收合格之日(对于还需要进行加电测试、安装调试服务的，应自所有相应服务完成并验收合格之日)起开始计算。产品的收货日期距生产日期的时间不得超过一年，质量保证期内如产品出现任何质量问题，招标人有权要求中标人予以无条件维修、更换或退货。</w:t>
      </w:r>
    </w:p>
    <w:p w14:paraId="6D4672DD">
      <w:pPr>
        <w:pStyle w:val="2"/>
        <w:spacing w:before="1" w:line="560" w:lineRule="exact"/>
        <w:ind w:firstLine="499"/>
        <w:rPr>
          <w:rFonts w:ascii="彩虹粗仿宋" w:hAnsi="宋体" w:eastAsia="彩虹粗仿宋" w:cstheme="minorBidi"/>
          <w:b/>
          <w:snapToGrid w:val="0"/>
          <w:kern w:val="0"/>
          <w:lang w:eastAsia="zh-CN"/>
        </w:rPr>
      </w:pPr>
      <w:r>
        <w:rPr>
          <w:rFonts w:ascii="彩虹粗仿宋" w:hAnsi="宋体" w:eastAsia="彩虹粗仿宋" w:cstheme="minorBidi"/>
          <w:b/>
          <w:snapToGrid w:val="0"/>
          <w:kern w:val="0"/>
          <w:lang w:eastAsia="zh-CN"/>
        </w:rPr>
        <w:t>2.下单要求</w:t>
      </w:r>
    </w:p>
    <w:p w14:paraId="00E0D779">
      <w:pPr>
        <w:pStyle w:val="2"/>
        <w:spacing w:before="1" w:line="560" w:lineRule="exact"/>
        <w:ind w:firstLine="499"/>
        <w:rPr>
          <w:rFonts w:ascii="彩虹粗仿宋" w:hAnsi="宋体" w:eastAsia="彩虹粗仿宋" w:cstheme="minorBidi"/>
          <w:snapToGrid w:val="0"/>
          <w:kern w:val="0"/>
          <w:lang w:eastAsia="zh-CN"/>
        </w:rPr>
      </w:pPr>
      <w:r>
        <w:rPr>
          <w:rFonts w:hint="eastAsia" w:ascii="彩虹粗仿宋" w:hAnsi="宋体" w:eastAsia="彩虹粗仿宋" w:cstheme="minorBidi"/>
          <w:snapToGrid w:val="0"/>
          <w:kern w:val="0"/>
          <w:lang w:eastAsia="zh-CN"/>
        </w:rPr>
        <w:t>（</w:t>
      </w:r>
      <w:r>
        <w:rPr>
          <w:rFonts w:ascii="彩虹粗仿宋" w:hAnsi="宋体" w:eastAsia="彩虹粗仿宋" w:cstheme="minorBidi"/>
          <w:snapToGrid w:val="0"/>
          <w:kern w:val="0"/>
          <w:lang w:eastAsia="zh-CN"/>
        </w:rPr>
        <w:t>1）投标人在招标人下单之日起7个自然日内通过物流方式将产品安全运至招标人指定交货地点，如遇紧急采购需求，供应商应在我行下单后3个自然日内送达。相关收发货物流记录(面单或其他发货证明材料)需随时应招标人要求，提供招标人核对，收发货物流记录从发货之日起至少保留两年。投标人承诺保证配送商品的物流信息的完整性和真实性，物流信息必须体现出发货仓库、配送人员及联系方式，确保发货验收流程的规范和可追溯。产品运输、包装、装卸及运输保险费用由投标人承担，产品在所有权转移给招标人前的全部风险由投标人承担。</w:t>
      </w:r>
    </w:p>
    <w:p w14:paraId="3BE954FC">
      <w:pPr>
        <w:pStyle w:val="2"/>
        <w:spacing w:before="1" w:line="560" w:lineRule="exact"/>
        <w:ind w:firstLine="499"/>
        <w:rPr>
          <w:rFonts w:ascii="彩虹粗仿宋" w:hAnsi="宋体" w:eastAsia="彩虹粗仿宋" w:cstheme="minorBidi"/>
          <w:snapToGrid w:val="0"/>
          <w:kern w:val="0"/>
          <w:lang w:eastAsia="zh-CN"/>
        </w:rPr>
      </w:pPr>
      <w:r>
        <w:rPr>
          <w:rFonts w:hint="eastAsia" w:ascii="彩虹粗仿宋" w:hAnsi="宋体" w:eastAsia="彩虹粗仿宋" w:cstheme="minorBidi"/>
          <w:snapToGrid w:val="0"/>
          <w:kern w:val="0"/>
          <w:lang w:eastAsia="zh-CN"/>
        </w:rPr>
        <w:t>（</w:t>
      </w:r>
      <w:r>
        <w:rPr>
          <w:rFonts w:ascii="彩虹粗仿宋" w:hAnsi="宋体" w:eastAsia="彩虹粗仿宋" w:cstheme="minorBidi"/>
          <w:snapToGrid w:val="0"/>
          <w:kern w:val="0"/>
          <w:lang w:eastAsia="zh-CN"/>
        </w:rPr>
        <w:t>2）配送地点覆盖全部二级分行、县支行、网点等，如有特殊要求，供应商应按照招标人指定地点交货，包括但不限于运送至库房或搬运上楼等。</w:t>
      </w:r>
    </w:p>
    <w:p w14:paraId="75E4A37A">
      <w:pPr>
        <w:pStyle w:val="2"/>
        <w:spacing w:before="1" w:line="560" w:lineRule="exact"/>
        <w:ind w:firstLine="499"/>
        <w:rPr>
          <w:rFonts w:ascii="彩虹粗仿宋" w:hAnsi="宋体" w:eastAsia="彩虹粗仿宋" w:cstheme="minorBidi"/>
          <w:snapToGrid w:val="0"/>
          <w:kern w:val="0"/>
          <w:lang w:eastAsia="zh-CN"/>
        </w:rPr>
      </w:pPr>
      <w:r>
        <w:rPr>
          <w:rFonts w:hint="eastAsia" w:ascii="彩虹粗仿宋" w:hAnsi="宋体" w:eastAsia="彩虹粗仿宋" w:cstheme="minorBidi"/>
          <w:snapToGrid w:val="0"/>
          <w:kern w:val="0"/>
          <w:lang w:eastAsia="zh-CN"/>
        </w:rPr>
        <w:t>（</w:t>
      </w:r>
      <w:r>
        <w:rPr>
          <w:rFonts w:ascii="彩虹粗仿宋" w:hAnsi="宋体" w:eastAsia="彩虹粗仿宋" w:cstheme="minorBidi"/>
          <w:snapToGrid w:val="0"/>
          <w:kern w:val="0"/>
          <w:lang w:eastAsia="zh-CN"/>
        </w:rPr>
        <w:t>3）投标人对于招标人临时、紧急或短期大批量</w:t>
      </w:r>
      <w:r>
        <w:rPr>
          <w:rFonts w:hint="eastAsia" w:ascii="彩虹粗仿宋" w:hAnsi="宋体" w:eastAsia="彩虹粗仿宋" w:cstheme="minorBidi"/>
          <w:snapToGrid w:val="0"/>
          <w:kern w:val="0"/>
          <w:lang w:eastAsia="zh-CN"/>
        </w:rPr>
        <w:t>商品</w:t>
      </w:r>
      <w:r>
        <w:rPr>
          <w:rFonts w:ascii="彩虹粗仿宋" w:hAnsi="宋体" w:eastAsia="彩虹粗仿宋" w:cstheme="minorBidi"/>
          <w:snapToGrid w:val="0"/>
          <w:kern w:val="0"/>
          <w:lang w:eastAsia="zh-CN"/>
        </w:rPr>
        <w:t>的需求以及招标人所需商品缺货等情况，在发生不可抗力或人为事故时，能够在1小时内通知招标人并提供解决方案，保障招标人各单位及部门的采购需求。</w:t>
      </w:r>
    </w:p>
    <w:p w14:paraId="14B12CED">
      <w:pPr>
        <w:pStyle w:val="2"/>
        <w:spacing w:before="1" w:line="560" w:lineRule="exact"/>
        <w:ind w:firstLine="499"/>
        <w:rPr>
          <w:rFonts w:ascii="彩虹粗仿宋" w:hAnsi="宋体" w:eastAsia="彩虹粗仿宋" w:cstheme="minorBidi"/>
          <w:snapToGrid w:val="0"/>
          <w:kern w:val="0"/>
          <w:lang w:eastAsia="zh-CN"/>
        </w:rPr>
      </w:pPr>
      <w:r>
        <w:rPr>
          <w:rFonts w:hint="eastAsia" w:ascii="彩虹粗仿宋" w:hAnsi="宋体" w:eastAsia="彩虹粗仿宋" w:cstheme="minorBidi"/>
          <w:snapToGrid w:val="0"/>
          <w:kern w:val="0"/>
          <w:lang w:eastAsia="zh-CN"/>
        </w:rPr>
        <w:t>（</w:t>
      </w:r>
      <w:r>
        <w:rPr>
          <w:rFonts w:ascii="彩虹粗仿宋" w:hAnsi="宋体" w:eastAsia="彩虹粗仿宋" w:cstheme="minorBidi"/>
          <w:snapToGrid w:val="0"/>
          <w:kern w:val="0"/>
          <w:lang w:eastAsia="zh-CN"/>
        </w:rPr>
        <w:t>4）根据招标人营销用品管理规定，不得上架烟酒类、月饼以及所有违反“四风八规”的商品。</w:t>
      </w:r>
    </w:p>
    <w:p w14:paraId="63CCF233">
      <w:pPr>
        <w:pStyle w:val="2"/>
        <w:spacing w:before="1" w:line="560" w:lineRule="exact"/>
        <w:ind w:firstLine="499"/>
        <w:rPr>
          <w:rFonts w:ascii="彩虹粗仿宋" w:hAnsi="宋体" w:eastAsia="彩虹粗仿宋" w:cstheme="minorBidi"/>
          <w:b/>
          <w:snapToGrid w:val="0"/>
          <w:kern w:val="0"/>
          <w:lang w:eastAsia="zh-CN"/>
        </w:rPr>
      </w:pPr>
      <w:r>
        <w:rPr>
          <w:rFonts w:ascii="彩虹粗仿宋" w:hAnsi="宋体" w:eastAsia="彩虹粗仿宋" w:cstheme="minorBidi"/>
          <w:b/>
          <w:snapToGrid w:val="0"/>
          <w:kern w:val="0"/>
          <w:lang w:eastAsia="zh-CN"/>
        </w:rPr>
        <w:t>3.验收要求</w:t>
      </w:r>
    </w:p>
    <w:p w14:paraId="2EB0EFA7">
      <w:pPr>
        <w:pStyle w:val="2"/>
        <w:spacing w:before="1" w:line="560" w:lineRule="exact"/>
        <w:ind w:firstLine="499"/>
        <w:rPr>
          <w:rFonts w:ascii="彩虹粗仿宋" w:hAnsi="宋体" w:eastAsia="彩虹粗仿宋" w:cstheme="minorBidi"/>
          <w:snapToGrid w:val="0"/>
          <w:kern w:val="0"/>
          <w:lang w:eastAsia="zh-CN"/>
        </w:rPr>
      </w:pPr>
      <w:r>
        <w:rPr>
          <w:rFonts w:hint="eastAsia" w:ascii="彩虹粗仿宋" w:hAnsi="宋体" w:eastAsia="彩虹粗仿宋" w:cstheme="minorBidi"/>
          <w:snapToGrid w:val="0"/>
          <w:kern w:val="0"/>
          <w:lang w:eastAsia="zh-CN"/>
        </w:rPr>
        <w:t>在验收过程中，因交付货物的部分或全部不符合本合同约定的数量、质量标准，外观变形、配件缺失及未达到招标人技术需求等情形，投标人应按招标人要求在</w:t>
      </w:r>
      <w:r>
        <w:rPr>
          <w:rFonts w:ascii="彩虹粗仿宋" w:hAnsi="宋体" w:eastAsia="彩虹粗仿宋" w:cstheme="minorBidi"/>
          <w:snapToGrid w:val="0"/>
          <w:kern w:val="0"/>
          <w:lang w:eastAsia="zh-CN"/>
        </w:rPr>
        <w:t>7个自然日内更换、补齐，确保所交付的货物完好无损。否则招标人可以拒绝接受该货物或解除本合同，由此给招标人造成的损失由投标人赔偿。</w:t>
      </w:r>
    </w:p>
    <w:p w14:paraId="6F0A045C">
      <w:pPr>
        <w:pStyle w:val="2"/>
        <w:spacing w:before="1" w:line="560" w:lineRule="exact"/>
        <w:ind w:firstLine="499"/>
        <w:rPr>
          <w:rFonts w:ascii="彩虹粗仿宋" w:hAnsi="宋体" w:eastAsia="彩虹粗仿宋" w:cstheme="minorBidi"/>
          <w:b/>
          <w:snapToGrid w:val="0"/>
          <w:kern w:val="0"/>
          <w:lang w:eastAsia="zh-CN"/>
        </w:rPr>
      </w:pPr>
      <w:r>
        <w:rPr>
          <w:rFonts w:ascii="彩虹粗仿宋" w:hAnsi="宋体" w:eastAsia="彩虹粗仿宋" w:cstheme="minorBidi"/>
          <w:b/>
          <w:snapToGrid w:val="0"/>
          <w:kern w:val="0"/>
          <w:lang w:eastAsia="zh-CN"/>
        </w:rPr>
        <w:t>4.售后服务要求</w:t>
      </w:r>
    </w:p>
    <w:p w14:paraId="2C48AC49">
      <w:pPr>
        <w:pStyle w:val="2"/>
        <w:spacing w:before="1" w:line="560" w:lineRule="exact"/>
        <w:ind w:firstLine="499"/>
        <w:rPr>
          <w:rFonts w:ascii="彩虹粗仿宋" w:hAnsi="宋体" w:eastAsia="彩虹粗仿宋" w:cstheme="minorBidi"/>
          <w:snapToGrid w:val="0"/>
          <w:kern w:val="0"/>
          <w:lang w:eastAsia="zh-CN"/>
        </w:rPr>
      </w:pPr>
      <w:r>
        <w:rPr>
          <w:rFonts w:hint="eastAsia" w:ascii="彩虹粗仿宋" w:hAnsi="宋体" w:eastAsia="彩虹粗仿宋" w:cstheme="minorBidi"/>
          <w:snapToGrid w:val="0"/>
          <w:kern w:val="0"/>
          <w:lang w:eastAsia="zh-CN"/>
        </w:rPr>
        <w:t>（</w:t>
      </w:r>
      <w:r>
        <w:rPr>
          <w:rFonts w:ascii="彩虹粗仿宋" w:hAnsi="宋体" w:eastAsia="彩虹粗仿宋" w:cstheme="minorBidi"/>
          <w:snapToGrid w:val="0"/>
          <w:kern w:val="0"/>
          <w:lang w:eastAsia="zh-CN"/>
        </w:rPr>
        <w:t>1）在验收过程中，因交付货物的部分或全部不符合本合同约定的数量、质量标准，外观变形、配件缺失及未达到招标人技术需求等情形，投标人应按招标人要求在7个自然日内更换、补齐，确保所交付的货物完好无损。否则招标人可以拒绝接受该货物或解除本合同，由此给招标人造成的损失由投标人赔偿。</w:t>
      </w:r>
    </w:p>
    <w:p w14:paraId="06044F08">
      <w:pPr>
        <w:pStyle w:val="2"/>
        <w:spacing w:before="1" w:line="560" w:lineRule="exact"/>
        <w:ind w:firstLine="499"/>
        <w:rPr>
          <w:rFonts w:ascii="彩虹粗仿宋" w:hAnsi="宋体" w:eastAsia="彩虹粗仿宋" w:cstheme="minorBidi"/>
          <w:snapToGrid w:val="0"/>
          <w:kern w:val="0"/>
          <w:lang w:eastAsia="zh-CN"/>
        </w:rPr>
      </w:pPr>
      <w:r>
        <w:rPr>
          <w:rFonts w:hint="eastAsia" w:ascii="彩虹粗仿宋" w:hAnsi="宋体" w:eastAsia="彩虹粗仿宋" w:cstheme="minorBidi"/>
          <w:snapToGrid w:val="0"/>
          <w:kern w:val="0"/>
          <w:lang w:eastAsia="zh-CN"/>
        </w:rPr>
        <w:t>（</w:t>
      </w:r>
      <w:r>
        <w:rPr>
          <w:rFonts w:ascii="彩虹粗仿宋" w:hAnsi="宋体" w:eastAsia="彩虹粗仿宋" w:cstheme="minorBidi"/>
          <w:snapToGrid w:val="0"/>
          <w:kern w:val="0"/>
          <w:lang w:eastAsia="zh-CN"/>
        </w:rPr>
        <w:t>2）无理由退换货要求：招标人购买商品，因招标人原因导致多买、错买的，在原包装及配件完好，不影响再次销售的情况下，7个自然日内，招标人可无条件进行退换货，由中标人承担运输费用。</w:t>
      </w:r>
    </w:p>
    <w:p w14:paraId="313D9C56">
      <w:pPr>
        <w:pStyle w:val="2"/>
        <w:spacing w:before="1" w:line="560" w:lineRule="exact"/>
        <w:ind w:firstLine="499"/>
        <w:rPr>
          <w:rFonts w:ascii="彩虹粗仿宋" w:hAnsi="宋体" w:eastAsia="彩虹粗仿宋" w:cstheme="minorBidi"/>
          <w:b/>
          <w:snapToGrid w:val="0"/>
          <w:kern w:val="0"/>
          <w:lang w:eastAsia="zh-CN"/>
        </w:rPr>
      </w:pPr>
      <w:r>
        <w:rPr>
          <w:rFonts w:ascii="彩虹粗仿宋" w:hAnsi="宋体" w:eastAsia="彩虹粗仿宋" w:cstheme="minorBidi"/>
          <w:b/>
          <w:snapToGrid w:val="0"/>
          <w:kern w:val="0"/>
          <w:lang w:eastAsia="zh-CN"/>
        </w:rPr>
        <w:t>5.知识产权要求</w:t>
      </w:r>
    </w:p>
    <w:p w14:paraId="6D8B1D6D">
      <w:pPr>
        <w:pStyle w:val="2"/>
        <w:spacing w:before="1" w:line="560" w:lineRule="exact"/>
        <w:ind w:firstLine="499"/>
        <w:rPr>
          <w:rFonts w:ascii="彩虹粗仿宋" w:hAnsi="宋体" w:eastAsia="彩虹粗仿宋" w:cstheme="minorBidi"/>
          <w:snapToGrid w:val="0"/>
          <w:kern w:val="0"/>
          <w:lang w:eastAsia="zh-CN"/>
        </w:rPr>
      </w:pPr>
      <w:r>
        <w:rPr>
          <w:rFonts w:hint="eastAsia" w:ascii="彩虹粗仿宋" w:hAnsi="宋体" w:eastAsia="彩虹粗仿宋" w:cstheme="minorBidi"/>
          <w:snapToGrid w:val="0"/>
          <w:kern w:val="0"/>
          <w:lang w:eastAsia="zh-CN"/>
        </w:rPr>
        <w:t>供应商保证所提供的产品或服务（无论供应商是否为该产品或服务的原厂商）不存在任何侵犯第三方知识产权的情形。如果第三方声称供应商向我行提供的产品或服务侵犯其知识产权，并已就此对我行或供应商提起（包括威胁提起或很可能提起）法律诉讼程序或知识产权行政执法程序（简称侵权诉讼），则知悉上述事项的一方应立即通知合同对方，我行有权：（</w:t>
      </w:r>
      <w:r>
        <w:rPr>
          <w:rFonts w:ascii="彩虹粗仿宋" w:hAnsi="宋体" w:eastAsia="彩虹粗仿宋" w:cstheme="minorBidi"/>
          <w:snapToGrid w:val="0"/>
          <w:kern w:val="0"/>
          <w:lang w:eastAsia="zh-CN"/>
        </w:rPr>
        <w:t>1）暂停履行对侵权诉讼所涉产品或服务的采购或支付义务直至侵权诉讼完全解决，并要求供应商自担费用向我行提供与该第三方协商、诉讼、和解所需的一切协助（包括但不限于向我行提供证明侵权不存在的各类证据</w:t>
      </w:r>
      <w:r>
        <w:rPr>
          <w:rFonts w:hint="eastAsia" w:ascii="彩虹粗仿宋" w:hAnsi="宋体" w:eastAsia="彩虹粗仿宋" w:cstheme="minorBidi"/>
          <w:snapToGrid w:val="0"/>
          <w:kern w:val="0"/>
          <w:lang w:eastAsia="zh-CN"/>
        </w:rPr>
        <w:t>、派出人员参加协商、诉讼或会谈等）；且（</w:t>
      </w:r>
      <w:r>
        <w:rPr>
          <w:rFonts w:ascii="彩虹粗仿宋" w:hAnsi="宋体" w:eastAsia="彩虹粗仿宋" w:cstheme="minorBidi"/>
          <w:snapToGrid w:val="0"/>
          <w:kern w:val="0"/>
          <w:lang w:eastAsia="zh-CN"/>
        </w:rPr>
        <w:t>2）我行有权选择与该第三方达成和解，并由供应商支付和解协议所约定的全部费用以及我行因侵权诉讼而遭受的全部损失或费用（包括但不限于诉讼/仲裁费、律师费、交通费、通讯费、差旅费、对第三方的损害赔偿金、行政处罚罚款、获取该产品或服务相应使用许可的费用、因停止使用或修改、替换侵权威胁所涉及的产品或服务而遭受的损失等）。如果我行选择继续参加侵权诉讼法律程序，供应商应当赔偿我行因侵权诉讼及履行生效法律裁判而需支付的费用或遭受的损失，但生效法律裁判认定供应商提供的产品或服务不存在侵</w:t>
      </w:r>
      <w:r>
        <w:rPr>
          <w:rFonts w:hint="eastAsia" w:ascii="彩虹粗仿宋" w:hAnsi="宋体" w:eastAsia="彩虹粗仿宋" w:cstheme="minorBidi"/>
          <w:snapToGrid w:val="0"/>
          <w:kern w:val="0"/>
          <w:lang w:eastAsia="zh-CN"/>
        </w:rPr>
        <w:t>犯第三方知识产权情形的除外。</w:t>
      </w:r>
    </w:p>
    <w:p w14:paraId="5136B0DF">
      <w:pPr>
        <w:pStyle w:val="2"/>
        <w:spacing w:before="1" w:line="560" w:lineRule="exact"/>
        <w:ind w:firstLine="499"/>
        <w:rPr>
          <w:rFonts w:ascii="彩虹粗仿宋" w:hAnsi="宋体" w:eastAsia="彩虹粗仿宋" w:cstheme="minorBidi"/>
          <w:b/>
          <w:snapToGrid w:val="0"/>
          <w:kern w:val="0"/>
          <w:lang w:eastAsia="zh-CN"/>
        </w:rPr>
      </w:pPr>
      <w:r>
        <w:rPr>
          <w:rFonts w:ascii="彩虹粗仿宋" w:hAnsi="宋体" w:eastAsia="彩虹粗仿宋" w:cstheme="minorBidi"/>
          <w:b/>
          <w:snapToGrid w:val="0"/>
          <w:kern w:val="0"/>
          <w:lang w:eastAsia="zh-CN"/>
        </w:rPr>
        <w:t>6.保密要求</w:t>
      </w:r>
    </w:p>
    <w:p w14:paraId="5B131587">
      <w:pPr>
        <w:pStyle w:val="2"/>
        <w:spacing w:before="1" w:line="560" w:lineRule="exact"/>
        <w:ind w:firstLine="499"/>
        <w:rPr>
          <w:rFonts w:ascii="彩虹粗仿宋" w:hAnsi="宋体" w:eastAsia="彩虹粗仿宋" w:cstheme="minorBidi"/>
          <w:snapToGrid w:val="0"/>
          <w:kern w:val="0"/>
          <w:lang w:eastAsia="zh-CN"/>
        </w:rPr>
      </w:pPr>
      <w:r>
        <w:rPr>
          <w:rFonts w:hint="eastAsia" w:ascii="彩虹粗仿宋" w:hAnsi="宋体" w:eastAsia="彩虹粗仿宋" w:cstheme="minorBidi"/>
          <w:snapToGrid w:val="0"/>
          <w:kern w:val="0"/>
          <w:lang w:eastAsia="zh-CN"/>
        </w:rPr>
        <w:t>（</w:t>
      </w:r>
      <w:r>
        <w:rPr>
          <w:rFonts w:ascii="彩虹粗仿宋" w:hAnsi="宋体" w:eastAsia="彩虹粗仿宋" w:cstheme="minorBidi"/>
          <w:snapToGrid w:val="0"/>
          <w:kern w:val="0"/>
          <w:lang w:eastAsia="zh-CN"/>
        </w:rPr>
        <w:t>1）供应商当服务本项目过程中知悉或获得的所有有关我行的商业秘密、客户资料等信息（即“保密信息”）予以保密。不得将保密信息用于本项目合同以外的目的，并不得将其泄漏给任何第三方。供应商的雇员为服务本项目而必须接触相关保密信息时，可以将此部分保密信息披露给该雇员，但供应商应当告知该雇员相关的保密义务并和其签署书面保密协议，使其承担不低于本保密条款约定的保密义务。</w:t>
      </w:r>
    </w:p>
    <w:p w14:paraId="0FC5A223">
      <w:pPr>
        <w:pStyle w:val="2"/>
        <w:spacing w:before="1" w:line="560" w:lineRule="exact"/>
        <w:ind w:firstLine="499"/>
        <w:rPr>
          <w:rFonts w:ascii="彩虹粗仿宋" w:hAnsi="宋体" w:eastAsia="彩虹粗仿宋" w:cstheme="minorBidi"/>
          <w:snapToGrid w:val="0"/>
          <w:kern w:val="0"/>
          <w:lang w:eastAsia="zh-CN"/>
        </w:rPr>
      </w:pPr>
      <w:r>
        <w:rPr>
          <w:rFonts w:hint="eastAsia" w:ascii="彩虹粗仿宋" w:hAnsi="宋体" w:eastAsia="彩虹粗仿宋" w:cstheme="minorBidi"/>
          <w:snapToGrid w:val="0"/>
          <w:kern w:val="0"/>
          <w:lang w:eastAsia="zh-CN"/>
        </w:rPr>
        <w:t>（</w:t>
      </w:r>
      <w:r>
        <w:rPr>
          <w:rFonts w:ascii="彩虹粗仿宋" w:hAnsi="宋体" w:eastAsia="彩虹粗仿宋" w:cstheme="minorBidi"/>
          <w:snapToGrid w:val="0"/>
          <w:kern w:val="0"/>
          <w:lang w:eastAsia="zh-CN"/>
        </w:rPr>
        <w:t>2）供应商或其雇员（无论该雇员是否已从接受方离职）在违反保密义务的，供应商应当对我行因此所遭受的损失承担赔偿责任。如果供应商在本合同有效期内严重违反保密义务，我行同时还有权提前终止本合同。</w:t>
      </w:r>
    </w:p>
    <w:p w14:paraId="42F03139">
      <w:pPr>
        <w:pStyle w:val="2"/>
        <w:spacing w:before="1" w:line="560" w:lineRule="exact"/>
        <w:ind w:firstLine="499"/>
        <w:rPr>
          <w:rFonts w:ascii="彩虹黑体" w:hAnsi="宋体" w:eastAsia="彩虹黑体" w:cstheme="minorBidi"/>
          <w:snapToGrid w:val="0"/>
          <w:kern w:val="0"/>
          <w:lang w:eastAsia="zh-CN"/>
        </w:rPr>
      </w:pPr>
      <w:r>
        <w:rPr>
          <w:rFonts w:hint="eastAsia" w:ascii="彩虹黑体" w:hAnsi="宋体" w:eastAsia="彩虹黑体" w:cstheme="minorBidi"/>
          <w:snapToGrid w:val="0"/>
          <w:kern w:val="0"/>
          <w:lang w:eastAsia="zh-CN"/>
        </w:rPr>
        <w:t>四、报价要求</w:t>
      </w:r>
    </w:p>
    <w:p w14:paraId="7519CAF0">
      <w:pPr>
        <w:pStyle w:val="2"/>
        <w:spacing w:before="1" w:line="315" w:lineRule="auto"/>
        <w:ind w:firstLine="640" w:firstLineChars="200"/>
        <w:rPr>
          <w:rFonts w:ascii="彩虹粗仿宋" w:hAnsi="宋体" w:eastAsia="彩虹粗仿宋" w:cs="Times New Roman"/>
          <w:snapToGrid w:val="0"/>
          <w:kern w:val="0"/>
          <w:lang w:eastAsia="zh-CN"/>
        </w:rPr>
      </w:pPr>
      <w:r>
        <w:rPr>
          <w:rFonts w:hint="eastAsia" w:ascii="彩虹粗仿宋" w:hAnsi="宋体" w:eastAsia="彩虹粗仿宋" w:cs="Times New Roman"/>
          <w:snapToGrid w:val="0"/>
          <w:kern w:val="0"/>
          <w:lang w:eastAsia="zh-CN"/>
        </w:rPr>
        <w:t>所有商品报价必须包含该商品的成本、包装、保险、税金、配送运输（含快递）、搬运上楼、安装、调试等交付使用前所需的一切费用（即包含商品送达招标人指定位置后立即可使用状态的所有费用）。</w:t>
      </w:r>
    </w:p>
    <w:p w14:paraId="534C29DC">
      <w:pPr>
        <w:pStyle w:val="2"/>
        <w:spacing w:before="1" w:line="560" w:lineRule="exact"/>
        <w:ind w:firstLine="499"/>
        <w:rPr>
          <w:rFonts w:ascii="彩虹楷体" w:hAnsi="宋体" w:eastAsia="彩虹楷体" w:cs="Times New Roman"/>
          <w:b/>
          <w:snapToGrid w:val="0"/>
          <w:kern w:val="0"/>
          <w:lang w:eastAsia="zh-CN"/>
        </w:rPr>
      </w:pPr>
      <w:r>
        <w:rPr>
          <w:rFonts w:hint="eastAsia" w:ascii="彩虹楷体" w:hAnsi="宋体" w:eastAsia="彩虹楷体" w:cs="Times New Roman"/>
          <w:b/>
          <w:snapToGrid w:val="0"/>
          <w:kern w:val="0"/>
          <w:lang w:eastAsia="zh-CN"/>
        </w:rPr>
        <w:t>（一）清单</w:t>
      </w:r>
      <w:r>
        <w:rPr>
          <w:rFonts w:ascii="彩虹楷体" w:hAnsi="宋体" w:eastAsia="彩虹楷体" w:cs="Times New Roman"/>
          <w:b/>
          <w:snapToGrid w:val="0"/>
          <w:kern w:val="0"/>
          <w:lang w:eastAsia="zh-CN"/>
        </w:rPr>
        <w:t>范围内商品报价要求</w:t>
      </w:r>
    </w:p>
    <w:p w14:paraId="1AC98EDC">
      <w:pPr>
        <w:pStyle w:val="2"/>
        <w:spacing w:before="1" w:line="560" w:lineRule="exact"/>
        <w:ind w:firstLine="643" w:firstLineChars="200"/>
        <w:rPr>
          <w:rFonts w:ascii="彩虹粗仿宋" w:hAnsi="宋体" w:eastAsia="彩虹粗仿宋" w:cs="Times New Roman"/>
          <w:b/>
          <w:snapToGrid w:val="0"/>
          <w:kern w:val="0"/>
          <w:lang w:eastAsia="zh-CN"/>
        </w:rPr>
      </w:pPr>
      <w:r>
        <w:rPr>
          <w:rFonts w:hint="eastAsia" w:ascii="彩虹粗仿宋" w:hAnsi="宋体" w:eastAsia="彩虹粗仿宋" w:cs="Times New Roman"/>
          <w:b/>
          <w:snapToGrid w:val="0"/>
          <w:kern w:val="0"/>
          <w:lang w:eastAsia="zh-CN"/>
        </w:rPr>
        <w:t>1.商品品牌及参数</w:t>
      </w:r>
    </w:p>
    <w:p w14:paraId="625B3315">
      <w:pPr>
        <w:pStyle w:val="2"/>
        <w:spacing w:before="1" w:line="560" w:lineRule="exact"/>
        <w:ind w:firstLine="640" w:firstLineChars="200"/>
        <w:rPr>
          <w:rFonts w:ascii="彩虹粗仿宋" w:hAnsi="宋体" w:eastAsia="彩虹粗仿宋" w:cs="Times New Roman"/>
          <w:snapToGrid w:val="0"/>
          <w:kern w:val="0"/>
          <w:highlight w:val="none"/>
          <w:lang w:eastAsia="zh-CN"/>
        </w:rPr>
      </w:pPr>
      <w:r>
        <w:rPr>
          <w:rFonts w:hint="eastAsia" w:ascii="彩虹粗仿宋" w:hAnsi="宋体" w:eastAsia="彩虹粗仿宋" w:cs="Times New Roman"/>
          <w:snapToGrid w:val="0"/>
          <w:kern w:val="0"/>
          <w:lang w:eastAsia="zh-CN"/>
        </w:rPr>
        <w:t>（1）投</w:t>
      </w:r>
      <w:r>
        <w:rPr>
          <w:rFonts w:hint="eastAsia" w:ascii="彩虹粗仿宋" w:hAnsi="宋体" w:eastAsia="彩虹粗仿宋" w:cs="Times New Roman"/>
          <w:snapToGrid w:val="0"/>
          <w:kern w:val="0"/>
          <w:highlight w:val="none"/>
          <w:lang w:eastAsia="zh-CN"/>
        </w:rPr>
        <w:t>标人按照招标人商品清单规格尺寸参数性能等要求，按招标人建议品牌（报价表中所列的参考品牌为建议品牌），自行选择一种符合</w:t>
      </w:r>
      <w:r>
        <w:rPr>
          <w:rFonts w:hint="eastAsia" w:ascii="彩虹粗仿宋" w:hAnsi="宋体" w:eastAsia="彩虹粗仿宋" w:cs="Times New Roman"/>
          <w:snapToGrid w:val="0"/>
          <w:kern w:val="0"/>
          <w:lang w:eastAsia="zh-CN"/>
        </w:rPr>
        <w:t>要求的商品作为该项商品的投标商品，并在商品最高限价内进行报价，超出最高限价的视为无效报价。该商品需在京东上架并有产品链接，投标人需提供商品</w:t>
      </w:r>
      <w:r>
        <w:rPr>
          <w:rFonts w:hint="eastAsia" w:ascii="彩虹粗仿宋" w:hAnsi="宋体" w:eastAsia="彩虹粗仿宋" w:cs="Times New Roman"/>
          <w:snapToGrid w:val="0"/>
          <w:kern w:val="0"/>
          <w:highlight w:val="none"/>
          <w:lang w:eastAsia="zh-CN"/>
        </w:rPr>
        <w:t>京东自营旗舰店截图（截图需体现价格、时间、商品照片，截图时间要求在招标公告发布之日至投标截止时间之内）及产品链接，</w:t>
      </w:r>
      <w:r>
        <w:rPr>
          <w:rFonts w:ascii="彩虹粗仿宋" w:hAnsi="宋体" w:eastAsia="彩虹粗仿宋" w:cs="Times New Roman"/>
          <w:snapToGrid w:val="0"/>
          <w:kern w:val="0"/>
          <w:highlight w:val="none"/>
          <w:lang w:eastAsia="zh-CN"/>
        </w:rPr>
        <w:t>相关样式详见附件</w:t>
      </w:r>
      <w:r>
        <w:rPr>
          <w:rFonts w:hint="eastAsia" w:ascii="彩虹粗仿宋" w:hAnsi="宋体" w:eastAsia="彩虹粗仿宋" w:cs="Times New Roman"/>
          <w:snapToGrid w:val="0"/>
          <w:kern w:val="0"/>
          <w:highlight w:val="none"/>
          <w:lang w:eastAsia="zh-CN"/>
        </w:rPr>
        <w:t>2《投标</w:t>
      </w:r>
      <w:r>
        <w:rPr>
          <w:rFonts w:ascii="彩虹粗仿宋" w:hAnsi="宋体" w:eastAsia="彩虹粗仿宋" w:cs="Times New Roman"/>
          <w:snapToGrid w:val="0"/>
          <w:kern w:val="0"/>
          <w:highlight w:val="none"/>
          <w:lang w:eastAsia="zh-CN"/>
        </w:rPr>
        <w:t>商品截图</w:t>
      </w:r>
      <w:r>
        <w:rPr>
          <w:rFonts w:hint="eastAsia" w:ascii="彩虹粗仿宋" w:hAnsi="宋体" w:eastAsia="彩虹粗仿宋" w:cs="Times New Roman"/>
          <w:snapToGrid w:val="0"/>
          <w:kern w:val="0"/>
          <w:highlight w:val="none"/>
          <w:lang w:eastAsia="zh-CN"/>
        </w:rPr>
        <w:t>一览表》。</w:t>
      </w:r>
    </w:p>
    <w:p w14:paraId="69760D71">
      <w:pPr>
        <w:pStyle w:val="2"/>
        <w:spacing w:before="1" w:line="560" w:lineRule="exact"/>
        <w:ind w:firstLine="640" w:firstLineChars="200"/>
        <w:rPr>
          <w:rFonts w:hint="eastAsia" w:ascii="彩虹粗仿宋" w:hAnsi="宋体" w:eastAsia="彩虹粗仿宋" w:cs="Times New Roman"/>
          <w:snapToGrid w:val="0"/>
          <w:kern w:val="0"/>
          <w:lang w:eastAsia="zh-CN"/>
        </w:rPr>
      </w:pPr>
      <w:r>
        <w:rPr>
          <w:rFonts w:hint="eastAsia" w:ascii="彩虹粗仿宋" w:hAnsi="宋体" w:eastAsia="彩虹粗仿宋" w:cs="Times New Roman"/>
          <w:snapToGrid w:val="0"/>
          <w:kern w:val="0"/>
          <w:lang w:eastAsia="zh-CN"/>
        </w:rPr>
        <w:t>如投标人无法提供招标人建议品牌商品的，可提出同等或优于建议品牌质量规格的商品。评标委员会根据投标人所提供的商品规格参数等说明文件逐项认定是否满足招标需求，投标人投标商品存在以下任意一项情形的，视为该商品不满足招标需求：①京东自营旗舰</w:t>
      </w:r>
      <w:r>
        <w:rPr>
          <w:rFonts w:hint="eastAsia" w:ascii="彩虹粗仿宋" w:hAnsi="宋体" w:eastAsia="彩虹粗仿宋" w:cs="Times New Roman"/>
          <w:snapToGrid w:val="0"/>
          <w:kern w:val="0"/>
          <w:highlight w:val="none"/>
          <w:lang w:eastAsia="zh-CN"/>
        </w:rPr>
        <w:t>店截图划线价低于所建议品牌产品在京东自营旗舰店划线价中最低的价格（投标人提供证明投标产品价格不低于建议品牌中最低的价格截图证明材料，否则视为该商品不满足招标需求）；②所提</w:t>
      </w:r>
      <w:r>
        <w:rPr>
          <w:rFonts w:hint="eastAsia" w:ascii="彩虹粗仿宋" w:hAnsi="宋体" w:eastAsia="彩虹粗仿宋" w:cs="Times New Roman"/>
          <w:snapToGrid w:val="0"/>
          <w:kern w:val="0"/>
          <w:lang w:eastAsia="zh-CN"/>
        </w:rPr>
        <w:t>交商品的品牌知名度低于建议品牌的；③所提交商品的性能、质量低于建议品牌商品标准的；④所提交商品的功能参数（商品等级、重量、容积、功率等数据参数）劣于建议品牌商品标准的；⑤未按要求提供投标替代品牌商品产品性能描述材料的。</w:t>
      </w:r>
    </w:p>
    <w:p w14:paraId="370D15CD">
      <w:pPr>
        <w:pStyle w:val="2"/>
        <w:spacing w:before="1" w:line="560" w:lineRule="exact"/>
        <w:ind w:firstLine="640" w:firstLineChars="200"/>
        <w:rPr>
          <w:rFonts w:ascii="彩虹粗仿宋" w:hAnsi="宋体" w:eastAsia="彩虹粗仿宋" w:cs="Times New Roman"/>
          <w:snapToGrid w:val="0"/>
          <w:kern w:val="0"/>
          <w:highlight w:val="none"/>
          <w:lang w:eastAsia="zh-CN"/>
        </w:rPr>
      </w:pPr>
      <w:r>
        <w:rPr>
          <w:rFonts w:hint="eastAsia" w:ascii="彩虹粗仿宋" w:hAnsi="宋体" w:eastAsia="彩虹粗仿宋" w:cs="Times New Roman"/>
          <w:snapToGrid w:val="0"/>
          <w:kern w:val="0"/>
          <w:lang w:eastAsia="zh-CN"/>
        </w:rPr>
        <w:t>评标委员会对投标人提供京东自营旗舰店</w:t>
      </w:r>
      <w:r>
        <w:rPr>
          <w:rFonts w:ascii="彩虹粗仿宋" w:hAnsi="宋体" w:eastAsia="彩虹粗仿宋" w:cs="Times New Roman"/>
          <w:snapToGrid w:val="0"/>
          <w:kern w:val="0"/>
          <w:lang w:eastAsia="zh-CN"/>
        </w:rPr>
        <w:t>划线</w:t>
      </w:r>
      <w:r>
        <w:rPr>
          <w:rFonts w:hint="eastAsia" w:ascii="彩虹粗仿宋" w:hAnsi="宋体" w:eastAsia="彩虹粗仿宋" w:cs="Times New Roman"/>
          <w:snapToGrid w:val="0"/>
          <w:kern w:val="0"/>
          <w:lang w:eastAsia="zh-CN"/>
        </w:rPr>
        <w:t>价格、品牌参数存在质疑的，评标委员会可要求供应商提供相关证明材料，如供应商无法在评标委员会规定时间内作出回复或回复内容</w:t>
      </w:r>
      <w:r>
        <w:rPr>
          <w:rFonts w:hint="eastAsia" w:ascii="彩虹粗仿宋" w:hAnsi="宋体" w:eastAsia="彩虹粗仿宋" w:cs="Times New Roman"/>
          <w:snapToGrid w:val="0"/>
          <w:kern w:val="0"/>
          <w:highlight w:val="none"/>
          <w:lang w:eastAsia="zh-CN"/>
        </w:rPr>
        <w:t>无法合理解释质疑，作无效投标处理。</w:t>
      </w:r>
    </w:p>
    <w:p w14:paraId="0DE2EECB">
      <w:pPr>
        <w:pStyle w:val="2"/>
        <w:spacing w:before="1" w:line="560" w:lineRule="exact"/>
        <w:ind w:firstLine="640" w:firstLineChars="200"/>
        <w:rPr>
          <w:rFonts w:ascii="彩虹粗仿宋" w:hAnsi="宋体" w:eastAsia="彩虹粗仿宋" w:cs="Times New Roman"/>
          <w:snapToGrid w:val="0"/>
          <w:kern w:val="0"/>
          <w:highlight w:val="none"/>
          <w:lang w:eastAsia="zh-CN"/>
        </w:rPr>
      </w:pPr>
      <w:r>
        <w:rPr>
          <w:rFonts w:hint="eastAsia" w:ascii="彩虹粗仿宋" w:hAnsi="宋体" w:eastAsia="彩虹粗仿宋" w:cs="Times New Roman"/>
          <w:snapToGrid w:val="0"/>
          <w:kern w:val="0"/>
          <w:highlight w:val="none"/>
          <w:lang w:eastAsia="zh-CN"/>
        </w:rPr>
        <w:t>（2）投标人应按照附件1的要求列明：投标品牌、规格、投标参数等。</w:t>
      </w:r>
    </w:p>
    <w:p w14:paraId="1EE37F60">
      <w:pPr>
        <w:pStyle w:val="2"/>
        <w:spacing w:before="1" w:line="315" w:lineRule="auto"/>
        <w:ind w:firstLine="640" w:firstLineChars="200"/>
        <w:rPr>
          <w:rFonts w:ascii="彩虹粗仿宋" w:hAnsi="宋体" w:eastAsia="彩虹粗仿宋" w:cs="Times New Roman"/>
          <w:snapToGrid w:val="0"/>
          <w:kern w:val="0"/>
          <w:highlight w:val="none"/>
          <w:lang w:eastAsia="zh-CN"/>
        </w:rPr>
      </w:pPr>
      <w:r>
        <w:rPr>
          <w:rFonts w:hint="eastAsia" w:ascii="彩虹粗仿宋" w:hAnsi="宋体" w:eastAsia="彩虹粗仿宋" w:cs="Times New Roman"/>
          <w:snapToGrid w:val="0"/>
          <w:kern w:val="0"/>
          <w:highlight w:val="none"/>
          <w:lang w:eastAsia="zh-CN"/>
        </w:rPr>
        <w:t>*备注：“京东自营划线价”定义为京东自营商品的划线价，若无划线价，则参照京东价或者京东日常价，节日促销、爆款促销、7日以内的降价优惠活动、渠道专供型号等除外。</w:t>
      </w:r>
    </w:p>
    <w:p w14:paraId="0C653933">
      <w:pPr>
        <w:pStyle w:val="2"/>
        <w:spacing w:before="1" w:line="560" w:lineRule="exact"/>
        <w:ind w:firstLine="643" w:firstLineChars="200"/>
        <w:rPr>
          <w:rFonts w:ascii="彩虹粗仿宋" w:hAnsi="宋体" w:eastAsia="彩虹粗仿宋" w:cs="Times New Roman"/>
          <w:b/>
          <w:snapToGrid w:val="0"/>
          <w:kern w:val="0"/>
          <w:lang w:eastAsia="zh-CN"/>
        </w:rPr>
      </w:pPr>
      <w:r>
        <w:rPr>
          <w:rFonts w:hint="eastAsia" w:ascii="彩虹粗仿宋" w:hAnsi="宋体" w:eastAsia="彩虹粗仿宋" w:cs="Times New Roman"/>
          <w:b/>
          <w:snapToGrid w:val="0"/>
          <w:kern w:val="0"/>
          <w:lang w:eastAsia="zh-CN"/>
        </w:rPr>
        <w:t>3.最高投标限价</w:t>
      </w:r>
    </w:p>
    <w:p w14:paraId="32D2AC2E">
      <w:pPr>
        <w:pStyle w:val="2"/>
        <w:spacing w:before="1" w:line="560" w:lineRule="exact"/>
        <w:ind w:firstLine="640" w:firstLineChars="200"/>
        <w:rPr>
          <w:rFonts w:ascii="彩虹粗仿宋" w:hAnsi="宋体" w:eastAsia="彩虹粗仿宋" w:cs="Times New Roman"/>
          <w:snapToGrid w:val="0"/>
          <w:kern w:val="0"/>
          <w:lang w:eastAsia="zh-CN"/>
        </w:rPr>
      </w:pPr>
      <w:r>
        <w:rPr>
          <w:rFonts w:hint="eastAsia" w:ascii="彩虹粗仿宋" w:hAnsi="宋体" w:eastAsia="彩虹粗仿宋" w:cs="Times New Roman"/>
          <w:snapToGrid w:val="0"/>
          <w:kern w:val="0"/>
          <w:lang w:eastAsia="zh-CN"/>
        </w:rPr>
        <w:t>（1）本项目设最高投标限价单价及最高投标限价总价；</w:t>
      </w:r>
    </w:p>
    <w:p w14:paraId="286916D5">
      <w:pPr>
        <w:pStyle w:val="2"/>
        <w:spacing w:before="1" w:line="560" w:lineRule="exact"/>
        <w:ind w:firstLine="640" w:firstLineChars="200"/>
        <w:rPr>
          <w:rFonts w:ascii="彩虹粗仿宋" w:hAnsi="宋体" w:eastAsia="彩虹粗仿宋" w:cs="Times New Roman"/>
          <w:snapToGrid w:val="0"/>
          <w:kern w:val="0"/>
          <w:lang w:eastAsia="zh-CN"/>
        </w:rPr>
      </w:pPr>
      <w:r>
        <w:rPr>
          <w:rFonts w:hint="eastAsia" w:ascii="彩虹粗仿宋" w:hAnsi="宋体" w:eastAsia="彩虹粗仿宋" w:cs="Times New Roman"/>
          <w:snapToGrid w:val="0"/>
          <w:kern w:val="0"/>
          <w:lang w:eastAsia="zh-CN"/>
        </w:rPr>
        <w:t>（2）投标人所投商品的投标报价单价不得超过本项目最高投标限价单价，投标人所投商品的投标报价总价不得超过本项目每种商品的最高投标限价总价。</w:t>
      </w:r>
    </w:p>
    <w:p w14:paraId="3A8B0EB6">
      <w:pPr>
        <w:pStyle w:val="2"/>
        <w:spacing w:before="1" w:line="560" w:lineRule="exact"/>
        <w:ind w:firstLine="643" w:firstLineChars="200"/>
        <w:rPr>
          <w:rFonts w:ascii="彩虹粗仿宋" w:hAnsi="宋体" w:eastAsia="彩虹粗仿宋" w:cs="Times New Roman"/>
          <w:b/>
          <w:snapToGrid w:val="0"/>
          <w:kern w:val="0"/>
          <w:lang w:eastAsia="zh-CN"/>
        </w:rPr>
      </w:pPr>
      <w:r>
        <w:rPr>
          <w:rFonts w:hint="eastAsia" w:ascii="彩虹粗仿宋" w:hAnsi="宋体" w:eastAsia="彩虹粗仿宋" w:cs="Times New Roman"/>
          <w:b/>
          <w:snapToGrid w:val="0"/>
          <w:kern w:val="0"/>
          <w:lang w:eastAsia="zh-CN"/>
        </w:rPr>
        <w:t>4.报价</w:t>
      </w:r>
    </w:p>
    <w:p w14:paraId="4D2CB8A1">
      <w:pPr>
        <w:pStyle w:val="2"/>
        <w:spacing w:before="1" w:line="560" w:lineRule="exact"/>
        <w:ind w:firstLine="640" w:firstLineChars="200"/>
        <w:rPr>
          <w:rFonts w:ascii="彩虹粗仿宋" w:hAnsi="宋体" w:eastAsia="彩虹粗仿宋" w:cs="Times New Roman"/>
          <w:snapToGrid w:val="0"/>
          <w:kern w:val="0"/>
          <w:highlight w:val="none"/>
          <w:lang w:eastAsia="zh-CN"/>
        </w:rPr>
      </w:pPr>
      <w:r>
        <w:rPr>
          <w:rFonts w:hint="eastAsia" w:ascii="彩虹粗仿宋" w:hAnsi="宋体" w:eastAsia="彩虹粗仿宋" w:cs="Times New Roman"/>
          <w:snapToGrid w:val="0"/>
          <w:kern w:val="0"/>
          <w:highlight w:val="none"/>
          <w:lang w:eastAsia="zh-CN"/>
        </w:rPr>
        <w:t>（1）投标人须按照</w:t>
      </w:r>
      <w:bookmarkStart w:id="0" w:name="_GoBack"/>
      <w:bookmarkEnd w:id="0"/>
      <w:r>
        <w:rPr>
          <w:rFonts w:hint="eastAsia" w:ascii="彩虹粗仿宋" w:hAnsi="宋体" w:eastAsia="彩虹粗仿宋" w:cs="Times New Roman"/>
          <w:snapToGrid w:val="0"/>
          <w:kern w:val="0"/>
          <w:highlight w:val="none"/>
          <w:lang w:eastAsia="zh-CN"/>
        </w:rPr>
        <w:t>附件</w:t>
      </w:r>
      <w:r>
        <w:rPr>
          <w:rFonts w:ascii="彩虹粗仿宋" w:hAnsi="宋体" w:eastAsia="彩虹粗仿宋" w:cs="Times New Roman"/>
          <w:snapToGrid w:val="0"/>
          <w:kern w:val="0"/>
          <w:highlight w:val="none"/>
          <w:lang w:eastAsia="zh-CN"/>
        </w:rPr>
        <w:t>1</w:t>
      </w:r>
      <w:r>
        <w:rPr>
          <w:rFonts w:hint="eastAsia" w:ascii="彩虹粗仿宋" w:hAnsi="宋体" w:eastAsia="彩虹粗仿宋" w:cs="Times New Roman"/>
          <w:snapToGrid w:val="0"/>
          <w:kern w:val="0"/>
          <w:highlight w:val="none"/>
          <w:lang w:eastAsia="zh-CN"/>
        </w:rPr>
        <w:t>《清单内商品明细表》的格式填写报价表。</w:t>
      </w:r>
    </w:p>
    <w:p w14:paraId="5707CC1B">
      <w:pPr>
        <w:pStyle w:val="2"/>
        <w:spacing w:before="1" w:line="560" w:lineRule="exact"/>
        <w:ind w:firstLine="499"/>
        <w:rPr>
          <w:rFonts w:ascii="彩虹粗仿宋" w:hAnsi="宋体" w:eastAsia="彩虹粗仿宋" w:cs="Times New Roman"/>
          <w:snapToGrid w:val="0"/>
          <w:kern w:val="0"/>
          <w:highlight w:val="none"/>
          <w:lang w:eastAsia="zh-CN"/>
        </w:rPr>
      </w:pPr>
      <w:r>
        <w:rPr>
          <w:rFonts w:hint="eastAsia" w:ascii="彩虹粗仿宋" w:hAnsi="宋体" w:eastAsia="彩虹粗仿宋" w:cs="Times New Roman"/>
          <w:snapToGrid w:val="0"/>
          <w:kern w:val="0"/>
          <w:highlight w:val="none"/>
          <w:lang w:eastAsia="zh-CN"/>
        </w:rPr>
        <w:t>（2）有效商品选取规则如下：</w:t>
      </w:r>
    </w:p>
    <w:p w14:paraId="612E005F">
      <w:pPr>
        <w:pStyle w:val="2"/>
        <w:spacing w:before="1" w:line="560" w:lineRule="exact"/>
        <w:ind w:firstLine="499"/>
        <w:rPr>
          <w:rFonts w:ascii="彩虹粗仿宋" w:hAnsi="宋体" w:eastAsia="彩虹粗仿宋" w:cs="Times New Roman"/>
          <w:snapToGrid w:val="0"/>
          <w:kern w:val="0"/>
          <w:highlight w:val="none"/>
          <w:lang w:eastAsia="zh-CN"/>
        </w:rPr>
      </w:pPr>
      <w:r>
        <w:rPr>
          <w:rFonts w:hint="eastAsia" w:ascii="彩虹粗仿宋" w:hAnsi="宋体" w:eastAsia="彩虹粗仿宋" w:cs="Times New Roman"/>
          <w:snapToGrid w:val="0"/>
          <w:kern w:val="0"/>
          <w:highlight w:val="none"/>
          <w:lang w:eastAsia="zh-CN"/>
        </w:rPr>
        <w:t>投标人所投商品须满足：</w:t>
      </w:r>
    </w:p>
    <w:p w14:paraId="3CD1312D">
      <w:pPr>
        <w:pStyle w:val="2"/>
        <w:spacing w:before="1" w:line="560" w:lineRule="exact"/>
        <w:ind w:firstLine="640" w:firstLineChars="200"/>
        <w:rPr>
          <w:rFonts w:ascii="彩虹粗仿宋" w:hAnsi="宋体" w:eastAsia="彩虹粗仿宋" w:cs="Times New Roman"/>
          <w:snapToGrid w:val="0"/>
          <w:kern w:val="0"/>
          <w:highlight w:val="none"/>
          <w:lang w:eastAsia="zh-CN"/>
        </w:rPr>
      </w:pPr>
      <w:r>
        <w:rPr>
          <w:rFonts w:hint="eastAsia" w:ascii="彩虹粗仿宋" w:hAnsi="宋体" w:eastAsia="彩虹粗仿宋" w:cs="Times New Roman"/>
          <w:snapToGrid w:val="0"/>
          <w:kern w:val="0"/>
          <w:highlight w:val="none"/>
          <w:lang w:eastAsia="zh-CN"/>
        </w:rPr>
        <w:t>a</w:t>
      </w:r>
      <w:r>
        <w:rPr>
          <w:rFonts w:ascii="彩虹粗仿宋" w:hAnsi="宋体" w:eastAsia="彩虹粗仿宋" w:cs="Times New Roman"/>
          <w:snapToGrid w:val="0"/>
          <w:kern w:val="0"/>
          <w:highlight w:val="none"/>
          <w:lang w:eastAsia="zh-CN"/>
        </w:rPr>
        <w:t>.</w:t>
      </w:r>
      <w:r>
        <w:rPr>
          <w:rFonts w:hint="eastAsia" w:ascii="彩虹粗仿宋" w:hAnsi="宋体" w:eastAsia="彩虹粗仿宋" w:cs="Times New Roman"/>
          <w:snapToGrid w:val="0"/>
          <w:kern w:val="0"/>
          <w:highlight w:val="none"/>
          <w:lang w:eastAsia="zh-CN"/>
        </w:rPr>
        <w:t>商品含税报价最高限价≥含税投标报价；</w:t>
      </w:r>
    </w:p>
    <w:p w14:paraId="6188B4E1">
      <w:pPr>
        <w:pStyle w:val="2"/>
        <w:spacing w:before="1" w:line="560" w:lineRule="exact"/>
        <w:ind w:firstLine="640" w:firstLineChars="200"/>
        <w:rPr>
          <w:rFonts w:ascii="彩虹粗仿宋" w:hAnsi="宋体" w:eastAsia="彩虹粗仿宋" w:cs="Times New Roman"/>
          <w:snapToGrid w:val="0"/>
          <w:kern w:val="0"/>
          <w:highlight w:val="none"/>
          <w:lang w:eastAsia="zh-CN"/>
        </w:rPr>
      </w:pPr>
      <w:r>
        <w:rPr>
          <w:rFonts w:ascii="彩虹粗仿宋" w:hAnsi="宋体" w:eastAsia="彩虹粗仿宋" w:cs="Times New Roman"/>
          <w:snapToGrid w:val="0"/>
          <w:kern w:val="0"/>
          <w:highlight w:val="none"/>
          <w:lang w:eastAsia="zh-CN"/>
        </w:rPr>
        <w:t>b.</w:t>
      </w:r>
      <w:r>
        <w:rPr>
          <w:rFonts w:hint="eastAsia" w:ascii="彩虹粗仿宋" w:hAnsi="宋体" w:eastAsia="彩虹粗仿宋" w:cs="Times New Roman"/>
          <w:snapToGrid w:val="0"/>
          <w:kern w:val="0"/>
          <w:highlight w:val="none"/>
          <w:lang w:eastAsia="zh-CN"/>
        </w:rPr>
        <w:t>商品截图价格（京东自营划线价）≥含税投标报价。</w:t>
      </w:r>
    </w:p>
    <w:p w14:paraId="2AB3BE8D">
      <w:pPr>
        <w:pStyle w:val="2"/>
        <w:spacing w:before="1" w:line="560" w:lineRule="exact"/>
        <w:ind w:firstLine="643" w:firstLineChars="200"/>
        <w:rPr>
          <w:rFonts w:ascii="彩虹粗仿宋" w:hAnsi="宋体" w:eastAsia="彩虹粗仿宋" w:cs="Times New Roman"/>
          <w:b/>
          <w:snapToGrid w:val="0"/>
          <w:kern w:val="0"/>
          <w:highlight w:val="none"/>
          <w:lang w:eastAsia="zh-CN"/>
        </w:rPr>
      </w:pPr>
      <w:r>
        <w:rPr>
          <w:rFonts w:hint="eastAsia" w:ascii="彩虹粗仿宋" w:hAnsi="宋体" w:eastAsia="彩虹粗仿宋" w:cs="Times New Roman"/>
          <w:b/>
          <w:snapToGrid w:val="0"/>
          <w:kern w:val="0"/>
          <w:highlight w:val="none"/>
          <w:lang w:eastAsia="zh-CN"/>
        </w:rPr>
        <w:t>5.废标情形</w:t>
      </w:r>
    </w:p>
    <w:p w14:paraId="726FFE23">
      <w:pPr>
        <w:pStyle w:val="2"/>
        <w:spacing w:before="1" w:line="560" w:lineRule="exact"/>
        <w:ind w:firstLine="640" w:firstLineChars="200"/>
        <w:rPr>
          <w:rFonts w:ascii="彩虹粗仿宋" w:hAnsi="宋体" w:eastAsia="彩虹粗仿宋" w:cs="Times New Roman"/>
          <w:snapToGrid w:val="0"/>
          <w:kern w:val="0"/>
          <w:lang w:eastAsia="zh-CN"/>
        </w:rPr>
      </w:pPr>
      <w:r>
        <w:rPr>
          <w:rFonts w:hint="eastAsia" w:ascii="彩虹粗仿宋" w:hAnsi="宋体" w:eastAsia="彩虹粗仿宋" w:cs="Times New Roman"/>
          <w:snapToGrid w:val="0"/>
          <w:kern w:val="0"/>
          <w:lang w:eastAsia="zh-CN"/>
        </w:rPr>
        <w:t>（1）投标人所投商品的投标报价单价超过最高投标限价单价或者投标人所投商品的投标报价总价超过本项目每种商品的最高投标限价总价的；</w:t>
      </w:r>
    </w:p>
    <w:p w14:paraId="1080CD49">
      <w:pPr>
        <w:pStyle w:val="2"/>
        <w:spacing w:before="1" w:line="560" w:lineRule="exact"/>
        <w:ind w:firstLine="640" w:firstLineChars="200"/>
        <w:rPr>
          <w:rFonts w:ascii="彩虹粗仿宋" w:hAnsi="宋体" w:eastAsia="彩虹粗仿宋" w:cs="Times New Roman"/>
          <w:snapToGrid w:val="0"/>
          <w:kern w:val="0"/>
          <w:lang w:eastAsia="zh-CN"/>
        </w:rPr>
      </w:pPr>
      <w:r>
        <w:rPr>
          <w:rFonts w:hint="eastAsia" w:ascii="彩虹粗仿宋" w:hAnsi="宋体" w:eastAsia="彩虹粗仿宋" w:cs="Times New Roman"/>
          <w:snapToGrid w:val="0"/>
          <w:kern w:val="0"/>
          <w:lang w:eastAsia="zh-CN"/>
        </w:rPr>
        <w:t>（2）投标人提供的商品链接非京东自营旗舰店的链接，或其他无效链接的；</w:t>
      </w:r>
    </w:p>
    <w:p w14:paraId="07865011">
      <w:pPr>
        <w:pStyle w:val="2"/>
        <w:spacing w:before="1" w:line="560" w:lineRule="exact"/>
        <w:ind w:firstLine="640" w:firstLineChars="200"/>
        <w:rPr>
          <w:rFonts w:ascii="彩虹粗仿宋" w:hAnsi="宋体" w:eastAsia="彩虹粗仿宋" w:cs="Times New Roman"/>
          <w:snapToGrid w:val="0"/>
          <w:kern w:val="0"/>
          <w:lang w:eastAsia="zh-CN"/>
        </w:rPr>
      </w:pPr>
      <w:r>
        <w:rPr>
          <w:rFonts w:hint="eastAsia" w:ascii="彩虹粗仿宋" w:hAnsi="宋体" w:eastAsia="彩虹粗仿宋" w:cs="Times New Roman"/>
          <w:snapToGrid w:val="0"/>
          <w:kern w:val="0"/>
          <w:lang w:eastAsia="zh-CN"/>
        </w:rPr>
        <w:t>（</w:t>
      </w:r>
      <w:r>
        <w:rPr>
          <w:rFonts w:ascii="彩虹粗仿宋" w:hAnsi="宋体" w:eastAsia="彩虹粗仿宋" w:cs="Times New Roman"/>
          <w:snapToGrid w:val="0"/>
          <w:kern w:val="0"/>
          <w:lang w:eastAsia="zh-CN"/>
        </w:rPr>
        <w:t>3</w:t>
      </w:r>
      <w:r>
        <w:rPr>
          <w:rFonts w:hint="eastAsia" w:ascii="彩虹粗仿宋" w:hAnsi="宋体" w:eastAsia="彩虹粗仿宋" w:cs="Times New Roman"/>
          <w:snapToGrid w:val="0"/>
          <w:kern w:val="0"/>
          <w:lang w:eastAsia="zh-CN"/>
        </w:rPr>
        <w:t>）招标文件规定的关于投标报价废标的其他情形。</w:t>
      </w:r>
    </w:p>
    <w:p w14:paraId="203BFF3D">
      <w:pPr>
        <w:pStyle w:val="2"/>
        <w:spacing w:before="1" w:line="560" w:lineRule="exact"/>
        <w:ind w:firstLine="643" w:firstLineChars="200"/>
        <w:rPr>
          <w:rFonts w:ascii="彩虹楷体" w:hAnsi="宋体" w:eastAsia="彩虹楷体" w:cs="Times New Roman"/>
          <w:b/>
          <w:snapToGrid w:val="0"/>
          <w:kern w:val="0"/>
          <w:lang w:eastAsia="zh-CN"/>
        </w:rPr>
      </w:pPr>
      <w:r>
        <w:rPr>
          <w:rFonts w:hint="eastAsia" w:ascii="彩虹楷体" w:hAnsi="宋体" w:eastAsia="彩虹楷体" w:cs="Times New Roman"/>
          <w:b/>
          <w:snapToGrid w:val="0"/>
          <w:kern w:val="0"/>
          <w:lang w:eastAsia="zh-CN"/>
        </w:rPr>
        <w:t>（二）清单外商品报价要求</w:t>
      </w:r>
    </w:p>
    <w:p w14:paraId="676B80A0">
      <w:pPr>
        <w:pStyle w:val="2"/>
        <w:spacing w:before="1" w:line="560" w:lineRule="exact"/>
        <w:ind w:firstLine="640" w:firstLineChars="200"/>
        <w:rPr>
          <w:rFonts w:ascii="彩虹粗仿宋" w:hAnsi="宋体" w:eastAsia="彩虹粗仿宋" w:cs="Times New Roman"/>
          <w:snapToGrid w:val="0"/>
          <w:kern w:val="0"/>
          <w:lang w:eastAsia="zh-CN"/>
        </w:rPr>
      </w:pPr>
      <w:r>
        <w:rPr>
          <w:rFonts w:hint="eastAsia" w:ascii="彩虹粗仿宋" w:hAnsi="宋体" w:eastAsia="彩虹粗仿宋" w:cs="Times New Roman"/>
          <w:snapToGrid w:val="0"/>
          <w:kern w:val="0"/>
          <w:lang w:eastAsia="zh-CN"/>
        </w:rPr>
        <w:t>1</w:t>
      </w:r>
      <w:r>
        <w:rPr>
          <w:rFonts w:ascii="彩虹粗仿宋" w:hAnsi="宋体" w:eastAsia="彩虹粗仿宋" w:cs="Times New Roman"/>
          <w:snapToGrid w:val="0"/>
          <w:kern w:val="0"/>
          <w:lang w:eastAsia="zh-CN"/>
        </w:rPr>
        <w:t>.采购清单以外的产品设置折扣报价，以各品牌的京东自营旗舰店划线价格为基准，按照</w:t>
      </w:r>
      <w:r>
        <w:rPr>
          <w:rFonts w:hint="eastAsia" w:ascii="彩虹粗仿宋" w:eastAsia="彩虹粗仿宋"/>
          <w:color w:val="000000"/>
          <w:lang w:eastAsia="zh-CN"/>
        </w:rPr>
        <w:t>食品粮油、家用电器、</w:t>
      </w:r>
      <w:r>
        <w:rPr>
          <w:rFonts w:ascii="Times New Roman" w:hAnsi="Times New Roman" w:cs="Times New Roman"/>
          <w:color w:val="000000"/>
          <w:lang w:eastAsia="zh-CN"/>
        </w:rPr>
        <w:t>3C</w:t>
      </w:r>
      <w:r>
        <w:rPr>
          <w:rFonts w:hint="eastAsia" w:ascii="彩虹粗仿宋" w:eastAsia="彩虹粗仿宋"/>
          <w:color w:val="000000"/>
          <w:lang w:eastAsia="zh-CN"/>
        </w:rPr>
        <w:t>数码、茶具厨具、居家布艺、清洁洗护</w:t>
      </w:r>
      <w:r>
        <w:rPr>
          <w:rFonts w:ascii="彩虹粗仿宋" w:eastAsia="彩虹粗仿宋"/>
          <w:color w:val="000000"/>
          <w:lang w:eastAsia="zh-CN"/>
        </w:rPr>
        <w:t>、</w:t>
      </w:r>
      <w:r>
        <w:rPr>
          <w:rFonts w:hint="eastAsia" w:ascii="彩虹粗仿宋" w:eastAsia="彩虹粗仿宋"/>
          <w:color w:val="000000"/>
          <w:lang w:eastAsia="zh-CN"/>
        </w:rPr>
        <w:t>居家日用品等七大类</w:t>
      </w:r>
      <w:r>
        <w:rPr>
          <w:rFonts w:ascii="彩虹粗仿宋" w:hAnsi="宋体" w:eastAsia="彩虹粗仿宋" w:cs="Times New Roman"/>
          <w:snapToGrid w:val="0"/>
          <w:kern w:val="0"/>
          <w:lang w:eastAsia="zh-CN"/>
        </w:rPr>
        <w:t>进行折扣报价，报价精确到小数点后两位。</w:t>
      </w:r>
    </w:p>
    <w:p w14:paraId="5CDA403B">
      <w:pPr>
        <w:pStyle w:val="2"/>
        <w:spacing w:before="1" w:line="560" w:lineRule="atLeast"/>
        <w:ind w:firstLine="640" w:firstLineChars="200"/>
        <w:rPr>
          <w:rFonts w:ascii="彩虹粗仿宋" w:hAnsi="宋体" w:eastAsia="彩虹粗仿宋" w:cs="Times New Roman"/>
          <w:snapToGrid w:val="0"/>
          <w:kern w:val="0"/>
          <w:lang w:eastAsia="zh-CN"/>
        </w:rPr>
      </w:pPr>
      <w:r>
        <w:rPr>
          <w:rFonts w:hint="eastAsia" w:ascii="彩虹粗仿宋" w:hAnsi="宋体" w:eastAsia="彩虹粗仿宋" w:cs="Times New Roman"/>
          <w:snapToGrid w:val="0"/>
          <w:kern w:val="0"/>
          <w:lang w:eastAsia="zh-CN"/>
        </w:rPr>
        <w:t>2</w:t>
      </w:r>
      <w:r>
        <w:rPr>
          <w:rFonts w:ascii="彩虹粗仿宋" w:hAnsi="宋体" w:eastAsia="彩虹粗仿宋" w:cs="Times New Roman"/>
          <w:snapToGrid w:val="0"/>
          <w:kern w:val="0"/>
          <w:lang w:eastAsia="zh-CN"/>
        </w:rPr>
        <w:t>.</w:t>
      </w:r>
      <w:r>
        <w:rPr>
          <w:rFonts w:hint="eastAsia" w:ascii="彩虹粗仿宋" w:hAnsi="宋体" w:eastAsia="彩虹粗仿宋" w:cs="Times New Roman"/>
          <w:snapToGrid w:val="0"/>
          <w:kern w:val="0"/>
          <w:lang w:eastAsia="zh-CN"/>
        </w:rPr>
        <w:t>报价要求详见下表：</w:t>
      </w:r>
    </w:p>
    <w:tbl>
      <w:tblPr>
        <w:tblStyle w:val="6"/>
        <w:tblW w:w="5000" w:type="pct"/>
        <w:tblInd w:w="0" w:type="dxa"/>
        <w:tblLayout w:type="autofit"/>
        <w:tblCellMar>
          <w:top w:w="0" w:type="dxa"/>
          <w:left w:w="108" w:type="dxa"/>
          <w:bottom w:w="0" w:type="dxa"/>
          <w:right w:w="108" w:type="dxa"/>
        </w:tblCellMar>
      </w:tblPr>
      <w:tblGrid>
        <w:gridCol w:w="931"/>
        <w:gridCol w:w="1926"/>
        <w:gridCol w:w="1820"/>
        <w:gridCol w:w="3818"/>
        <w:gridCol w:w="27"/>
      </w:tblGrid>
      <w:tr w14:paraId="45E6855E">
        <w:tblPrEx>
          <w:tblCellMar>
            <w:top w:w="0" w:type="dxa"/>
            <w:left w:w="108" w:type="dxa"/>
            <w:bottom w:w="0" w:type="dxa"/>
            <w:right w:w="108" w:type="dxa"/>
          </w:tblCellMar>
        </w:tblPrEx>
        <w:trPr>
          <w:gridAfter w:val="1"/>
          <w:wAfter w:w="14" w:type="pct"/>
          <w:trHeight w:val="931" w:hRule="atLeast"/>
        </w:trPr>
        <w:tc>
          <w:tcPr>
            <w:tcW w:w="546" w:type="pct"/>
            <w:tcBorders>
              <w:top w:val="single" w:color="000000" w:sz="4" w:space="0"/>
              <w:left w:val="single" w:color="000000" w:sz="4" w:space="0"/>
              <w:bottom w:val="single" w:color="000000" w:sz="4" w:space="0"/>
              <w:right w:val="single" w:color="000000" w:sz="4" w:space="0"/>
            </w:tcBorders>
            <w:vAlign w:val="center"/>
          </w:tcPr>
          <w:p w14:paraId="050DDAB1">
            <w:pPr>
              <w:widowControl/>
              <w:jc w:val="center"/>
              <w:textAlignment w:val="center"/>
              <w:rPr>
                <w:rFonts w:ascii="宋体" w:hAnsi="宋体" w:eastAsia="宋体" w:cs="宋体"/>
                <w:color w:val="000000"/>
                <w:sz w:val="28"/>
                <w:szCs w:val="28"/>
              </w:rPr>
            </w:pPr>
            <w:r>
              <w:rPr>
                <w:rFonts w:hint="eastAsia" w:ascii="宋体" w:hAnsi="宋体" w:eastAsia="宋体" w:cs="宋体"/>
                <w:snapToGrid w:val="0"/>
                <w:color w:val="000000"/>
                <w:kern w:val="0"/>
                <w:sz w:val="28"/>
                <w:szCs w:val="28"/>
                <w:lang w:bidi="ar"/>
              </w:rPr>
              <w:t>序号</w:t>
            </w:r>
          </w:p>
        </w:tc>
        <w:tc>
          <w:tcPr>
            <w:tcW w:w="1130" w:type="pct"/>
            <w:tcBorders>
              <w:top w:val="single" w:color="000000" w:sz="4" w:space="0"/>
              <w:left w:val="single" w:color="000000" w:sz="4" w:space="0"/>
              <w:bottom w:val="single" w:color="000000" w:sz="4" w:space="0"/>
              <w:right w:val="single" w:color="000000" w:sz="4" w:space="0"/>
            </w:tcBorders>
            <w:vAlign w:val="center"/>
          </w:tcPr>
          <w:p w14:paraId="2CE9C6FA">
            <w:pPr>
              <w:widowControl/>
              <w:jc w:val="center"/>
              <w:textAlignment w:val="center"/>
              <w:rPr>
                <w:rFonts w:ascii="宋体" w:hAnsi="宋体" w:eastAsia="宋体" w:cs="宋体"/>
                <w:color w:val="000000"/>
                <w:sz w:val="28"/>
                <w:szCs w:val="28"/>
              </w:rPr>
            </w:pPr>
            <w:r>
              <w:rPr>
                <w:rFonts w:hint="eastAsia" w:ascii="宋体" w:hAnsi="宋体" w:eastAsia="宋体" w:cs="宋体"/>
                <w:snapToGrid w:val="0"/>
                <w:color w:val="000000"/>
                <w:kern w:val="0"/>
                <w:sz w:val="28"/>
                <w:szCs w:val="28"/>
                <w:lang w:bidi="ar"/>
              </w:rPr>
              <w:t>品类</w:t>
            </w:r>
          </w:p>
        </w:tc>
        <w:tc>
          <w:tcPr>
            <w:tcW w:w="1068" w:type="pct"/>
            <w:tcBorders>
              <w:top w:val="single" w:color="000000" w:sz="4" w:space="0"/>
              <w:left w:val="single" w:color="000000" w:sz="4" w:space="0"/>
              <w:bottom w:val="single" w:color="000000" w:sz="4" w:space="0"/>
              <w:right w:val="single" w:color="000000" w:sz="4" w:space="0"/>
            </w:tcBorders>
            <w:vAlign w:val="center"/>
          </w:tcPr>
          <w:p w14:paraId="7FFFE3A3">
            <w:pPr>
              <w:widowControl/>
              <w:jc w:val="center"/>
              <w:textAlignment w:val="center"/>
              <w:rPr>
                <w:rFonts w:ascii="宋体" w:hAnsi="宋体" w:eastAsia="宋体" w:cs="宋体"/>
                <w:color w:val="000000"/>
                <w:sz w:val="28"/>
                <w:szCs w:val="28"/>
              </w:rPr>
            </w:pPr>
            <w:r>
              <w:rPr>
                <w:rFonts w:hint="eastAsia" w:ascii="宋体" w:hAnsi="宋体" w:eastAsia="宋体" w:cs="宋体"/>
                <w:color w:val="000000"/>
                <w:sz w:val="28"/>
                <w:szCs w:val="28"/>
              </w:rPr>
              <w:t>权重（%）</w:t>
            </w:r>
          </w:p>
        </w:tc>
        <w:tc>
          <w:tcPr>
            <w:tcW w:w="2240" w:type="pct"/>
            <w:tcBorders>
              <w:top w:val="single" w:color="000000" w:sz="4" w:space="0"/>
              <w:left w:val="single" w:color="000000" w:sz="4" w:space="0"/>
              <w:bottom w:val="single" w:color="000000" w:sz="4" w:space="0"/>
              <w:right w:val="single" w:color="000000" w:sz="4" w:space="0"/>
            </w:tcBorders>
            <w:vAlign w:val="center"/>
          </w:tcPr>
          <w:p w14:paraId="3AC3D8BA">
            <w:pPr>
              <w:widowControl/>
              <w:jc w:val="center"/>
              <w:textAlignment w:val="center"/>
              <w:rPr>
                <w:rFonts w:ascii="宋体" w:hAnsi="宋体" w:eastAsia="宋体" w:cs="宋体"/>
                <w:color w:val="000000"/>
                <w:sz w:val="28"/>
                <w:szCs w:val="28"/>
              </w:rPr>
            </w:pPr>
            <w:r>
              <w:rPr>
                <w:rFonts w:hint="eastAsia" w:ascii="宋体" w:hAnsi="宋体" w:eastAsia="宋体" w:cs="宋体"/>
                <w:snapToGrid w:val="0"/>
                <w:color w:val="000000"/>
                <w:kern w:val="0"/>
                <w:sz w:val="28"/>
                <w:szCs w:val="28"/>
                <w:lang w:bidi="ar"/>
              </w:rPr>
              <w:t>清单范围外折扣（含税，%）</w:t>
            </w:r>
          </w:p>
        </w:tc>
      </w:tr>
      <w:tr w14:paraId="78906F7D">
        <w:tblPrEx>
          <w:tblCellMar>
            <w:top w:w="0" w:type="dxa"/>
            <w:left w:w="108" w:type="dxa"/>
            <w:bottom w:w="0" w:type="dxa"/>
            <w:right w:w="108" w:type="dxa"/>
          </w:tblCellMar>
        </w:tblPrEx>
        <w:trPr>
          <w:gridAfter w:val="1"/>
          <w:wAfter w:w="14" w:type="pct"/>
          <w:trHeight w:val="657" w:hRule="atLeast"/>
        </w:trPr>
        <w:tc>
          <w:tcPr>
            <w:tcW w:w="546" w:type="pct"/>
            <w:tcBorders>
              <w:top w:val="single" w:color="000000" w:sz="4" w:space="0"/>
              <w:left w:val="single" w:color="000000" w:sz="4" w:space="0"/>
              <w:bottom w:val="single" w:color="000000" w:sz="4" w:space="0"/>
              <w:right w:val="single" w:color="000000" w:sz="4" w:space="0"/>
            </w:tcBorders>
            <w:vAlign w:val="center"/>
          </w:tcPr>
          <w:p w14:paraId="018689FB">
            <w:pPr>
              <w:widowControl/>
              <w:jc w:val="center"/>
              <w:textAlignment w:val="center"/>
              <w:rPr>
                <w:rFonts w:ascii="宋体" w:hAnsi="宋体" w:eastAsia="宋体" w:cs="宋体"/>
                <w:color w:val="000000"/>
                <w:sz w:val="28"/>
                <w:szCs w:val="28"/>
              </w:rPr>
            </w:pPr>
            <w:r>
              <w:rPr>
                <w:rFonts w:ascii="宋体" w:hAnsi="宋体" w:eastAsia="宋体" w:cs="宋体"/>
                <w:snapToGrid w:val="0"/>
                <w:color w:val="000000"/>
                <w:kern w:val="0"/>
                <w:sz w:val="28"/>
                <w:szCs w:val="28"/>
                <w:lang w:bidi="ar"/>
              </w:rPr>
              <w:t>1</w:t>
            </w:r>
          </w:p>
        </w:tc>
        <w:tc>
          <w:tcPr>
            <w:tcW w:w="1130" w:type="pct"/>
            <w:tcBorders>
              <w:top w:val="single" w:color="000000" w:sz="4" w:space="0"/>
              <w:left w:val="single" w:color="000000" w:sz="4" w:space="0"/>
              <w:bottom w:val="single" w:color="000000" w:sz="4" w:space="0"/>
              <w:right w:val="single" w:color="000000" w:sz="4" w:space="0"/>
            </w:tcBorders>
            <w:vAlign w:val="center"/>
          </w:tcPr>
          <w:p w14:paraId="1507B856">
            <w:pPr>
              <w:widowControl/>
              <w:jc w:val="center"/>
              <w:textAlignment w:val="center"/>
              <w:rPr>
                <w:rFonts w:ascii="宋体" w:hAnsi="宋体" w:eastAsia="宋体" w:cs="宋体"/>
                <w:color w:val="000000"/>
                <w:sz w:val="28"/>
                <w:szCs w:val="28"/>
              </w:rPr>
            </w:pPr>
            <w:r>
              <w:rPr>
                <w:rFonts w:hint="eastAsia" w:ascii="宋体" w:hAnsi="宋体" w:eastAsia="宋体" w:cs="宋体"/>
                <w:snapToGrid w:val="0"/>
                <w:color w:val="000000"/>
                <w:kern w:val="0"/>
                <w:sz w:val="28"/>
                <w:szCs w:val="28"/>
                <w:lang w:bidi="ar"/>
              </w:rPr>
              <w:t>食品粮油类</w:t>
            </w:r>
          </w:p>
        </w:tc>
        <w:tc>
          <w:tcPr>
            <w:tcW w:w="1068" w:type="pct"/>
            <w:tcBorders>
              <w:top w:val="single" w:color="000000" w:sz="4" w:space="0"/>
              <w:left w:val="single" w:color="000000" w:sz="4" w:space="0"/>
              <w:bottom w:val="single" w:color="000000" w:sz="4" w:space="0"/>
              <w:right w:val="single" w:color="000000" w:sz="4" w:space="0"/>
            </w:tcBorders>
            <w:vAlign w:val="center"/>
          </w:tcPr>
          <w:p w14:paraId="113CEB91">
            <w:pPr>
              <w:widowControl/>
              <w:jc w:val="center"/>
              <w:rPr>
                <w:rFonts w:ascii="等线" w:hAnsi="等线" w:eastAsia="等线"/>
                <w:color w:val="000000"/>
                <w:sz w:val="28"/>
                <w:szCs w:val="28"/>
              </w:rPr>
            </w:pPr>
            <w:r>
              <w:rPr>
                <w:rFonts w:ascii="等线" w:hAnsi="等线" w:eastAsia="等线"/>
                <w:color w:val="000000"/>
                <w:sz w:val="28"/>
                <w:szCs w:val="28"/>
              </w:rPr>
              <w:t>70</w:t>
            </w:r>
          </w:p>
        </w:tc>
        <w:tc>
          <w:tcPr>
            <w:tcW w:w="2240" w:type="pct"/>
            <w:tcBorders>
              <w:top w:val="single" w:color="000000" w:sz="4" w:space="0"/>
              <w:left w:val="single" w:color="000000" w:sz="4" w:space="0"/>
              <w:bottom w:val="single" w:color="000000" w:sz="4" w:space="0"/>
              <w:right w:val="single" w:color="000000" w:sz="4" w:space="0"/>
            </w:tcBorders>
            <w:vAlign w:val="center"/>
          </w:tcPr>
          <w:p w14:paraId="6E60D92F">
            <w:pPr>
              <w:rPr>
                <w:rFonts w:ascii="宋体" w:hAnsi="宋体" w:eastAsia="宋体" w:cs="宋体"/>
                <w:color w:val="000000"/>
                <w:sz w:val="28"/>
                <w:szCs w:val="28"/>
              </w:rPr>
            </w:pPr>
          </w:p>
        </w:tc>
      </w:tr>
      <w:tr w14:paraId="30E99EB2">
        <w:tblPrEx>
          <w:tblCellMar>
            <w:top w:w="0" w:type="dxa"/>
            <w:left w:w="108" w:type="dxa"/>
            <w:bottom w:w="0" w:type="dxa"/>
            <w:right w:w="108" w:type="dxa"/>
          </w:tblCellMar>
        </w:tblPrEx>
        <w:trPr>
          <w:gridAfter w:val="1"/>
          <w:wAfter w:w="14" w:type="pct"/>
          <w:trHeight w:val="660" w:hRule="atLeast"/>
        </w:trPr>
        <w:tc>
          <w:tcPr>
            <w:tcW w:w="546" w:type="pct"/>
            <w:tcBorders>
              <w:top w:val="single" w:color="000000" w:sz="4" w:space="0"/>
              <w:left w:val="single" w:color="000000" w:sz="4" w:space="0"/>
              <w:bottom w:val="single" w:color="000000" w:sz="4" w:space="0"/>
              <w:right w:val="single" w:color="000000" w:sz="4" w:space="0"/>
            </w:tcBorders>
            <w:vAlign w:val="center"/>
          </w:tcPr>
          <w:p w14:paraId="4562649C">
            <w:pPr>
              <w:widowControl/>
              <w:jc w:val="center"/>
              <w:textAlignment w:val="center"/>
              <w:rPr>
                <w:rFonts w:ascii="宋体" w:hAnsi="宋体" w:eastAsia="宋体" w:cs="宋体"/>
                <w:color w:val="000000"/>
                <w:sz w:val="28"/>
                <w:szCs w:val="28"/>
              </w:rPr>
            </w:pPr>
            <w:r>
              <w:rPr>
                <w:rFonts w:ascii="宋体" w:hAnsi="宋体" w:eastAsia="宋体" w:cs="宋体"/>
                <w:snapToGrid w:val="0"/>
                <w:color w:val="000000"/>
                <w:kern w:val="0"/>
                <w:sz w:val="28"/>
                <w:szCs w:val="28"/>
                <w:lang w:bidi="ar"/>
              </w:rPr>
              <w:t>2</w:t>
            </w:r>
          </w:p>
        </w:tc>
        <w:tc>
          <w:tcPr>
            <w:tcW w:w="1130" w:type="pct"/>
            <w:tcBorders>
              <w:top w:val="single" w:color="000000" w:sz="4" w:space="0"/>
              <w:left w:val="single" w:color="000000" w:sz="4" w:space="0"/>
              <w:bottom w:val="single" w:color="000000" w:sz="4" w:space="0"/>
              <w:right w:val="single" w:color="000000" w:sz="4" w:space="0"/>
            </w:tcBorders>
            <w:vAlign w:val="center"/>
          </w:tcPr>
          <w:p w14:paraId="4C3DA28C">
            <w:pPr>
              <w:widowControl/>
              <w:jc w:val="center"/>
              <w:textAlignment w:val="center"/>
              <w:rPr>
                <w:rFonts w:ascii="宋体" w:hAnsi="宋体" w:eastAsia="宋体" w:cs="宋体"/>
                <w:color w:val="000000"/>
                <w:sz w:val="28"/>
                <w:szCs w:val="28"/>
              </w:rPr>
            </w:pPr>
            <w:r>
              <w:rPr>
                <w:rFonts w:hint="eastAsia" w:ascii="宋体" w:hAnsi="宋体" w:eastAsia="宋体" w:cs="宋体"/>
                <w:snapToGrid w:val="0"/>
                <w:color w:val="000000"/>
                <w:kern w:val="0"/>
                <w:sz w:val="28"/>
                <w:szCs w:val="28"/>
                <w:lang w:bidi="ar"/>
              </w:rPr>
              <w:t>家用电器</w:t>
            </w:r>
          </w:p>
        </w:tc>
        <w:tc>
          <w:tcPr>
            <w:tcW w:w="1068" w:type="pct"/>
            <w:tcBorders>
              <w:top w:val="single" w:color="000000" w:sz="4" w:space="0"/>
              <w:left w:val="single" w:color="000000" w:sz="4" w:space="0"/>
              <w:bottom w:val="single" w:color="000000" w:sz="4" w:space="0"/>
              <w:right w:val="single" w:color="000000" w:sz="4" w:space="0"/>
            </w:tcBorders>
            <w:vAlign w:val="center"/>
          </w:tcPr>
          <w:p w14:paraId="3EEAEAF0">
            <w:pPr>
              <w:jc w:val="center"/>
              <w:rPr>
                <w:rFonts w:ascii="等线" w:hAnsi="等线" w:eastAsia="等线"/>
                <w:color w:val="000000"/>
                <w:sz w:val="28"/>
                <w:szCs w:val="28"/>
              </w:rPr>
            </w:pPr>
            <w:r>
              <w:rPr>
                <w:rFonts w:hint="eastAsia" w:ascii="等线" w:hAnsi="等线" w:eastAsia="等线"/>
                <w:color w:val="000000"/>
                <w:sz w:val="28"/>
                <w:szCs w:val="28"/>
              </w:rPr>
              <w:t>5</w:t>
            </w:r>
          </w:p>
        </w:tc>
        <w:tc>
          <w:tcPr>
            <w:tcW w:w="2240" w:type="pct"/>
            <w:tcBorders>
              <w:top w:val="single" w:color="000000" w:sz="4" w:space="0"/>
              <w:left w:val="single" w:color="000000" w:sz="4" w:space="0"/>
              <w:bottom w:val="single" w:color="000000" w:sz="4" w:space="0"/>
              <w:right w:val="single" w:color="000000" w:sz="4" w:space="0"/>
            </w:tcBorders>
            <w:vAlign w:val="center"/>
          </w:tcPr>
          <w:p w14:paraId="0323C337">
            <w:pPr>
              <w:rPr>
                <w:rFonts w:ascii="宋体" w:hAnsi="宋体" w:eastAsia="宋体" w:cs="宋体"/>
                <w:color w:val="000000"/>
                <w:sz w:val="28"/>
                <w:szCs w:val="28"/>
              </w:rPr>
            </w:pPr>
          </w:p>
        </w:tc>
      </w:tr>
      <w:tr w14:paraId="2CA82238">
        <w:tblPrEx>
          <w:tblCellMar>
            <w:top w:w="0" w:type="dxa"/>
            <w:left w:w="108" w:type="dxa"/>
            <w:bottom w:w="0" w:type="dxa"/>
            <w:right w:w="108" w:type="dxa"/>
          </w:tblCellMar>
        </w:tblPrEx>
        <w:trPr>
          <w:gridAfter w:val="1"/>
          <w:wAfter w:w="14" w:type="pct"/>
          <w:trHeight w:val="686" w:hRule="atLeast"/>
        </w:trPr>
        <w:tc>
          <w:tcPr>
            <w:tcW w:w="546" w:type="pct"/>
            <w:tcBorders>
              <w:top w:val="single" w:color="000000" w:sz="4" w:space="0"/>
              <w:left w:val="single" w:color="000000" w:sz="4" w:space="0"/>
              <w:bottom w:val="single" w:color="000000" w:sz="4" w:space="0"/>
              <w:right w:val="single" w:color="000000" w:sz="4" w:space="0"/>
            </w:tcBorders>
            <w:vAlign w:val="center"/>
          </w:tcPr>
          <w:p w14:paraId="4308C194">
            <w:pPr>
              <w:widowControl/>
              <w:jc w:val="center"/>
              <w:textAlignment w:val="center"/>
              <w:rPr>
                <w:rFonts w:ascii="宋体" w:hAnsi="宋体" w:eastAsia="宋体" w:cs="宋体"/>
                <w:color w:val="000000"/>
                <w:sz w:val="28"/>
                <w:szCs w:val="28"/>
              </w:rPr>
            </w:pPr>
            <w:r>
              <w:rPr>
                <w:rFonts w:ascii="宋体" w:hAnsi="宋体" w:eastAsia="宋体" w:cs="宋体"/>
                <w:snapToGrid w:val="0"/>
                <w:color w:val="000000"/>
                <w:kern w:val="0"/>
                <w:sz w:val="28"/>
                <w:szCs w:val="28"/>
                <w:lang w:bidi="ar"/>
              </w:rPr>
              <w:t>3</w:t>
            </w:r>
          </w:p>
        </w:tc>
        <w:tc>
          <w:tcPr>
            <w:tcW w:w="1130" w:type="pct"/>
            <w:tcBorders>
              <w:top w:val="single" w:color="000000" w:sz="4" w:space="0"/>
              <w:left w:val="single" w:color="000000" w:sz="4" w:space="0"/>
              <w:bottom w:val="single" w:color="000000" w:sz="4" w:space="0"/>
              <w:right w:val="single" w:color="000000" w:sz="4" w:space="0"/>
            </w:tcBorders>
            <w:vAlign w:val="center"/>
          </w:tcPr>
          <w:p w14:paraId="42882C6D">
            <w:pPr>
              <w:widowControl/>
              <w:jc w:val="center"/>
              <w:textAlignment w:val="center"/>
              <w:rPr>
                <w:rFonts w:ascii="宋体" w:hAnsi="宋体" w:eastAsia="宋体" w:cs="宋体"/>
                <w:color w:val="000000"/>
                <w:sz w:val="28"/>
                <w:szCs w:val="28"/>
              </w:rPr>
            </w:pPr>
            <w:r>
              <w:rPr>
                <w:rFonts w:hint="eastAsia" w:ascii="宋体" w:hAnsi="宋体" w:eastAsia="宋体" w:cs="宋体"/>
                <w:snapToGrid w:val="0"/>
                <w:color w:val="000000"/>
                <w:kern w:val="0"/>
                <w:sz w:val="28"/>
                <w:szCs w:val="28"/>
                <w:lang w:bidi="ar"/>
              </w:rPr>
              <w:t>3</w:t>
            </w:r>
            <w:r>
              <w:rPr>
                <w:rFonts w:ascii="宋体" w:hAnsi="宋体" w:eastAsia="宋体" w:cs="宋体"/>
                <w:snapToGrid w:val="0"/>
                <w:color w:val="000000"/>
                <w:kern w:val="0"/>
                <w:sz w:val="28"/>
                <w:szCs w:val="28"/>
                <w:lang w:bidi="ar"/>
              </w:rPr>
              <w:t>C</w:t>
            </w:r>
            <w:r>
              <w:rPr>
                <w:rFonts w:hint="eastAsia" w:ascii="宋体" w:hAnsi="宋体" w:eastAsia="宋体" w:cs="宋体"/>
                <w:snapToGrid w:val="0"/>
                <w:color w:val="000000"/>
                <w:kern w:val="0"/>
                <w:sz w:val="28"/>
                <w:szCs w:val="28"/>
                <w:lang w:bidi="ar"/>
              </w:rPr>
              <w:t>数码</w:t>
            </w:r>
            <w:r>
              <w:rPr>
                <w:rFonts w:ascii="宋体" w:hAnsi="宋体" w:eastAsia="宋体" w:cs="宋体"/>
                <w:snapToGrid w:val="0"/>
                <w:color w:val="000000"/>
                <w:kern w:val="0"/>
                <w:sz w:val="28"/>
                <w:szCs w:val="28"/>
                <w:lang w:bidi="ar"/>
              </w:rPr>
              <w:t>类</w:t>
            </w:r>
          </w:p>
        </w:tc>
        <w:tc>
          <w:tcPr>
            <w:tcW w:w="1068" w:type="pct"/>
            <w:tcBorders>
              <w:top w:val="single" w:color="000000" w:sz="4" w:space="0"/>
              <w:left w:val="single" w:color="000000" w:sz="4" w:space="0"/>
              <w:bottom w:val="single" w:color="000000" w:sz="4" w:space="0"/>
              <w:right w:val="single" w:color="000000" w:sz="4" w:space="0"/>
            </w:tcBorders>
            <w:vAlign w:val="center"/>
          </w:tcPr>
          <w:p w14:paraId="3D20772E">
            <w:pPr>
              <w:jc w:val="center"/>
              <w:rPr>
                <w:rFonts w:ascii="等线" w:hAnsi="等线" w:eastAsia="等线"/>
                <w:color w:val="000000"/>
                <w:sz w:val="28"/>
                <w:szCs w:val="28"/>
              </w:rPr>
            </w:pPr>
            <w:r>
              <w:rPr>
                <w:rFonts w:ascii="等线" w:hAnsi="等线" w:eastAsia="等线"/>
                <w:color w:val="000000"/>
                <w:sz w:val="28"/>
                <w:szCs w:val="28"/>
              </w:rPr>
              <w:t>2</w:t>
            </w:r>
          </w:p>
        </w:tc>
        <w:tc>
          <w:tcPr>
            <w:tcW w:w="2240" w:type="pct"/>
            <w:tcBorders>
              <w:top w:val="single" w:color="000000" w:sz="4" w:space="0"/>
              <w:left w:val="single" w:color="000000" w:sz="4" w:space="0"/>
              <w:bottom w:val="single" w:color="000000" w:sz="4" w:space="0"/>
              <w:right w:val="single" w:color="000000" w:sz="4" w:space="0"/>
            </w:tcBorders>
            <w:vAlign w:val="center"/>
          </w:tcPr>
          <w:p w14:paraId="42B54505">
            <w:pPr>
              <w:rPr>
                <w:rFonts w:ascii="宋体" w:hAnsi="宋体" w:eastAsia="宋体" w:cs="宋体"/>
                <w:color w:val="000000"/>
                <w:sz w:val="28"/>
                <w:szCs w:val="28"/>
              </w:rPr>
            </w:pPr>
          </w:p>
        </w:tc>
      </w:tr>
      <w:tr w14:paraId="5836FEDA">
        <w:tblPrEx>
          <w:tblCellMar>
            <w:top w:w="0" w:type="dxa"/>
            <w:left w:w="108" w:type="dxa"/>
            <w:bottom w:w="0" w:type="dxa"/>
            <w:right w:w="108" w:type="dxa"/>
          </w:tblCellMar>
        </w:tblPrEx>
        <w:trPr>
          <w:gridAfter w:val="1"/>
          <w:wAfter w:w="14" w:type="pct"/>
          <w:trHeight w:val="565" w:hRule="atLeast"/>
        </w:trPr>
        <w:tc>
          <w:tcPr>
            <w:tcW w:w="546" w:type="pct"/>
            <w:tcBorders>
              <w:top w:val="single" w:color="000000" w:sz="4" w:space="0"/>
              <w:left w:val="single" w:color="000000" w:sz="4" w:space="0"/>
              <w:bottom w:val="single" w:color="000000" w:sz="4" w:space="0"/>
              <w:right w:val="single" w:color="000000" w:sz="4" w:space="0"/>
            </w:tcBorders>
            <w:vAlign w:val="center"/>
          </w:tcPr>
          <w:p w14:paraId="22C974B7">
            <w:pPr>
              <w:widowControl/>
              <w:jc w:val="center"/>
              <w:textAlignment w:val="center"/>
              <w:rPr>
                <w:rFonts w:ascii="宋体" w:hAnsi="宋体" w:eastAsia="宋体" w:cs="宋体"/>
                <w:color w:val="000000"/>
                <w:sz w:val="28"/>
                <w:szCs w:val="28"/>
              </w:rPr>
            </w:pPr>
            <w:r>
              <w:rPr>
                <w:rFonts w:ascii="宋体" w:hAnsi="宋体" w:eastAsia="宋体" w:cs="宋体"/>
                <w:snapToGrid w:val="0"/>
                <w:color w:val="000000"/>
                <w:kern w:val="0"/>
                <w:sz w:val="28"/>
                <w:szCs w:val="28"/>
                <w:lang w:bidi="ar"/>
              </w:rPr>
              <w:t>4</w:t>
            </w:r>
          </w:p>
        </w:tc>
        <w:tc>
          <w:tcPr>
            <w:tcW w:w="1130" w:type="pct"/>
            <w:tcBorders>
              <w:top w:val="single" w:color="000000" w:sz="4" w:space="0"/>
              <w:left w:val="single" w:color="000000" w:sz="4" w:space="0"/>
              <w:bottom w:val="single" w:color="000000" w:sz="4" w:space="0"/>
              <w:right w:val="single" w:color="000000" w:sz="4" w:space="0"/>
            </w:tcBorders>
            <w:vAlign w:val="center"/>
          </w:tcPr>
          <w:p w14:paraId="0DA6AF77">
            <w:pPr>
              <w:widowControl/>
              <w:jc w:val="center"/>
              <w:textAlignment w:val="center"/>
              <w:rPr>
                <w:rFonts w:ascii="宋体" w:hAnsi="宋体" w:eastAsia="宋体" w:cs="宋体"/>
                <w:color w:val="000000"/>
                <w:sz w:val="28"/>
                <w:szCs w:val="28"/>
              </w:rPr>
            </w:pPr>
            <w:r>
              <w:rPr>
                <w:rFonts w:hint="eastAsia" w:ascii="宋体" w:hAnsi="宋体" w:eastAsia="宋体" w:cs="宋体"/>
                <w:snapToGrid w:val="0"/>
                <w:color w:val="000000"/>
                <w:kern w:val="0"/>
                <w:sz w:val="28"/>
                <w:szCs w:val="28"/>
                <w:lang w:bidi="ar"/>
              </w:rPr>
              <w:t>茶具厨具类</w:t>
            </w:r>
          </w:p>
        </w:tc>
        <w:tc>
          <w:tcPr>
            <w:tcW w:w="1068" w:type="pct"/>
            <w:tcBorders>
              <w:top w:val="single" w:color="000000" w:sz="4" w:space="0"/>
              <w:left w:val="single" w:color="000000" w:sz="4" w:space="0"/>
              <w:bottom w:val="single" w:color="000000" w:sz="4" w:space="0"/>
              <w:right w:val="single" w:color="000000" w:sz="4" w:space="0"/>
            </w:tcBorders>
            <w:vAlign w:val="center"/>
          </w:tcPr>
          <w:p w14:paraId="767BA99D">
            <w:pPr>
              <w:jc w:val="center"/>
              <w:rPr>
                <w:rFonts w:ascii="等线" w:hAnsi="等线" w:eastAsia="等线"/>
                <w:color w:val="000000"/>
                <w:sz w:val="28"/>
                <w:szCs w:val="28"/>
              </w:rPr>
            </w:pPr>
            <w:r>
              <w:rPr>
                <w:rFonts w:hint="eastAsia" w:ascii="等线" w:hAnsi="等线" w:eastAsia="等线"/>
                <w:color w:val="000000"/>
                <w:sz w:val="28"/>
                <w:szCs w:val="28"/>
              </w:rPr>
              <w:t>5</w:t>
            </w:r>
          </w:p>
        </w:tc>
        <w:tc>
          <w:tcPr>
            <w:tcW w:w="2240" w:type="pct"/>
            <w:tcBorders>
              <w:top w:val="single" w:color="000000" w:sz="4" w:space="0"/>
              <w:left w:val="single" w:color="000000" w:sz="4" w:space="0"/>
              <w:bottom w:val="single" w:color="000000" w:sz="4" w:space="0"/>
              <w:right w:val="single" w:color="000000" w:sz="4" w:space="0"/>
            </w:tcBorders>
            <w:vAlign w:val="center"/>
          </w:tcPr>
          <w:p w14:paraId="140B1EE5">
            <w:pPr>
              <w:rPr>
                <w:rFonts w:ascii="宋体" w:hAnsi="宋体" w:eastAsia="宋体" w:cs="宋体"/>
                <w:color w:val="000000"/>
                <w:sz w:val="28"/>
                <w:szCs w:val="28"/>
              </w:rPr>
            </w:pPr>
          </w:p>
        </w:tc>
      </w:tr>
      <w:tr w14:paraId="13715C01">
        <w:tblPrEx>
          <w:tblCellMar>
            <w:top w:w="0" w:type="dxa"/>
            <w:left w:w="108" w:type="dxa"/>
            <w:bottom w:w="0" w:type="dxa"/>
            <w:right w:w="108" w:type="dxa"/>
          </w:tblCellMar>
        </w:tblPrEx>
        <w:trPr>
          <w:gridAfter w:val="1"/>
          <w:wAfter w:w="14" w:type="pct"/>
          <w:trHeight w:val="571" w:hRule="atLeast"/>
        </w:trPr>
        <w:tc>
          <w:tcPr>
            <w:tcW w:w="546" w:type="pct"/>
            <w:tcBorders>
              <w:top w:val="single" w:color="000000" w:sz="4" w:space="0"/>
              <w:left w:val="single" w:color="000000" w:sz="4" w:space="0"/>
              <w:bottom w:val="single" w:color="000000" w:sz="4" w:space="0"/>
              <w:right w:val="single" w:color="000000" w:sz="4" w:space="0"/>
            </w:tcBorders>
            <w:vAlign w:val="center"/>
          </w:tcPr>
          <w:p w14:paraId="3764AB55">
            <w:pPr>
              <w:widowControl/>
              <w:jc w:val="center"/>
              <w:textAlignment w:val="center"/>
              <w:rPr>
                <w:rFonts w:ascii="宋体" w:hAnsi="宋体" w:eastAsia="宋体" w:cs="宋体"/>
                <w:color w:val="000000"/>
                <w:sz w:val="28"/>
                <w:szCs w:val="28"/>
              </w:rPr>
            </w:pPr>
            <w:r>
              <w:rPr>
                <w:rFonts w:ascii="宋体" w:hAnsi="宋体" w:eastAsia="宋体" w:cs="宋体"/>
                <w:snapToGrid w:val="0"/>
                <w:color w:val="000000"/>
                <w:kern w:val="0"/>
                <w:sz w:val="28"/>
                <w:szCs w:val="28"/>
                <w:lang w:bidi="ar"/>
              </w:rPr>
              <w:t>5</w:t>
            </w:r>
          </w:p>
        </w:tc>
        <w:tc>
          <w:tcPr>
            <w:tcW w:w="1130" w:type="pct"/>
            <w:tcBorders>
              <w:top w:val="single" w:color="000000" w:sz="4" w:space="0"/>
              <w:left w:val="single" w:color="000000" w:sz="4" w:space="0"/>
              <w:bottom w:val="single" w:color="000000" w:sz="4" w:space="0"/>
              <w:right w:val="single" w:color="000000" w:sz="4" w:space="0"/>
            </w:tcBorders>
            <w:vAlign w:val="center"/>
          </w:tcPr>
          <w:p w14:paraId="6D806FFC">
            <w:pPr>
              <w:widowControl/>
              <w:jc w:val="center"/>
              <w:textAlignment w:val="center"/>
              <w:rPr>
                <w:rFonts w:ascii="宋体" w:hAnsi="宋体" w:eastAsia="宋体" w:cs="宋体"/>
                <w:color w:val="000000"/>
                <w:sz w:val="28"/>
                <w:szCs w:val="28"/>
              </w:rPr>
            </w:pPr>
            <w:r>
              <w:rPr>
                <w:rFonts w:hint="eastAsia" w:ascii="宋体" w:hAnsi="宋体" w:eastAsia="宋体" w:cs="宋体"/>
                <w:color w:val="000000"/>
                <w:sz w:val="28"/>
                <w:szCs w:val="28"/>
              </w:rPr>
              <w:t>居家</w:t>
            </w:r>
            <w:r>
              <w:rPr>
                <w:rFonts w:ascii="宋体" w:hAnsi="宋体" w:eastAsia="宋体" w:cs="宋体"/>
                <w:color w:val="000000"/>
                <w:sz w:val="28"/>
                <w:szCs w:val="28"/>
              </w:rPr>
              <w:t>布艺类</w:t>
            </w:r>
          </w:p>
        </w:tc>
        <w:tc>
          <w:tcPr>
            <w:tcW w:w="1068" w:type="pct"/>
            <w:tcBorders>
              <w:top w:val="single" w:color="000000" w:sz="4" w:space="0"/>
              <w:left w:val="single" w:color="000000" w:sz="4" w:space="0"/>
              <w:bottom w:val="single" w:color="000000" w:sz="4" w:space="0"/>
              <w:right w:val="single" w:color="000000" w:sz="4" w:space="0"/>
            </w:tcBorders>
            <w:vAlign w:val="center"/>
          </w:tcPr>
          <w:p w14:paraId="58F23ABD">
            <w:pPr>
              <w:jc w:val="center"/>
              <w:rPr>
                <w:rFonts w:ascii="等线" w:hAnsi="等线" w:eastAsia="等线"/>
                <w:color w:val="000000"/>
                <w:sz w:val="28"/>
                <w:szCs w:val="28"/>
              </w:rPr>
            </w:pPr>
            <w:r>
              <w:rPr>
                <w:rFonts w:hint="eastAsia" w:ascii="等线" w:hAnsi="等线" w:eastAsia="等线"/>
                <w:color w:val="000000"/>
                <w:sz w:val="28"/>
                <w:szCs w:val="28"/>
              </w:rPr>
              <w:t>3</w:t>
            </w:r>
          </w:p>
        </w:tc>
        <w:tc>
          <w:tcPr>
            <w:tcW w:w="2240" w:type="pct"/>
            <w:tcBorders>
              <w:top w:val="single" w:color="000000" w:sz="4" w:space="0"/>
              <w:left w:val="single" w:color="000000" w:sz="4" w:space="0"/>
              <w:bottom w:val="single" w:color="000000" w:sz="4" w:space="0"/>
              <w:right w:val="single" w:color="000000" w:sz="4" w:space="0"/>
            </w:tcBorders>
            <w:vAlign w:val="center"/>
          </w:tcPr>
          <w:p w14:paraId="63CAACC8">
            <w:pPr>
              <w:rPr>
                <w:rFonts w:ascii="宋体" w:hAnsi="宋体" w:eastAsia="宋体" w:cs="宋体"/>
                <w:color w:val="000000"/>
                <w:sz w:val="28"/>
                <w:szCs w:val="28"/>
              </w:rPr>
            </w:pPr>
          </w:p>
        </w:tc>
      </w:tr>
      <w:tr w14:paraId="39176B67">
        <w:tblPrEx>
          <w:tblCellMar>
            <w:top w:w="0" w:type="dxa"/>
            <w:left w:w="108" w:type="dxa"/>
            <w:bottom w:w="0" w:type="dxa"/>
            <w:right w:w="108" w:type="dxa"/>
          </w:tblCellMar>
        </w:tblPrEx>
        <w:trPr>
          <w:gridAfter w:val="1"/>
          <w:wAfter w:w="14" w:type="pct"/>
          <w:trHeight w:val="571" w:hRule="atLeast"/>
        </w:trPr>
        <w:tc>
          <w:tcPr>
            <w:tcW w:w="546" w:type="pct"/>
            <w:tcBorders>
              <w:top w:val="single" w:color="000000" w:sz="4" w:space="0"/>
              <w:left w:val="single" w:color="000000" w:sz="4" w:space="0"/>
              <w:bottom w:val="single" w:color="000000" w:sz="4" w:space="0"/>
              <w:right w:val="single" w:color="000000" w:sz="4" w:space="0"/>
            </w:tcBorders>
            <w:vAlign w:val="center"/>
          </w:tcPr>
          <w:p w14:paraId="127B0286">
            <w:pPr>
              <w:widowControl/>
              <w:jc w:val="center"/>
              <w:textAlignment w:val="center"/>
              <w:rPr>
                <w:rFonts w:ascii="宋体" w:hAnsi="宋体" w:eastAsia="宋体" w:cs="宋体"/>
                <w:snapToGrid w:val="0"/>
                <w:color w:val="000000"/>
                <w:kern w:val="0"/>
                <w:sz w:val="28"/>
                <w:szCs w:val="28"/>
                <w:lang w:bidi="ar"/>
              </w:rPr>
            </w:pPr>
            <w:r>
              <w:rPr>
                <w:rFonts w:hint="eastAsia" w:ascii="宋体" w:hAnsi="宋体" w:eastAsia="宋体" w:cs="宋体"/>
                <w:snapToGrid w:val="0"/>
                <w:color w:val="000000"/>
                <w:kern w:val="0"/>
                <w:sz w:val="28"/>
                <w:szCs w:val="28"/>
                <w:lang w:bidi="ar"/>
              </w:rPr>
              <w:t>6</w:t>
            </w:r>
          </w:p>
        </w:tc>
        <w:tc>
          <w:tcPr>
            <w:tcW w:w="1130" w:type="pct"/>
            <w:tcBorders>
              <w:top w:val="single" w:color="000000" w:sz="4" w:space="0"/>
              <w:left w:val="single" w:color="000000" w:sz="4" w:space="0"/>
              <w:bottom w:val="single" w:color="000000" w:sz="4" w:space="0"/>
              <w:right w:val="single" w:color="000000" w:sz="4" w:space="0"/>
            </w:tcBorders>
            <w:vAlign w:val="center"/>
          </w:tcPr>
          <w:p w14:paraId="7F16DA31">
            <w:pPr>
              <w:widowControl/>
              <w:jc w:val="center"/>
              <w:textAlignment w:val="center"/>
              <w:rPr>
                <w:rFonts w:ascii="宋体" w:hAnsi="宋体" w:eastAsia="宋体" w:cs="宋体"/>
                <w:snapToGrid w:val="0"/>
                <w:color w:val="000000"/>
                <w:kern w:val="0"/>
                <w:sz w:val="28"/>
                <w:szCs w:val="28"/>
                <w:lang w:bidi="ar"/>
              </w:rPr>
            </w:pPr>
            <w:r>
              <w:rPr>
                <w:rFonts w:hint="eastAsia" w:ascii="宋体" w:hAnsi="宋体" w:eastAsia="宋体" w:cs="宋体"/>
                <w:snapToGrid w:val="0"/>
                <w:color w:val="000000"/>
                <w:kern w:val="0"/>
                <w:sz w:val="28"/>
                <w:szCs w:val="28"/>
                <w:lang w:bidi="ar"/>
              </w:rPr>
              <w:t>清洁</w:t>
            </w:r>
            <w:r>
              <w:rPr>
                <w:rFonts w:ascii="宋体" w:hAnsi="宋体" w:eastAsia="宋体" w:cs="宋体"/>
                <w:snapToGrid w:val="0"/>
                <w:color w:val="000000"/>
                <w:kern w:val="0"/>
                <w:sz w:val="28"/>
                <w:szCs w:val="28"/>
                <w:lang w:bidi="ar"/>
              </w:rPr>
              <w:t>洗护类</w:t>
            </w:r>
          </w:p>
        </w:tc>
        <w:tc>
          <w:tcPr>
            <w:tcW w:w="1068" w:type="pct"/>
            <w:tcBorders>
              <w:top w:val="single" w:color="000000" w:sz="4" w:space="0"/>
              <w:left w:val="single" w:color="000000" w:sz="4" w:space="0"/>
              <w:bottom w:val="single" w:color="000000" w:sz="4" w:space="0"/>
              <w:right w:val="single" w:color="000000" w:sz="4" w:space="0"/>
            </w:tcBorders>
            <w:vAlign w:val="center"/>
          </w:tcPr>
          <w:p w14:paraId="65998902">
            <w:pPr>
              <w:jc w:val="center"/>
              <w:rPr>
                <w:rFonts w:ascii="等线" w:hAnsi="等线" w:eastAsia="等线"/>
                <w:color w:val="000000"/>
                <w:sz w:val="28"/>
                <w:szCs w:val="28"/>
              </w:rPr>
            </w:pPr>
            <w:r>
              <w:rPr>
                <w:rFonts w:hint="eastAsia" w:ascii="等线" w:hAnsi="等线" w:eastAsia="等线"/>
                <w:color w:val="000000"/>
                <w:sz w:val="28"/>
                <w:szCs w:val="28"/>
              </w:rPr>
              <w:t>5</w:t>
            </w:r>
          </w:p>
        </w:tc>
        <w:tc>
          <w:tcPr>
            <w:tcW w:w="2240" w:type="pct"/>
            <w:tcBorders>
              <w:top w:val="single" w:color="000000" w:sz="4" w:space="0"/>
              <w:left w:val="single" w:color="000000" w:sz="4" w:space="0"/>
              <w:bottom w:val="single" w:color="000000" w:sz="4" w:space="0"/>
              <w:right w:val="single" w:color="000000" w:sz="4" w:space="0"/>
            </w:tcBorders>
            <w:vAlign w:val="center"/>
          </w:tcPr>
          <w:p w14:paraId="4A248511">
            <w:pPr>
              <w:rPr>
                <w:rFonts w:ascii="宋体" w:hAnsi="宋体" w:eastAsia="宋体" w:cs="宋体"/>
                <w:color w:val="000000"/>
                <w:sz w:val="28"/>
                <w:szCs w:val="28"/>
              </w:rPr>
            </w:pPr>
          </w:p>
        </w:tc>
      </w:tr>
      <w:tr w14:paraId="0A2D6C88">
        <w:tblPrEx>
          <w:tblCellMar>
            <w:top w:w="0" w:type="dxa"/>
            <w:left w:w="108" w:type="dxa"/>
            <w:bottom w:w="0" w:type="dxa"/>
            <w:right w:w="108" w:type="dxa"/>
          </w:tblCellMar>
        </w:tblPrEx>
        <w:trPr>
          <w:gridAfter w:val="1"/>
          <w:wAfter w:w="14" w:type="pct"/>
          <w:trHeight w:val="571" w:hRule="atLeast"/>
        </w:trPr>
        <w:tc>
          <w:tcPr>
            <w:tcW w:w="546" w:type="pct"/>
            <w:tcBorders>
              <w:top w:val="single" w:color="000000" w:sz="4" w:space="0"/>
              <w:left w:val="single" w:color="000000" w:sz="4" w:space="0"/>
              <w:bottom w:val="single" w:color="000000" w:sz="4" w:space="0"/>
              <w:right w:val="single" w:color="000000" w:sz="4" w:space="0"/>
            </w:tcBorders>
            <w:vAlign w:val="center"/>
          </w:tcPr>
          <w:p w14:paraId="47324E26">
            <w:pPr>
              <w:widowControl/>
              <w:jc w:val="center"/>
              <w:textAlignment w:val="center"/>
              <w:rPr>
                <w:rFonts w:ascii="宋体" w:hAnsi="宋体" w:eastAsia="宋体" w:cs="宋体"/>
                <w:snapToGrid w:val="0"/>
                <w:color w:val="000000"/>
                <w:kern w:val="0"/>
                <w:sz w:val="28"/>
                <w:szCs w:val="28"/>
                <w:lang w:bidi="ar"/>
              </w:rPr>
            </w:pPr>
            <w:r>
              <w:rPr>
                <w:rFonts w:hint="eastAsia" w:ascii="宋体" w:hAnsi="宋体" w:eastAsia="宋体" w:cs="宋体"/>
                <w:snapToGrid w:val="0"/>
                <w:color w:val="000000"/>
                <w:kern w:val="0"/>
                <w:sz w:val="28"/>
                <w:szCs w:val="28"/>
                <w:lang w:bidi="ar"/>
              </w:rPr>
              <w:t>7</w:t>
            </w:r>
          </w:p>
        </w:tc>
        <w:tc>
          <w:tcPr>
            <w:tcW w:w="1130" w:type="pct"/>
            <w:tcBorders>
              <w:top w:val="single" w:color="000000" w:sz="4" w:space="0"/>
              <w:left w:val="single" w:color="000000" w:sz="4" w:space="0"/>
              <w:bottom w:val="single" w:color="000000" w:sz="4" w:space="0"/>
              <w:right w:val="single" w:color="000000" w:sz="4" w:space="0"/>
            </w:tcBorders>
            <w:vAlign w:val="center"/>
          </w:tcPr>
          <w:p w14:paraId="1E84F60F">
            <w:pPr>
              <w:widowControl/>
              <w:jc w:val="center"/>
              <w:textAlignment w:val="center"/>
              <w:rPr>
                <w:rFonts w:ascii="宋体" w:hAnsi="宋体" w:eastAsia="宋体" w:cs="宋体"/>
                <w:snapToGrid w:val="0"/>
                <w:color w:val="000000"/>
                <w:kern w:val="0"/>
                <w:sz w:val="28"/>
                <w:szCs w:val="28"/>
                <w:lang w:bidi="ar"/>
              </w:rPr>
            </w:pPr>
            <w:r>
              <w:rPr>
                <w:rFonts w:hint="eastAsia" w:ascii="宋体" w:hAnsi="宋体" w:eastAsia="宋体" w:cs="宋体"/>
                <w:snapToGrid w:val="0"/>
                <w:color w:val="000000"/>
                <w:kern w:val="0"/>
                <w:sz w:val="28"/>
                <w:szCs w:val="28"/>
                <w:lang w:bidi="ar"/>
              </w:rPr>
              <w:t>居家日用品类</w:t>
            </w:r>
          </w:p>
        </w:tc>
        <w:tc>
          <w:tcPr>
            <w:tcW w:w="1068" w:type="pct"/>
            <w:tcBorders>
              <w:top w:val="single" w:color="000000" w:sz="4" w:space="0"/>
              <w:left w:val="single" w:color="000000" w:sz="4" w:space="0"/>
              <w:bottom w:val="single" w:color="000000" w:sz="4" w:space="0"/>
              <w:right w:val="single" w:color="000000" w:sz="4" w:space="0"/>
            </w:tcBorders>
            <w:vAlign w:val="center"/>
          </w:tcPr>
          <w:p w14:paraId="7F474E64">
            <w:pPr>
              <w:jc w:val="center"/>
              <w:rPr>
                <w:rFonts w:ascii="等线" w:hAnsi="等线" w:eastAsia="等线"/>
                <w:color w:val="000000"/>
                <w:sz w:val="28"/>
                <w:szCs w:val="28"/>
              </w:rPr>
            </w:pPr>
            <w:r>
              <w:rPr>
                <w:rFonts w:hint="eastAsia" w:ascii="等线" w:hAnsi="等线" w:eastAsia="等线"/>
                <w:color w:val="000000"/>
                <w:sz w:val="28"/>
                <w:szCs w:val="28"/>
              </w:rPr>
              <w:t>1</w:t>
            </w:r>
            <w:r>
              <w:rPr>
                <w:rFonts w:ascii="等线" w:hAnsi="等线" w:eastAsia="等线"/>
                <w:color w:val="000000"/>
                <w:sz w:val="28"/>
                <w:szCs w:val="28"/>
              </w:rPr>
              <w:t>0</w:t>
            </w:r>
          </w:p>
        </w:tc>
        <w:tc>
          <w:tcPr>
            <w:tcW w:w="2240" w:type="pct"/>
            <w:tcBorders>
              <w:top w:val="single" w:color="000000" w:sz="4" w:space="0"/>
              <w:left w:val="single" w:color="000000" w:sz="4" w:space="0"/>
              <w:bottom w:val="single" w:color="000000" w:sz="4" w:space="0"/>
              <w:right w:val="single" w:color="000000" w:sz="4" w:space="0"/>
            </w:tcBorders>
            <w:vAlign w:val="center"/>
          </w:tcPr>
          <w:p w14:paraId="5EB9D3F8">
            <w:pPr>
              <w:rPr>
                <w:rFonts w:ascii="宋体" w:hAnsi="宋体" w:eastAsia="宋体" w:cs="宋体"/>
                <w:color w:val="000000"/>
                <w:sz w:val="28"/>
                <w:szCs w:val="28"/>
              </w:rPr>
            </w:pPr>
          </w:p>
        </w:tc>
      </w:tr>
      <w:tr w14:paraId="381D7B9F">
        <w:tblPrEx>
          <w:tblCellMar>
            <w:top w:w="0" w:type="dxa"/>
            <w:left w:w="108" w:type="dxa"/>
            <w:bottom w:w="0" w:type="dxa"/>
            <w:right w:w="108" w:type="dxa"/>
          </w:tblCellMar>
        </w:tblPrEx>
        <w:trPr>
          <w:trHeight w:val="2648" w:hRule="atLeast"/>
        </w:trPr>
        <w:tc>
          <w:tcPr>
            <w:tcW w:w="5000" w:type="pct"/>
            <w:gridSpan w:val="5"/>
            <w:tcBorders>
              <w:top w:val="single" w:color="000000" w:sz="4" w:space="0"/>
              <w:left w:val="single" w:color="000000" w:sz="4" w:space="0"/>
              <w:bottom w:val="single" w:color="000000" w:sz="4" w:space="0"/>
              <w:right w:val="single" w:color="000000" w:sz="4" w:space="0"/>
            </w:tcBorders>
            <w:vAlign w:val="center"/>
          </w:tcPr>
          <w:p w14:paraId="01980CE7">
            <w:pPr>
              <w:pStyle w:val="2"/>
              <w:spacing w:before="1"/>
              <w:jc w:val="left"/>
              <w:rPr>
                <w:rFonts w:ascii="宋体" w:hAnsi="宋体" w:eastAsia="宋体" w:cs="宋体"/>
                <w:snapToGrid w:val="0"/>
                <w:color w:val="000000"/>
                <w:spacing w:val="9"/>
                <w:kern w:val="0"/>
                <w:sz w:val="28"/>
                <w:szCs w:val="28"/>
                <w:lang w:eastAsia="zh-CN"/>
              </w:rPr>
            </w:pPr>
            <w:r>
              <w:rPr>
                <w:rFonts w:hint="eastAsia" w:ascii="宋体" w:hAnsi="宋体" w:eastAsia="宋体" w:cs="宋体"/>
                <w:snapToGrid w:val="0"/>
                <w:color w:val="000000"/>
                <w:spacing w:val="9"/>
                <w:kern w:val="0"/>
                <w:sz w:val="28"/>
                <w:szCs w:val="28"/>
                <w:lang w:eastAsia="zh-CN"/>
              </w:rPr>
              <w:t>注：（1）本表必须按要求由本项目法定代表人（或授权人）签字或签章，并加盖投标单位公章，否则将被视为非响应性投标而作无效投标处理。</w:t>
            </w:r>
          </w:p>
          <w:p w14:paraId="24C27094">
            <w:pPr>
              <w:pStyle w:val="2"/>
              <w:spacing w:before="1"/>
              <w:jc w:val="left"/>
              <w:rPr>
                <w:rFonts w:ascii="宋体" w:hAnsi="宋体" w:eastAsia="宋体" w:cs="宋体"/>
                <w:snapToGrid w:val="0"/>
                <w:color w:val="000000"/>
                <w:spacing w:val="9"/>
                <w:kern w:val="0"/>
                <w:sz w:val="28"/>
                <w:szCs w:val="28"/>
                <w:lang w:eastAsia="zh-CN"/>
              </w:rPr>
            </w:pPr>
            <w:r>
              <w:rPr>
                <w:rFonts w:hint="eastAsia" w:ascii="宋体" w:hAnsi="宋体" w:eastAsia="宋体" w:cs="宋体"/>
                <w:snapToGrid w:val="0"/>
                <w:color w:val="000000"/>
                <w:spacing w:val="9"/>
                <w:kern w:val="0"/>
                <w:sz w:val="28"/>
                <w:szCs w:val="28"/>
                <w:lang w:eastAsia="zh-CN"/>
              </w:rPr>
              <w:t>（2）每个品类折扣最高限价为100%,投标人所报任意一项折扣超过，均按无效标处理</w:t>
            </w:r>
            <w:r>
              <w:rPr>
                <w:rFonts w:ascii="宋体" w:hAnsi="宋体" w:eastAsia="宋体" w:cs="宋体"/>
                <w:snapToGrid w:val="0"/>
                <w:color w:val="000000"/>
                <w:spacing w:val="9"/>
                <w:kern w:val="0"/>
                <w:sz w:val="28"/>
                <w:szCs w:val="28"/>
                <w:lang w:eastAsia="zh-CN"/>
              </w:rPr>
              <w:t>。</w:t>
            </w:r>
          </w:p>
          <w:p w14:paraId="091C5157">
            <w:pPr>
              <w:pStyle w:val="2"/>
              <w:spacing w:before="1"/>
              <w:jc w:val="left"/>
              <w:rPr>
                <w:rFonts w:ascii="宋体" w:hAnsi="宋体" w:eastAsia="宋体" w:cs="宋体"/>
                <w:snapToGrid w:val="0"/>
                <w:color w:val="000000"/>
                <w:spacing w:val="9"/>
                <w:kern w:val="0"/>
                <w:sz w:val="28"/>
                <w:szCs w:val="28"/>
                <w:lang w:eastAsia="zh-CN"/>
              </w:rPr>
            </w:pPr>
            <w:r>
              <w:rPr>
                <w:rFonts w:hint="eastAsia" w:ascii="宋体" w:hAnsi="宋体" w:eastAsia="宋体" w:cs="宋体"/>
                <w:snapToGrid w:val="0"/>
                <w:color w:val="000000"/>
                <w:spacing w:val="9"/>
                <w:kern w:val="0"/>
                <w:sz w:val="28"/>
                <w:szCs w:val="28"/>
                <w:lang w:eastAsia="zh-CN"/>
              </w:rPr>
              <w:t>（3）本项目为折扣报价，如报价八折，则填写80%，结算价=京东自营划线价*80%。</w:t>
            </w:r>
          </w:p>
        </w:tc>
      </w:tr>
    </w:tbl>
    <w:p w14:paraId="2B299F72">
      <w:pPr>
        <w:pStyle w:val="2"/>
        <w:spacing w:before="1"/>
        <w:ind w:firstLine="499"/>
        <w:rPr>
          <w:rFonts w:ascii="彩虹楷体" w:hAnsi="宋体" w:eastAsia="彩虹楷体" w:cs="Times New Roman"/>
          <w:b/>
          <w:snapToGrid w:val="0"/>
          <w:kern w:val="0"/>
          <w:lang w:eastAsia="zh-CN"/>
        </w:rPr>
      </w:pPr>
      <w:r>
        <w:rPr>
          <w:rFonts w:hint="eastAsia" w:ascii="彩虹楷体" w:hAnsi="宋体" w:eastAsia="彩虹楷体" w:cs="Times New Roman"/>
          <w:b/>
          <w:snapToGrid w:val="0"/>
          <w:kern w:val="0"/>
          <w:lang w:eastAsia="zh-CN"/>
        </w:rPr>
        <w:t>（三）报价</w:t>
      </w:r>
      <w:r>
        <w:rPr>
          <w:rFonts w:ascii="彩虹楷体" w:hAnsi="宋体" w:eastAsia="彩虹楷体" w:cs="Times New Roman"/>
          <w:b/>
          <w:snapToGrid w:val="0"/>
          <w:kern w:val="0"/>
          <w:lang w:eastAsia="zh-CN"/>
        </w:rPr>
        <w:t>其他要求</w:t>
      </w:r>
    </w:p>
    <w:p w14:paraId="38B3BEB2">
      <w:pPr>
        <w:pStyle w:val="2"/>
        <w:spacing w:before="1" w:line="560" w:lineRule="exact"/>
        <w:ind w:firstLine="640" w:firstLineChars="200"/>
        <w:rPr>
          <w:rFonts w:ascii="彩虹粗仿宋" w:hAnsi="宋体" w:eastAsia="彩虹粗仿宋" w:cs="Times New Roman"/>
          <w:snapToGrid w:val="0"/>
          <w:kern w:val="0"/>
          <w:lang w:eastAsia="zh-CN"/>
        </w:rPr>
      </w:pPr>
      <w:r>
        <w:rPr>
          <w:rFonts w:ascii="彩虹粗仿宋" w:hAnsi="宋体" w:eastAsia="彩虹粗仿宋" w:cs="Times New Roman"/>
          <w:snapToGrid w:val="0"/>
          <w:kern w:val="0"/>
          <w:lang w:eastAsia="zh-CN"/>
        </w:rPr>
        <w:t>1.</w:t>
      </w:r>
      <w:r>
        <w:rPr>
          <w:rFonts w:hint="eastAsia" w:ascii="彩虹粗仿宋" w:hAnsi="宋体" w:eastAsia="彩虹粗仿宋" w:cs="Times New Roman"/>
          <w:snapToGrid w:val="0"/>
          <w:kern w:val="0"/>
          <w:lang w:eastAsia="zh-CN"/>
        </w:rPr>
        <w:t>所有商品报价必须包含该商品的成本、包装、保险、税金、配送运输（含快递）、搬运上楼、安装、调试等交付使用前所需的一切费用（即包含商品送达招标人指定位置后立即可使用状态的所有费用）。</w:t>
      </w:r>
    </w:p>
    <w:p w14:paraId="5BE8D5C9">
      <w:pPr>
        <w:adjustRightInd w:val="0"/>
        <w:snapToGrid w:val="0"/>
        <w:spacing w:line="560" w:lineRule="exact"/>
        <w:ind w:firstLine="640" w:firstLineChars="200"/>
        <w:rPr>
          <w:rFonts w:ascii="彩虹粗仿宋" w:hAnsi="宋体" w:eastAsia="彩虹粗仿宋"/>
          <w:snapToGrid w:val="0"/>
          <w:kern w:val="0"/>
          <w:sz w:val="32"/>
          <w:szCs w:val="32"/>
        </w:rPr>
      </w:pPr>
      <w:r>
        <w:rPr>
          <w:rFonts w:ascii="彩虹粗仿宋" w:hAnsi="宋体" w:eastAsia="彩虹粗仿宋" w:cs="Times New Roman"/>
          <w:snapToGrid w:val="0"/>
          <w:kern w:val="0"/>
          <w:sz w:val="32"/>
          <w:szCs w:val="32"/>
        </w:rPr>
        <w:t>2</w:t>
      </w:r>
      <w:r>
        <w:rPr>
          <w:rFonts w:hint="eastAsia" w:ascii="彩虹粗仿宋" w:hAnsi="宋体" w:eastAsia="彩虹粗仿宋" w:cs="Times New Roman"/>
          <w:snapToGrid w:val="0"/>
          <w:kern w:val="0"/>
          <w:sz w:val="32"/>
          <w:szCs w:val="32"/>
        </w:rPr>
        <w:t>.原则上，所有投标人须对以上商品进行报价。</w:t>
      </w:r>
      <w:r>
        <w:rPr>
          <w:rFonts w:hint="eastAsia" w:ascii="彩虹粗仿宋" w:hAnsi="宋体" w:eastAsia="彩虹粗仿宋"/>
          <w:snapToGrid w:val="0"/>
          <w:kern w:val="0"/>
          <w:sz w:val="32"/>
          <w:szCs w:val="32"/>
        </w:rPr>
        <w:t>投标人如未</w:t>
      </w:r>
      <w:r>
        <w:rPr>
          <w:rFonts w:ascii="彩虹粗仿宋" w:hAnsi="宋体" w:eastAsia="彩虹粗仿宋"/>
          <w:snapToGrid w:val="0"/>
          <w:kern w:val="0"/>
          <w:sz w:val="32"/>
          <w:szCs w:val="32"/>
        </w:rPr>
        <w:t>对</w:t>
      </w:r>
      <w:r>
        <w:rPr>
          <w:rFonts w:hint="eastAsia" w:ascii="彩虹粗仿宋" w:hAnsi="宋体" w:eastAsia="彩虹粗仿宋"/>
          <w:snapToGrid w:val="0"/>
          <w:kern w:val="0"/>
          <w:sz w:val="32"/>
          <w:szCs w:val="32"/>
        </w:rPr>
        <w:t>全部商品进行报价，将取消投标人的评标资格。</w:t>
      </w:r>
    </w:p>
    <w:p w14:paraId="4E2FF165">
      <w:pPr>
        <w:tabs>
          <w:tab w:val="left" w:pos="312"/>
        </w:tabs>
        <w:adjustRightInd w:val="0"/>
        <w:snapToGrid w:val="0"/>
        <w:spacing w:line="560" w:lineRule="exact"/>
        <w:ind w:firstLine="640" w:firstLineChars="200"/>
        <w:rPr>
          <w:rFonts w:ascii="彩虹粗仿宋" w:hAnsi="宋体" w:eastAsia="彩虹粗仿宋"/>
          <w:snapToGrid w:val="0"/>
          <w:kern w:val="0"/>
          <w:sz w:val="32"/>
          <w:szCs w:val="32"/>
        </w:rPr>
      </w:pPr>
      <w:r>
        <w:rPr>
          <w:rFonts w:ascii="彩虹粗仿宋" w:hAnsi="宋体" w:eastAsia="彩虹粗仿宋"/>
          <w:snapToGrid w:val="0"/>
          <w:kern w:val="0"/>
          <w:sz w:val="32"/>
          <w:szCs w:val="32"/>
        </w:rPr>
        <w:t>3</w:t>
      </w:r>
      <w:r>
        <w:rPr>
          <w:rFonts w:hint="eastAsia" w:ascii="彩虹粗仿宋" w:hAnsi="宋体" w:eastAsia="彩虹粗仿宋"/>
          <w:snapToGrid w:val="0"/>
          <w:kern w:val="0"/>
          <w:sz w:val="32"/>
          <w:szCs w:val="32"/>
        </w:rPr>
        <w:t>.如由于厂家停产或产品调整情况，供应商需出具厂家盖章证明文件证实相关情况。在价格不变基础上，须经过我行确认后，提供同品牌同等或更优参数型号产品。如供应商在合同履约过程中出现无正常理由拒绝供货，或只供高价产品不供低价产品的，则我行将视同合同履约执行不到位，给予约谈、暂停供应商供货资格、取消供应商供货资格等处理，同时保留追责和起诉权利</w:t>
      </w:r>
      <w:r>
        <w:rPr>
          <w:rFonts w:hint="eastAsia" w:ascii="彩虹粗仿宋" w:hAnsi="宋体" w:eastAsia="彩虹粗仿宋" w:cs="宋体"/>
          <w:sz w:val="24"/>
          <w:szCs w:val="24"/>
        </w:rPr>
        <w:t>。</w:t>
      </w:r>
    </w:p>
    <w:p w14:paraId="3A2D1F7D">
      <w:pPr>
        <w:tabs>
          <w:tab w:val="left" w:pos="312"/>
        </w:tabs>
        <w:adjustRightInd w:val="0"/>
        <w:snapToGrid w:val="0"/>
        <w:spacing w:line="560" w:lineRule="exact"/>
        <w:ind w:firstLine="640" w:firstLineChars="200"/>
        <w:rPr>
          <w:rFonts w:ascii="彩虹粗仿宋" w:hAnsi="宋体" w:eastAsia="彩虹粗仿宋"/>
          <w:snapToGrid w:val="0"/>
          <w:kern w:val="0"/>
          <w:sz w:val="32"/>
          <w:szCs w:val="32"/>
        </w:rPr>
      </w:pPr>
      <w:r>
        <w:rPr>
          <w:rFonts w:ascii="彩虹粗仿宋" w:hAnsi="宋体" w:eastAsia="彩虹粗仿宋"/>
          <w:snapToGrid w:val="0"/>
          <w:kern w:val="0"/>
          <w:sz w:val="32"/>
          <w:szCs w:val="32"/>
        </w:rPr>
        <w:t>4</w:t>
      </w:r>
      <w:r>
        <w:rPr>
          <w:rFonts w:hint="eastAsia" w:ascii="彩虹粗仿宋" w:hAnsi="宋体" w:eastAsia="彩虹粗仿宋"/>
          <w:snapToGrid w:val="0"/>
          <w:kern w:val="0"/>
          <w:sz w:val="32"/>
          <w:szCs w:val="32"/>
        </w:rPr>
        <w:t>.禁止发生低价恶意竞争、围标等情况，一旦发现并查实投标人发生上述行为，我行将取消该投标人资格，并予以约谈、禁用等处罚。</w:t>
      </w:r>
    </w:p>
    <w:p w14:paraId="7C7DCD65">
      <w:pPr>
        <w:pStyle w:val="2"/>
        <w:spacing w:before="1" w:line="560" w:lineRule="exact"/>
        <w:ind w:firstLine="499"/>
        <w:rPr>
          <w:rFonts w:ascii="彩虹黑体" w:eastAsia="彩虹黑体"/>
          <w:bCs/>
          <w:snapToGrid w:val="0"/>
          <w:color w:val="000000"/>
          <w:spacing w:val="9"/>
          <w:kern w:val="0"/>
          <w:lang w:eastAsia="zh-CN"/>
        </w:rPr>
      </w:pPr>
      <w:r>
        <w:rPr>
          <w:rFonts w:hint="eastAsia" w:ascii="彩虹黑体" w:eastAsia="彩虹黑体"/>
          <w:bCs/>
          <w:snapToGrid w:val="0"/>
          <w:color w:val="000000"/>
          <w:spacing w:val="9"/>
          <w:kern w:val="0"/>
          <w:lang w:eastAsia="zh-CN"/>
        </w:rPr>
        <w:t>五、入围供应商管理</w:t>
      </w:r>
    </w:p>
    <w:p w14:paraId="1CE0470E">
      <w:pPr>
        <w:pStyle w:val="2"/>
        <w:spacing w:before="1" w:line="560" w:lineRule="exact"/>
        <w:ind w:firstLine="499"/>
        <w:rPr>
          <w:rFonts w:ascii="彩虹粗仿宋" w:hAnsi="宋体" w:eastAsia="彩虹粗仿宋" w:cstheme="minorBidi"/>
          <w:snapToGrid w:val="0"/>
          <w:kern w:val="0"/>
          <w:lang w:eastAsia="zh-CN"/>
        </w:rPr>
      </w:pPr>
      <w:r>
        <w:rPr>
          <w:rFonts w:ascii="彩虹粗仿宋" w:hAnsi="宋体" w:eastAsia="彩虹粗仿宋" w:cstheme="minorBidi"/>
          <w:snapToGrid w:val="0"/>
          <w:kern w:val="0"/>
          <w:lang w:eastAsia="zh-CN"/>
        </w:rPr>
        <w:t>1.本项目由</w:t>
      </w:r>
      <w:r>
        <w:rPr>
          <w:rFonts w:hint="eastAsia" w:ascii="彩虹粗仿宋" w:hAnsi="宋体" w:eastAsia="彩虹粗仿宋" w:cstheme="minorBidi"/>
          <w:snapToGrid w:val="0"/>
          <w:kern w:val="0"/>
          <w:lang w:eastAsia="zh-CN"/>
        </w:rPr>
        <w:t>广西区分行</w:t>
      </w:r>
      <w:r>
        <w:rPr>
          <w:rFonts w:ascii="彩虹粗仿宋" w:hAnsi="宋体" w:eastAsia="彩虹粗仿宋" w:cstheme="minorBidi"/>
          <w:snapToGrid w:val="0"/>
          <w:kern w:val="0"/>
          <w:lang w:eastAsia="zh-CN"/>
        </w:rPr>
        <w:t>统一与入围供应商签署框架协议，并在龙集采善融协议专区发布商品，各级分支机构通过善融协议专区下达采购订单。</w:t>
      </w:r>
    </w:p>
    <w:p w14:paraId="67814C0C">
      <w:pPr>
        <w:pStyle w:val="2"/>
        <w:spacing w:before="1" w:line="560" w:lineRule="exact"/>
        <w:ind w:firstLine="499"/>
        <w:rPr>
          <w:rFonts w:ascii="彩虹粗仿宋" w:hAnsi="宋体" w:eastAsia="彩虹粗仿宋" w:cstheme="minorBidi"/>
          <w:snapToGrid w:val="0"/>
          <w:kern w:val="0"/>
          <w:lang w:eastAsia="zh-CN"/>
        </w:rPr>
      </w:pPr>
      <w:r>
        <w:rPr>
          <w:rFonts w:ascii="彩虹粗仿宋" w:hAnsi="宋体" w:eastAsia="彩虹粗仿宋" w:cstheme="minorBidi"/>
          <w:snapToGrid w:val="0"/>
          <w:kern w:val="0"/>
          <w:lang w:eastAsia="zh-CN"/>
        </w:rPr>
        <w:t>2.在合同有效期内，上架规则：</w:t>
      </w:r>
    </w:p>
    <w:p w14:paraId="4BD70EB6">
      <w:pPr>
        <w:pStyle w:val="2"/>
        <w:spacing w:before="1" w:line="560" w:lineRule="exact"/>
        <w:ind w:firstLine="499"/>
        <w:rPr>
          <w:rFonts w:ascii="彩虹粗仿宋" w:hAnsi="宋体" w:eastAsia="彩虹粗仿宋" w:cstheme="minorBidi"/>
          <w:snapToGrid w:val="0"/>
          <w:kern w:val="0"/>
          <w:lang w:eastAsia="zh-CN"/>
        </w:rPr>
      </w:pPr>
      <w:r>
        <w:rPr>
          <w:rFonts w:hint="eastAsia" w:ascii="彩虹粗仿宋" w:hAnsi="宋体" w:eastAsia="彩虹粗仿宋" w:cstheme="minorBidi"/>
          <w:snapToGrid w:val="0"/>
          <w:kern w:val="0"/>
          <w:lang w:eastAsia="zh-CN"/>
        </w:rPr>
        <w:t>（</w:t>
      </w:r>
      <w:r>
        <w:rPr>
          <w:rFonts w:ascii="彩虹粗仿宋" w:hAnsi="宋体" w:eastAsia="彩虹粗仿宋" w:cstheme="minorBidi"/>
          <w:snapToGrid w:val="0"/>
          <w:kern w:val="0"/>
          <w:lang w:eastAsia="zh-CN"/>
        </w:rPr>
        <w:t>1）采购清单范围内的产品，入围供应商须同时在龙集采平台上架所有商品，价格应按照投标报价进行上架和供货；</w:t>
      </w:r>
    </w:p>
    <w:p w14:paraId="7F141856">
      <w:pPr>
        <w:pStyle w:val="2"/>
        <w:spacing w:before="1" w:line="560" w:lineRule="exact"/>
        <w:ind w:firstLine="499"/>
        <w:rPr>
          <w:rFonts w:ascii="彩虹粗仿宋" w:hAnsi="宋体" w:eastAsia="彩虹粗仿宋" w:cstheme="minorBidi"/>
          <w:snapToGrid w:val="0"/>
          <w:kern w:val="0"/>
          <w:lang w:eastAsia="zh-CN"/>
        </w:rPr>
      </w:pPr>
      <w:r>
        <w:rPr>
          <w:rFonts w:hint="eastAsia" w:ascii="彩虹粗仿宋" w:hAnsi="宋体" w:eastAsia="彩虹粗仿宋" w:cstheme="minorBidi"/>
          <w:snapToGrid w:val="0"/>
          <w:kern w:val="0"/>
          <w:lang w:eastAsia="zh-CN"/>
        </w:rPr>
        <w:t>（</w:t>
      </w:r>
      <w:r>
        <w:rPr>
          <w:rFonts w:ascii="彩虹粗仿宋" w:hAnsi="宋体" w:eastAsia="彩虹粗仿宋" w:cstheme="minorBidi"/>
          <w:snapToGrid w:val="0"/>
          <w:kern w:val="0"/>
          <w:lang w:eastAsia="zh-CN"/>
        </w:rPr>
        <w:t>2）采购清单外的产品，投标人应向招标人承诺不高于京东自营旗舰店划线价的折后价格(节日促销、爆款促销、7日以内的降价优惠活动、渠道专供型号等除外)进行上架和供货。</w:t>
      </w:r>
    </w:p>
    <w:p w14:paraId="30911398">
      <w:pPr>
        <w:pStyle w:val="2"/>
        <w:spacing w:before="1" w:line="560" w:lineRule="exact"/>
        <w:ind w:firstLine="499"/>
        <w:rPr>
          <w:rFonts w:ascii="彩虹粗仿宋" w:hAnsi="宋体" w:eastAsia="彩虹粗仿宋" w:cstheme="minorBidi"/>
          <w:snapToGrid w:val="0"/>
          <w:kern w:val="0"/>
          <w:lang w:eastAsia="zh-CN"/>
        </w:rPr>
      </w:pPr>
      <w:r>
        <w:rPr>
          <w:rFonts w:ascii="彩虹粗仿宋" w:hAnsi="宋体" w:eastAsia="彩虹粗仿宋" w:cstheme="minorBidi"/>
          <w:snapToGrid w:val="0"/>
          <w:kern w:val="0"/>
          <w:lang w:eastAsia="zh-CN"/>
        </w:rPr>
        <w:t>3.本协议签订后，供应商应按照招标人规定确定具体上架商品，供应商所有上架商品须提供商品清单、商品条码、京东自营旗舰店内商品链接及价格、商品折扣后价格等信息，经招标人审核通过后，将商品逐项在“龙集采”系统协议专区完成上架，招标人根据实际商品需求情况通过“龙集采”系统向供应商发出采购订单。</w:t>
      </w:r>
    </w:p>
    <w:p w14:paraId="6C5721DB">
      <w:pPr>
        <w:pStyle w:val="2"/>
        <w:spacing w:before="1" w:line="560" w:lineRule="exact"/>
        <w:ind w:firstLine="499"/>
        <w:rPr>
          <w:rFonts w:ascii="彩虹粗仿宋" w:hAnsi="宋体" w:eastAsia="彩虹粗仿宋" w:cstheme="minorBidi"/>
          <w:snapToGrid w:val="0"/>
          <w:kern w:val="0"/>
          <w:lang w:eastAsia="zh-CN"/>
        </w:rPr>
      </w:pPr>
      <w:r>
        <w:rPr>
          <w:rFonts w:ascii="彩虹粗仿宋" w:hAnsi="宋体" w:eastAsia="彩虹粗仿宋" w:cstheme="minorBidi"/>
          <w:snapToGrid w:val="0"/>
          <w:kern w:val="0"/>
          <w:lang w:eastAsia="zh-CN"/>
        </w:rPr>
        <w:t>4.招标人一经发现投标人报价违反上述规定，或发现价格明显高于</w:t>
      </w:r>
      <w:r>
        <w:rPr>
          <w:rFonts w:hint="eastAsia" w:ascii="彩虹粗仿宋" w:hAnsi="宋体" w:eastAsia="彩虹粗仿宋" w:cstheme="minorBidi"/>
          <w:snapToGrid w:val="0"/>
          <w:kern w:val="0"/>
          <w:lang w:eastAsia="zh-CN"/>
        </w:rPr>
        <w:t>广西</w:t>
      </w:r>
      <w:r>
        <w:rPr>
          <w:rFonts w:ascii="彩虹粗仿宋" w:hAnsi="宋体" w:eastAsia="彩虹粗仿宋" w:cstheme="minorBidi"/>
          <w:snapToGrid w:val="0"/>
          <w:kern w:val="0"/>
          <w:lang w:eastAsia="zh-CN"/>
        </w:rPr>
        <w:t>范围内大型商超同类产品价格的，招标人有权要求投标人进行整改，如由此导致招标人多支出相应价款，投标人应返还招标人相应价款并赔偿由此给招标人造成的损失，如投标人未在要求期限内整改不到位，应按招标人要求下架相关产品。</w:t>
      </w:r>
    </w:p>
    <w:p w14:paraId="16928415">
      <w:pPr>
        <w:pStyle w:val="2"/>
        <w:spacing w:before="1" w:line="560" w:lineRule="exact"/>
        <w:ind w:firstLine="499"/>
        <w:rPr>
          <w:rFonts w:ascii="彩虹粗仿宋" w:hAnsi="宋体" w:eastAsia="彩虹粗仿宋" w:cstheme="minorBidi"/>
          <w:snapToGrid w:val="0"/>
          <w:kern w:val="0"/>
          <w:lang w:eastAsia="zh-CN"/>
        </w:rPr>
      </w:pPr>
      <w:r>
        <w:rPr>
          <w:rFonts w:ascii="彩虹粗仿宋" w:hAnsi="宋体" w:eastAsia="彩虹粗仿宋" w:cstheme="minorBidi"/>
          <w:snapToGrid w:val="0"/>
          <w:kern w:val="0"/>
          <w:lang w:eastAsia="zh-CN"/>
        </w:rPr>
        <w:t>5.对于停产的商品，主流电商平台已下架商品的，供应商应及时下架善融协议专区相应商品。</w:t>
      </w:r>
    </w:p>
    <w:p w14:paraId="521553E3">
      <w:pPr>
        <w:pStyle w:val="2"/>
        <w:spacing w:before="1" w:line="560" w:lineRule="exact"/>
        <w:ind w:firstLine="499"/>
        <w:rPr>
          <w:rFonts w:ascii="彩虹粗仿宋" w:hAnsi="宋体" w:eastAsia="彩虹粗仿宋" w:cstheme="minorBidi"/>
          <w:snapToGrid w:val="0"/>
          <w:kern w:val="0"/>
          <w:lang w:eastAsia="zh-CN"/>
        </w:rPr>
      </w:pPr>
      <w:r>
        <w:rPr>
          <w:rFonts w:ascii="彩虹粗仿宋" w:hAnsi="宋体" w:eastAsia="彩虹粗仿宋" w:cstheme="minorBidi"/>
          <w:snapToGrid w:val="0"/>
          <w:kern w:val="0"/>
          <w:lang w:eastAsia="zh-CN"/>
        </w:rPr>
        <w:t>6.对于升级换代商品，如供应商同意按原价格供应同档次或更高档次商品，应及时更新善融协议专区的相应商品，否则应下架善融协议专区相应商品。</w:t>
      </w:r>
    </w:p>
    <w:p w14:paraId="2F848124">
      <w:pPr>
        <w:pStyle w:val="2"/>
        <w:spacing w:before="1" w:line="560" w:lineRule="exact"/>
        <w:ind w:firstLine="676" w:firstLineChars="200"/>
        <w:rPr>
          <w:rFonts w:ascii="彩虹黑体" w:eastAsia="彩虹黑体"/>
          <w:bCs/>
          <w:snapToGrid w:val="0"/>
          <w:color w:val="000000"/>
          <w:spacing w:val="9"/>
          <w:kern w:val="0"/>
          <w:lang w:eastAsia="zh-CN"/>
        </w:rPr>
      </w:pPr>
      <w:r>
        <w:rPr>
          <w:rFonts w:hint="eastAsia" w:ascii="彩虹黑体" w:eastAsia="彩虹黑体"/>
          <w:bCs/>
          <w:snapToGrid w:val="0"/>
          <w:color w:val="000000"/>
          <w:spacing w:val="9"/>
          <w:kern w:val="0"/>
          <w:lang w:eastAsia="zh-CN"/>
        </w:rPr>
        <w:t>六、额度分配要求</w:t>
      </w:r>
    </w:p>
    <w:p w14:paraId="6BF038AA">
      <w:pPr>
        <w:adjustRightInd w:val="0"/>
        <w:snapToGrid w:val="0"/>
        <w:spacing w:line="560" w:lineRule="exact"/>
        <w:ind w:firstLine="640" w:firstLineChars="200"/>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本采购项目拟选取6家供应商，</w:t>
      </w:r>
      <w:r>
        <w:rPr>
          <w:rFonts w:hint="eastAsia" w:ascii="彩虹粗仿宋" w:hAnsi="Times New Roman" w:eastAsia="彩虹粗仿宋" w:cs="Times New Roman"/>
          <w:sz w:val="32"/>
          <w:szCs w:val="32"/>
        </w:rPr>
        <w:t>按照综合评分排名情况及各报价情况确定具体额度分配，其中第1</w:t>
      </w:r>
      <w:r>
        <w:rPr>
          <w:rFonts w:ascii="彩虹粗仿宋" w:hAnsi="Times New Roman" w:eastAsia="彩虹粗仿宋" w:cs="Times New Roman"/>
          <w:sz w:val="32"/>
          <w:szCs w:val="32"/>
        </w:rPr>
        <w:t>名额度</w:t>
      </w:r>
      <w:r>
        <w:rPr>
          <w:rFonts w:hint="eastAsia" w:ascii="彩虹粗仿宋" w:hAnsi="Times New Roman" w:eastAsia="彩虹粗仿宋" w:cs="Times New Roman"/>
          <w:sz w:val="32"/>
          <w:szCs w:val="32"/>
        </w:rPr>
        <w:t>20</w:t>
      </w:r>
      <w:r>
        <w:rPr>
          <w:rFonts w:ascii="彩虹粗仿宋" w:hAnsi="Times New Roman" w:eastAsia="彩虹粗仿宋" w:cs="Times New Roman"/>
          <w:sz w:val="32"/>
          <w:szCs w:val="32"/>
        </w:rPr>
        <w:t>%，第2-3名</w:t>
      </w:r>
      <w:r>
        <w:rPr>
          <w:rFonts w:hint="eastAsia" w:ascii="彩虹粗仿宋" w:hAnsi="Times New Roman" w:eastAsia="彩虹粗仿宋" w:cs="Times New Roman"/>
          <w:sz w:val="32"/>
          <w:szCs w:val="32"/>
        </w:rPr>
        <w:t>额度均为18</w:t>
      </w:r>
      <w:r>
        <w:rPr>
          <w:rFonts w:ascii="彩虹粗仿宋" w:hAnsi="Times New Roman" w:eastAsia="彩虹粗仿宋" w:cs="Times New Roman"/>
          <w:sz w:val="32"/>
          <w:szCs w:val="32"/>
        </w:rPr>
        <w:t>%，</w:t>
      </w:r>
      <w:r>
        <w:rPr>
          <w:rFonts w:hint="eastAsia" w:ascii="彩虹粗仿宋" w:hAnsi="Times New Roman" w:eastAsia="彩虹粗仿宋" w:cs="Times New Roman"/>
          <w:sz w:val="32"/>
          <w:szCs w:val="32"/>
        </w:rPr>
        <w:t>第4-5名额度</w:t>
      </w:r>
      <w:r>
        <w:rPr>
          <w:rFonts w:ascii="彩虹粗仿宋" w:hAnsi="Times New Roman" w:eastAsia="彩虹粗仿宋" w:cs="Times New Roman"/>
          <w:sz w:val="32"/>
          <w:szCs w:val="32"/>
        </w:rPr>
        <w:t>均为</w:t>
      </w:r>
      <w:r>
        <w:rPr>
          <w:rFonts w:hint="eastAsia" w:ascii="彩虹粗仿宋" w:hAnsi="Times New Roman" w:eastAsia="彩虹粗仿宋" w:cs="Times New Roman"/>
          <w:sz w:val="32"/>
          <w:szCs w:val="32"/>
        </w:rPr>
        <w:t>15</w:t>
      </w:r>
      <w:r>
        <w:rPr>
          <w:rFonts w:ascii="彩虹粗仿宋" w:hAnsi="Times New Roman" w:eastAsia="彩虹粗仿宋" w:cs="Times New Roman"/>
          <w:sz w:val="32"/>
          <w:szCs w:val="32"/>
        </w:rPr>
        <w:t>%，第</w:t>
      </w:r>
      <w:r>
        <w:rPr>
          <w:rFonts w:hint="eastAsia" w:ascii="彩虹粗仿宋" w:hAnsi="Times New Roman" w:eastAsia="彩虹粗仿宋" w:cs="Times New Roman"/>
          <w:sz w:val="32"/>
          <w:szCs w:val="32"/>
        </w:rPr>
        <w:t>6名</w:t>
      </w:r>
      <w:r>
        <w:rPr>
          <w:rFonts w:ascii="彩虹粗仿宋" w:hAnsi="Times New Roman" w:eastAsia="彩虹粗仿宋" w:cs="Times New Roman"/>
          <w:sz w:val="32"/>
          <w:szCs w:val="32"/>
        </w:rPr>
        <w:t>额度为</w:t>
      </w:r>
      <w:r>
        <w:rPr>
          <w:rFonts w:hint="eastAsia" w:ascii="彩虹粗仿宋" w:hAnsi="Times New Roman" w:eastAsia="彩虹粗仿宋" w:cs="Times New Roman"/>
          <w:sz w:val="32"/>
          <w:szCs w:val="32"/>
        </w:rPr>
        <w:t>14</w:t>
      </w:r>
      <w:r>
        <w:rPr>
          <w:rFonts w:ascii="彩虹粗仿宋" w:hAnsi="Times New Roman" w:eastAsia="彩虹粗仿宋" w:cs="Times New Roman"/>
          <w:sz w:val="32"/>
          <w:szCs w:val="32"/>
        </w:rPr>
        <w:t>%</w:t>
      </w:r>
      <w:r>
        <w:rPr>
          <w:rFonts w:hint="eastAsia" w:ascii="彩虹粗仿宋" w:hAnsi="Times New Roman" w:eastAsia="彩虹粗仿宋" w:cs="Times New Roman"/>
          <w:kern w:val="0"/>
          <w:sz w:val="32"/>
          <w:szCs w:val="32"/>
        </w:rPr>
        <w:t>。同时根据排名情况由高到低选取</w:t>
      </w:r>
      <w:r>
        <w:rPr>
          <w:rFonts w:ascii="彩虹粗仿宋" w:hAnsi="Times New Roman" w:eastAsia="彩虹粗仿宋" w:cs="Times New Roman"/>
          <w:kern w:val="0"/>
          <w:sz w:val="32"/>
          <w:szCs w:val="32"/>
        </w:rPr>
        <w:t>2</w:t>
      </w:r>
      <w:r>
        <w:rPr>
          <w:rFonts w:hint="eastAsia" w:ascii="彩虹粗仿宋" w:hAnsi="Times New Roman" w:eastAsia="彩虹粗仿宋" w:cs="Times New Roman"/>
          <w:kern w:val="0"/>
          <w:sz w:val="32"/>
          <w:szCs w:val="32"/>
        </w:rPr>
        <w:t>家备选供应商，若不足</w:t>
      </w:r>
      <w:r>
        <w:rPr>
          <w:rFonts w:ascii="彩虹粗仿宋" w:hAnsi="Times New Roman" w:eastAsia="彩虹粗仿宋" w:cs="Times New Roman"/>
          <w:kern w:val="0"/>
          <w:sz w:val="32"/>
          <w:szCs w:val="32"/>
        </w:rPr>
        <w:t>2</w:t>
      </w:r>
      <w:r>
        <w:rPr>
          <w:rFonts w:hint="eastAsia" w:ascii="彩虹粗仿宋" w:hAnsi="Times New Roman" w:eastAsia="彩虹粗仿宋" w:cs="Times New Roman"/>
          <w:kern w:val="0"/>
          <w:sz w:val="32"/>
          <w:szCs w:val="32"/>
        </w:rPr>
        <w:t>家时，根据实际情况选择备选供应商。若入选供应商发生违约情况，则我行将与备选供应商协商签订供货合同。</w:t>
      </w:r>
    </w:p>
    <w:p w14:paraId="182F75FB">
      <w:pPr>
        <w:pStyle w:val="2"/>
        <w:spacing w:before="1" w:line="560" w:lineRule="exact"/>
        <w:ind w:firstLine="676" w:firstLineChars="200"/>
        <w:rPr>
          <w:rFonts w:ascii="彩虹黑体" w:eastAsia="彩虹黑体"/>
          <w:bCs/>
          <w:snapToGrid w:val="0"/>
          <w:color w:val="000000"/>
          <w:spacing w:val="9"/>
          <w:kern w:val="0"/>
          <w:lang w:eastAsia="zh-CN"/>
        </w:rPr>
      </w:pPr>
      <w:r>
        <w:rPr>
          <w:rFonts w:hint="eastAsia" w:ascii="彩虹黑体" w:eastAsia="彩虹黑体"/>
          <w:bCs/>
          <w:snapToGrid w:val="0"/>
          <w:color w:val="000000"/>
          <w:spacing w:val="9"/>
          <w:kern w:val="0"/>
          <w:lang w:eastAsia="zh-CN"/>
        </w:rPr>
        <w:t>七、款项支付要求</w:t>
      </w:r>
    </w:p>
    <w:p w14:paraId="6977A57D">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由供应商提供增值税专用发票，报价为含税价，并注明税率，自供应商开票之日起</w:t>
      </w:r>
      <w:r>
        <w:rPr>
          <w:rFonts w:ascii="彩虹粗仿宋" w:hAnsi="宋体" w:eastAsia="彩虹粗仿宋"/>
          <w:snapToGrid w:val="0"/>
          <w:kern w:val="0"/>
          <w:sz w:val="32"/>
          <w:szCs w:val="32"/>
        </w:rPr>
        <w:t>30</w:t>
      </w:r>
      <w:r>
        <w:rPr>
          <w:rFonts w:hint="eastAsia" w:ascii="彩虹粗仿宋" w:hAnsi="宋体" w:eastAsia="彩虹粗仿宋"/>
          <w:snapToGrid w:val="0"/>
          <w:kern w:val="0"/>
          <w:sz w:val="32"/>
          <w:szCs w:val="32"/>
        </w:rPr>
        <w:t>个工作日内结算。我行使用单位将根据订单据实结算，并以转账方式汇入供应商指定账户。</w:t>
      </w:r>
    </w:p>
    <w:p w14:paraId="50CB6B9F">
      <w:pPr>
        <w:pStyle w:val="2"/>
        <w:spacing w:before="1" w:line="560" w:lineRule="exact"/>
        <w:ind w:firstLine="676" w:firstLineChars="200"/>
        <w:rPr>
          <w:rFonts w:ascii="彩虹黑体" w:eastAsia="彩虹黑体"/>
          <w:bCs/>
          <w:snapToGrid w:val="0"/>
          <w:color w:val="000000"/>
          <w:spacing w:val="9"/>
          <w:kern w:val="0"/>
          <w:lang w:eastAsia="zh-CN"/>
        </w:rPr>
      </w:pPr>
      <w:r>
        <w:rPr>
          <w:rFonts w:ascii="彩虹黑体" w:eastAsia="彩虹黑体"/>
          <w:bCs/>
          <w:snapToGrid w:val="0"/>
          <w:color w:val="000000"/>
          <w:spacing w:val="9"/>
          <w:kern w:val="0"/>
          <w:lang w:eastAsia="zh-CN"/>
        </w:rPr>
        <w:t>八、履约保证金</w:t>
      </w:r>
    </w:p>
    <w:p w14:paraId="385F04A9">
      <w:pPr>
        <w:pStyle w:val="2"/>
        <w:spacing w:before="1" w:line="560" w:lineRule="exact"/>
        <w:ind w:firstLine="640" w:firstLineChars="200"/>
        <w:rPr>
          <w:rFonts w:ascii="彩虹粗仿宋" w:hAnsi="宋体" w:eastAsia="彩虹粗仿宋" w:cstheme="minorBidi"/>
          <w:snapToGrid w:val="0"/>
          <w:kern w:val="0"/>
          <w:lang w:eastAsia="zh-CN"/>
        </w:rPr>
      </w:pPr>
      <w:r>
        <w:rPr>
          <w:rFonts w:hint="eastAsia" w:ascii="彩虹粗仿宋" w:hAnsi="宋体" w:eastAsia="彩虹粗仿宋" w:cstheme="minorBidi"/>
          <w:snapToGrid w:val="0"/>
          <w:kern w:val="0"/>
          <w:lang w:eastAsia="zh-CN"/>
        </w:rPr>
        <w:t>中</w:t>
      </w:r>
      <w:r>
        <w:rPr>
          <w:rFonts w:ascii="彩虹粗仿宋" w:hAnsi="宋体" w:eastAsia="彩虹粗仿宋" w:cstheme="minorBidi"/>
          <w:snapToGrid w:val="0"/>
          <w:kern w:val="0"/>
          <w:lang w:eastAsia="zh-CN"/>
        </w:rPr>
        <w:t>标人在协议签订日后5个工作日内，须缴存履约保证金</w:t>
      </w:r>
      <w:r>
        <w:rPr>
          <w:rFonts w:hint="eastAsia" w:ascii="彩虹粗仿宋" w:hAnsi="宋体" w:eastAsia="彩虹粗仿宋" w:cstheme="minorBidi"/>
          <w:snapToGrid w:val="0"/>
          <w:kern w:val="0"/>
          <w:lang w:eastAsia="zh-CN"/>
        </w:rPr>
        <w:t>或银行履约保函</w:t>
      </w:r>
      <w:r>
        <w:rPr>
          <w:rFonts w:ascii="彩虹粗仿宋" w:hAnsi="宋体" w:eastAsia="彩虹粗仿宋" w:cstheme="minorBidi"/>
          <w:snapToGrid w:val="0"/>
          <w:kern w:val="0"/>
          <w:lang w:eastAsia="zh-CN"/>
        </w:rPr>
        <w:t>10万元。</w:t>
      </w:r>
      <w:r>
        <w:rPr>
          <w:rFonts w:hint="eastAsia" w:ascii="彩虹粗仿宋" w:hAnsi="宋体" w:eastAsia="彩虹粗仿宋" w:cstheme="minorBidi"/>
          <w:snapToGrid w:val="0"/>
          <w:kern w:val="0"/>
          <w:lang w:eastAsia="zh-CN"/>
        </w:rPr>
        <w:t>中</w:t>
      </w:r>
      <w:r>
        <w:rPr>
          <w:rFonts w:ascii="彩虹粗仿宋" w:hAnsi="宋体" w:eastAsia="彩虹粗仿宋" w:cstheme="minorBidi"/>
          <w:snapToGrid w:val="0"/>
          <w:kern w:val="0"/>
          <w:lang w:eastAsia="zh-CN"/>
        </w:rPr>
        <w:t>标人要有完善的售后服务机制，如在履约过程中，商品供应和服务出现问题，对建行造成经济和声誉损失的，招标人有权扣减保证金，保证金不足时需在15个自然日内补齐。若履约保证金不足以弥补由此所引发招标人之损失的，</w:t>
      </w:r>
      <w:r>
        <w:rPr>
          <w:rFonts w:hint="eastAsia" w:ascii="彩虹粗仿宋" w:hAnsi="宋体" w:eastAsia="彩虹粗仿宋" w:cstheme="minorBidi"/>
          <w:snapToGrid w:val="0"/>
          <w:kern w:val="0"/>
          <w:lang w:eastAsia="zh-CN"/>
        </w:rPr>
        <w:t>中</w:t>
      </w:r>
      <w:r>
        <w:rPr>
          <w:rFonts w:ascii="彩虹粗仿宋" w:hAnsi="宋体" w:eastAsia="彩虹粗仿宋" w:cstheme="minorBidi"/>
          <w:snapToGrid w:val="0"/>
          <w:kern w:val="0"/>
          <w:lang w:eastAsia="zh-CN"/>
        </w:rPr>
        <w:t>标人还需承担由此引发的一切后果及全部损失。合同到期后，在确认</w:t>
      </w:r>
      <w:r>
        <w:rPr>
          <w:rFonts w:hint="eastAsia" w:ascii="彩虹粗仿宋" w:hAnsi="宋体" w:eastAsia="彩虹粗仿宋" w:cstheme="minorBidi"/>
          <w:snapToGrid w:val="0"/>
          <w:kern w:val="0"/>
          <w:lang w:eastAsia="zh-CN"/>
        </w:rPr>
        <w:t>中</w:t>
      </w:r>
      <w:r>
        <w:rPr>
          <w:rFonts w:ascii="彩虹粗仿宋" w:hAnsi="宋体" w:eastAsia="彩虹粗仿宋" w:cstheme="minorBidi"/>
          <w:snapToGrid w:val="0"/>
          <w:kern w:val="0"/>
          <w:lang w:eastAsia="zh-CN"/>
        </w:rPr>
        <w:t>标人无违约事项发生后将保证金一次性不计息退还。</w:t>
      </w:r>
    </w:p>
    <w:p w14:paraId="28EFB953">
      <w:pPr>
        <w:pStyle w:val="2"/>
        <w:spacing w:before="1" w:line="560" w:lineRule="exact"/>
        <w:ind w:firstLine="640" w:firstLineChars="200"/>
        <w:rPr>
          <w:rFonts w:ascii="彩虹黑体" w:eastAsia="彩虹黑体"/>
          <w:bCs/>
          <w:snapToGrid w:val="0"/>
          <w:color w:val="000000"/>
          <w:spacing w:val="9"/>
          <w:kern w:val="0"/>
          <w:lang w:eastAsia="zh-CN"/>
        </w:rPr>
      </w:pPr>
      <w:r>
        <w:rPr>
          <w:rFonts w:hint="eastAsia" w:ascii="彩虹黑体" w:hAnsi="宋体" w:eastAsia="彩虹黑体" w:cstheme="minorBidi"/>
          <w:snapToGrid w:val="0"/>
          <w:kern w:val="0"/>
          <w:lang w:eastAsia="zh-CN"/>
        </w:rPr>
        <w:t>九、</w:t>
      </w:r>
      <w:r>
        <w:rPr>
          <w:rFonts w:ascii="彩虹黑体" w:eastAsia="彩虹黑体"/>
          <w:bCs/>
          <w:snapToGrid w:val="0"/>
          <w:color w:val="000000"/>
          <w:spacing w:val="9"/>
          <w:kern w:val="0"/>
          <w:lang w:eastAsia="zh-CN"/>
        </w:rPr>
        <w:t>违约责任</w:t>
      </w:r>
    </w:p>
    <w:p w14:paraId="0946CED6">
      <w:pPr>
        <w:pStyle w:val="2"/>
        <w:spacing w:before="1" w:line="560" w:lineRule="exact"/>
        <w:ind w:firstLine="640" w:firstLineChars="200"/>
        <w:rPr>
          <w:rFonts w:ascii="彩虹粗仿宋" w:hAnsi="宋体" w:eastAsia="彩虹粗仿宋" w:cstheme="minorBidi"/>
          <w:snapToGrid w:val="0"/>
          <w:kern w:val="0"/>
          <w:lang w:eastAsia="zh-CN"/>
        </w:rPr>
      </w:pPr>
      <w:r>
        <w:rPr>
          <w:rFonts w:ascii="彩虹粗仿宋" w:hAnsi="宋体" w:eastAsia="彩虹粗仿宋" w:cstheme="minorBidi"/>
          <w:snapToGrid w:val="0"/>
          <w:kern w:val="0"/>
          <w:lang w:eastAsia="zh-CN"/>
        </w:rPr>
        <w:t>1.如果因投标人原因(不可抗拒因素除外)造成未按时交货每迟延1个自然日，订单金额1万元以下的，按100元/日进行扣罚；订单金额1-5万元的，按200元/日进行扣罚；订单金额5万元(含)及以上的，按400元/日进行扣罚。如入选投标人出现3次以上交货延迟的情况，招标人有权暂停其供货。迟延交付货物十个自然日以上，招标人有权终止合同，由此造成的损失由投标人承担。</w:t>
      </w:r>
    </w:p>
    <w:p w14:paraId="15BA1750">
      <w:pPr>
        <w:pStyle w:val="2"/>
        <w:spacing w:before="1" w:line="560" w:lineRule="exact"/>
        <w:ind w:firstLine="499"/>
        <w:rPr>
          <w:rFonts w:ascii="彩虹粗仿宋" w:hAnsi="宋体" w:eastAsia="彩虹粗仿宋" w:cstheme="minorBidi"/>
          <w:snapToGrid w:val="0"/>
          <w:kern w:val="0"/>
          <w:lang w:eastAsia="zh-CN"/>
        </w:rPr>
      </w:pPr>
      <w:r>
        <w:rPr>
          <w:rFonts w:ascii="彩虹粗仿宋" w:hAnsi="宋体" w:eastAsia="彩虹粗仿宋" w:cstheme="minorBidi"/>
          <w:snapToGrid w:val="0"/>
          <w:kern w:val="0"/>
          <w:lang w:eastAsia="zh-CN"/>
        </w:rPr>
        <w:t>2.当采购货物因厂家停产、升级等原因导致投标人无法供货时，投标人有义务提前1个月通知招标人，并向招标人提供不低于采购货物同等质量或性价比的货物供招标人自行选择。投标人未经招标人审核同意自行下架采购货物或因市场价格波动等原因拒不供货的，招标人有权按每次5万元对投标人进行扣罚，并有权终止合同。</w:t>
      </w:r>
    </w:p>
    <w:p w14:paraId="1E82DD17">
      <w:pPr>
        <w:pStyle w:val="2"/>
        <w:spacing w:before="1" w:line="560" w:lineRule="exact"/>
        <w:ind w:firstLine="499"/>
        <w:rPr>
          <w:rFonts w:ascii="彩虹粗仿宋" w:hAnsi="宋体" w:eastAsia="彩虹粗仿宋" w:cstheme="minorBidi"/>
          <w:snapToGrid w:val="0"/>
          <w:kern w:val="0"/>
          <w:lang w:eastAsia="zh-CN"/>
        </w:rPr>
      </w:pPr>
      <w:r>
        <w:rPr>
          <w:rFonts w:ascii="彩虹粗仿宋" w:hAnsi="宋体" w:eastAsia="彩虹粗仿宋" w:cstheme="minorBidi"/>
          <w:snapToGrid w:val="0"/>
          <w:kern w:val="0"/>
          <w:lang w:eastAsia="zh-CN"/>
        </w:rPr>
        <w:t>3.因原厂生产、投标人运输导致的产品质量问题，投标人须在7个自然日内调换。未按招标人要求提供原厂商生产供应的、全新的、未曾使用过的合格产品或不满足招标人质保期要求的产品的，招标人有权按每次5000元对投标人进行扣罚。若经原厂确认为伪劣产品，招标人实施假一罚十并将其列入</w:t>
      </w:r>
      <w:r>
        <w:rPr>
          <w:rFonts w:hint="eastAsia" w:ascii="彩虹粗仿宋" w:hAnsi="宋体" w:eastAsia="彩虹粗仿宋" w:cstheme="minorBidi"/>
          <w:snapToGrid w:val="0"/>
          <w:kern w:val="0"/>
          <w:lang w:eastAsia="zh-CN"/>
        </w:rPr>
        <w:t>供应商不良行为</w:t>
      </w:r>
      <w:r>
        <w:rPr>
          <w:rFonts w:ascii="彩虹粗仿宋" w:hAnsi="宋体" w:eastAsia="彩虹粗仿宋" w:cstheme="minorBidi"/>
          <w:snapToGrid w:val="0"/>
          <w:kern w:val="0"/>
          <w:lang w:eastAsia="zh-CN"/>
        </w:rPr>
        <w:t>记录处理,并有权终止合同，追究其法律责任。如招标人及下辖机构拒绝验收或发放时发现问题并形成有效投诉三次及以上的，招标人有权终止合同。(如涉及同一笔订单多机构投诉服务或质量等问题，视同一次投诉)</w:t>
      </w:r>
    </w:p>
    <w:p w14:paraId="49EE7C47">
      <w:pPr>
        <w:pStyle w:val="2"/>
        <w:spacing w:before="1" w:line="560" w:lineRule="exact"/>
        <w:ind w:firstLine="499"/>
        <w:rPr>
          <w:rFonts w:ascii="彩虹粗仿宋" w:hAnsi="宋体" w:eastAsia="彩虹粗仿宋" w:cstheme="minorBidi"/>
          <w:snapToGrid w:val="0"/>
          <w:kern w:val="0"/>
          <w:lang w:eastAsia="zh-CN"/>
        </w:rPr>
      </w:pPr>
      <w:r>
        <w:rPr>
          <w:rFonts w:ascii="彩虹粗仿宋" w:hAnsi="宋体" w:eastAsia="彩虹粗仿宋" w:cstheme="minorBidi"/>
          <w:snapToGrid w:val="0"/>
          <w:kern w:val="0"/>
          <w:lang w:eastAsia="zh-CN"/>
        </w:rPr>
        <w:t>4.提供的产品和服务(包括但不限于运输、供货、售后服务),造成建行或其他第三人的人身、财产损害的，投标人除承担赔偿责任外，招标人有权按每次5000元对投标人进行扣罚。如因此对招标人造成重大舆情、法律诉讼等不良的情形，招标人有权终止合同。</w:t>
      </w:r>
    </w:p>
    <w:p w14:paraId="1503ADD9">
      <w:pPr>
        <w:pStyle w:val="2"/>
        <w:spacing w:before="1" w:line="560" w:lineRule="exact"/>
        <w:ind w:firstLine="499"/>
        <w:rPr>
          <w:rFonts w:ascii="彩虹粗仿宋" w:hAnsi="宋体" w:eastAsia="彩虹粗仿宋" w:cstheme="minorBidi"/>
          <w:snapToGrid w:val="0"/>
          <w:kern w:val="0"/>
          <w:lang w:eastAsia="zh-CN"/>
        </w:rPr>
      </w:pPr>
      <w:r>
        <w:rPr>
          <w:rFonts w:ascii="彩虹粗仿宋" w:hAnsi="宋体" w:eastAsia="彩虹粗仿宋" w:cstheme="minorBidi"/>
          <w:snapToGrid w:val="0"/>
          <w:kern w:val="0"/>
          <w:lang w:eastAsia="zh-CN"/>
        </w:rPr>
        <w:t>5.因投标人违约造成招标人的费用增加和损失，招标人有权从未支付的订单款项和履约保证金中直接扣除，并取消供货方投标人资格。如未支付的订单款项和履约保证金不足以弥补招标人上述费用和损失，投标人应按招标人要求向招标人支付不足部分款项。</w:t>
      </w:r>
    </w:p>
    <w:p w14:paraId="3CE1F466">
      <w:pPr>
        <w:pStyle w:val="2"/>
        <w:spacing w:before="1" w:line="560" w:lineRule="exact"/>
        <w:ind w:firstLine="499"/>
        <w:rPr>
          <w:rFonts w:ascii="彩虹粗仿宋" w:hAnsi="宋体" w:eastAsia="彩虹粗仿宋" w:cstheme="minorBidi"/>
          <w:snapToGrid w:val="0"/>
          <w:kern w:val="0"/>
          <w:lang w:eastAsia="zh-CN"/>
        </w:rPr>
      </w:pPr>
      <w:r>
        <w:rPr>
          <w:rFonts w:ascii="彩虹粗仿宋" w:hAnsi="宋体" w:eastAsia="彩虹粗仿宋" w:cstheme="minorBidi"/>
          <w:snapToGrid w:val="0"/>
          <w:kern w:val="0"/>
          <w:lang w:eastAsia="zh-CN"/>
        </w:rPr>
        <w:t>6.本次采购商品必须在龙集采系统中下单和结算。如发现投标人存在龙集采系统外下单及结算，或不按照龙集采订单内商品发货，出现换货、变通等行为的，招标人有权按照问题订单金额的2倍处罚，并有权提前解除合同。</w:t>
      </w:r>
    </w:p>
    <w:p w14:paraId="0FFBCEF8">
      <w:pPr>
        <w:pStyle w:val="2"/>
        <w:spacing w:before="1" w:line="560" w:lineRule="exact"/>
        <w:ind w:firstLine="499"/>
        <w:rPr>
          <w:rFonts w:ascii="彩虹粗仿宋" w:hAnsi="宋体" w:eastAsia="彩虹粗仿宋" w:cstheme="minorBidi"/>
          <w:snapToGrid w:val="0"/>
          <w:kern w:val="0"/>
          <w:highlight w:val="none"/>
          <w:lang w:eastAsia="zh-CN"/>
        </w:rPr>
      </w:pPr>
      <w:r>
        <w:rPr>
          <w:rFonts w:ascii="彩虹粗仿宋" w:hAnsi="宋体" w:eastAsia="彩虹粗仿宋" w:cstheme="minorBidi"/>
          <w:snapToGrid w:val="0"/>
          <w:kern w:val="0"/>
          <w:lang w:eastAsia="zh-CN"/>
        </w:rPr>
        <w:t>7.如投标人未按照合同约定的服务区域提供服务并按时供货，或未按照合同约定提供搬运上楼等服务，招标人及下辖机构形成有效投诉反映等情形三次及以上的，招标人有权终止合同。(如涉及同一笔订单多机构投诉服务或质量等问题</w:t>
      </w:r>
      <w:r>
        <w:rPr>
          <w:rFonts w:ascii="彩虹粗仿宋" w:hAnsi="宋体" w:eastAsia="彩虹粗仿宋" w:cstheme="minorBidi"/>
          <w:snapToGrid w:val="0"/>
          <w:kern w:val="0"/>
          <w:highlight w:val="none"/>
          <w:lang w:eastAsia="zh-CN"/>
        </w:rPr>
        <w:t>，视同一次投诉)</w:t>
      </w:r>
      <w:r>
        <w:rPr>
          <w:rFonts w:hint="eastAsia" w:ascii="彩虹粗仿宋" w:hAnsi="宋体" w:eastAsia="彩虹粗仿宋" w:cstheme="minorBidi"/>
          <w:snapToGrid w:val="0"/>
          <w:kern w:val="0"/>
          <w:highlight w:val="none"/>
          <w:lang w:eastAsia="zh-CN"/>
        </w:rPr>
        <w:t>。</w:t>
      </w:r>
    </w:p>
    <w:p w14:paraId="0928AC88">
      <w:pPr>
        <w:pStyle w:val="2"/>
        <w:spacing w:before="1" w:line="560" w:lineRule="exact"/>
        <w:ind w:firstLine="499"/>
        <w:rPr>
          <w:rFonts w:ascii="彩虹黑体" w:eastAsia="彩虹黑体"/>
          <w:bCs/>
          <w:snapToGrid w:val="0"/>
          <w:color w:val="000000"/>
          <w:spacing w:val="9"/>
          <w:kern w:val="0"/>
          <w:highlight w:val="none"/>
          <w:lang w:eastAsia="zh-CN"/>
        </w:rPr>
      </w:pPr>
      <w:r>
        <w:rPr>
          <w:rFonts w:hint="eastAsia" w:ascii="彩虹黑体" w:eastAsia="彩虹黑体"/>
          <w:bCs/>
          <w:snapToGrid w:val="0"/>
          <w:color w:val="000000"/>
          <w:spacing w:val="9"/>
          <w:kern w:val="0"/>
          <w:highlight w:val="none"/>
          <w:lang w:eastAsia="zh-CN"/>
        </w:rPr>
        <w:t>十</w:t>
      </w:r>
      <w:r>
        <w:rPr>
          <w:rFonts w:ascii="彩虹黑体" w:eastAsia="彩虹黑体"/>
          <w:bCs/>
          <w:snapToGrid w:val="0"/>
          <w:color w:val="000000"/>
          <w:spacing w:val="9"/>
          <w:kern w:val="0"/>
          <w:highlight w:val="none"/>
          <w:lang w:eastAsia="zh-CN"/>
        </w:rPr>
        <w:t>、</w:t>
      </w:r>
      <w:r>
        <w:rPr>
          <w:rFonts w:hint="eastAsia" w:ascii="彩虹黑体" w:eastAsia="彩虹黑体"/>
          <w:bCs/>
          <w:snapToGrid w:val="0"/>
          <w:color w:val="000000"/>
          <w:spacing w:val="9"/>
          <w:kern w:val="0"/>
          <w:highlight w:val="none"/>
          <w:lang w:eastAsia="zh-CN"/>
        </w:rPr>
        <w:t>其他</w:t>
      </w:r>
    </w:p>
    <w:p w14:paraId="68C19862">
      <w:pPr>
        <w:spacing w:line="560" w:lineRule="exact"/>
        <w:ind w:firstLine="480" w:firstLineChars="150"/>
        <w:rPr>
          <w:rFonts w:ascii="彩虹粗仿宋" w:hAnsi="宋体" w:eastAsia="彩虹粗仿宋"/>
          <w:snapToGrid w:val="0"/>
          <w:kern w:val="0"/>
          <w:sz w:val="32"/>
          <w:szCs w:val="32"/>
          <w:highlight w:val="none"/>
        </w:rPr>
      </w:pPr>
      <w:r>
        <w:rPr>
          <w:rFonts w:hint="eastAsia" w:ascii="彩虹粗仿宋" w:hAnsi="宋体" w:eastAsia="彩虹粗仿宋"/>
          <w:snapToGrid w:val="0"/>
          <w:kern w:val="0"/>
          <w:sz w:val="32"/>
          <w:szCs w:val="32"/>
          <w:highlight w:val="none"/>
        </w:rPr>
        <w:t>如中标供应商设立广西分公司或广西办事处，</w:t>
      </w:r>
      <w:r>
        <w:rPr>
          <w:rFonts w:ascii="彩虹粗仿宋" w:hAnsi="宋体" w:eastAsia="彩虹粗仿宋"/>
          <w:snapToGrid w:val="0"/>
          <w:kern w:val="0"/>
          <w:sz w:val="32"/>
          <w:szCs w:val="32"/>
          <w:highlight w:val="none"/>
        </w:rPr>
        <w:t>则</w:t>
      </w:r>
      <w:r>
        <w:rPr>
          <w:rFonts w:hint="eastAsia" w:ascii="彩虹粗仿宋" w:hAnsi="宋体" w:eastAsia="彩虹粗仿宋"/>
          <w:snapToGrid w:val="0"/>
          <w:kern w:val="0"/>
          <w:sz w:val="32"/>
          <w:szCs w:val="32"/>
          <w:highlight w:val="none"/>
        </w:rPr>
        <w:t>其广西分公司或广西办事处须</w:t>
      </w:r>
      <w:r>
        <w:rPr>
          <w:rFonts w:ascii="彩虹粗仿宋" w:hAnsi="宋体" w:eastAsia="彩虹粗仿宋"/>
          <w:snapToGrid w:val="0"/>
          <w:kern w:val="0"/>
          <w:sz w:val="32"/>
          <w:szCs w:val="32"/>
          <w:highlight w:val="none"/>
        </w:rPr>
        <w:t>在</w:t>
      </w:r>
      <w:r>
        <w:rPr>
          <w:rFonts w:hint="eastAsia" w:ascii="彩虹粗仿宋" w:hAnsi="宋体" w:eastAsia="彩虹粗仿宋"/>
          <w:snapToGrid w:val="0"/>
          <w:kern w:val="0"/>
          <w:sz w:val="32"/>
          <w:szCs w:val="32"/>
          <w:highlight w:val="none"/>
        </w:rPr>
        <w:t>建行</w:t>
      </w:r>
      <w:r>
        <w:rPr>
          <w:rFonts w:ascii="彩虹粗仿宋" w:hAnsi="宋体" w:eastAsia="彩虹粗仿宋"/>
          <w:snapToGrid w:val="0"/>
          <w:kern w:val="0"/>
          <w:sz w:val="32"/>
          <w:szCs w:val="32"/>
          <w:highlight w:val="none"/>
        </w:rPr>
        <w:t>广西区分行</w:t>
      </w:r>
      <w:r>
        <w:rPr>
          <w:rFonts w:hint="eastAsia" w:ascii="彩虹粗仿宋" w:hAnsi="宋体" w:eastAsia="彩虹粗仿宋"/>
          <w:snapToGrid w:val="0"/>
          <w:kern w:val="0"/>
          <w:sz w:val="32"/>
          <w:szCs w:val="32"/>
          <w:highlight w:val="none"/>
        </w:rPr>
        <w:t>开立对公账户；其派驻本项目相关工作人员，须开立建行个人账户。</w:t>
      </w:r>
    </w:p>
    <w:p w14:paraId="756548A8">
      <w:pPr>
        <w:spacing w:line="560" w:lineRule="exact"/>
        <w:rPr>
          <w:rFonts w:ascii="彩虹粗仿宋" w:hAnsi="宋体" w:eastAsia="彩虹粗仿宋"/>
          <w:snapToGrid w:val="0"/>
          <w:kern w:val="0"/>
          <w:sz w:val="32"/>
          <w:szCs w:val="32"/>
        </w:rPr>
      </w:pPr>
    </w:p>
    <w:p w14:paraId="293537EC">
      <w:pPr>
        <w:spacing w:line="560" w:lineRule="exact"/>
        <w:rPr>
          <w:rFonts w:ascii="彩虹粗仿宋" w:hAnsi="宋体" w:eastAsia="彩虹粗仿宋"/>
          <w:snapToGrid w:val="0"/>
          <w:kern w:val="0"/>
          <w:sz w:val="32"/>
          <w:szCs w:val="32"/>
        </w:rPr>
      </w:pPr>
    </w:p>
    <w:p w14:paraId="1179D053">
      <w:pPr>
        <w:spacing w:line="560" w:lineRule="exact"/>
        <w:rPr>
          <w:rFonts w:ascii="彩虹粗仿宋" w:hAnsi="宋体" w:eastAsia="彩虹粗仿宋"/>
          <w:snapToGrid w:val="0"/>
          <w:kern w:val="0"/>
          <w:sz w:val="32"/>
          <w:szCs w:val="32"/>
        </w:rPr>
      </w:pPr>
    </w:p>
    <w:p w14:paraId="21BEDA66">
      <w:pPr>
        <w:spacing w:line="560" w:lineRule="exact"/>
        <w:rPr>
          <w:rFonts w:ascii="彩虹粗仿宋" w:hAnsi="宋体" w:eastAsia="彩虹粗仿宋"/>
          <w:snapToGrid w:val="0"/>
          <w:kern w:val="0"/>
          <w:sz w:val="32"/>
          <w:szCs w:val="32"/>
        </w:rPr>
      </w:pPr>
    </w:p>
    <w:p w14:paraId="34216983">
      <w:pPr>
        <w:spacing w:line="560" w:lineRule="exact"/>
        <w:rPr>
          <w:rFonts w:ascii="彩虹粗仿宋" w:hAnsi="宋体" w:eastAsia="彩虹粗仿宋"/>
          <w:snapToGrid w:val="0"/>
          <w:kern w:val="0"/>
          <w:sz w:val="32"/>
          <w:szCs w:val="32"/>
        </w:rPr>
      </w:pPr>
    </w:p>
    <w:p w14:paraId="719B148D">
      <w:pPr>
        <w:spacing w:line="560" w:lineRule="exact"/>
        <w:rPr>
          <w:rFonts w:ascii="彩虹粗仿宋" w:hAnsi="宋体" w:eastAsia="彩虹粗仿宋"/>
          <w:snapToGrid w:val="0"/>
          <w:kern w:val="0"/>
          <w:sz w:val="32"/>
          <w:szCs w:val="32"/>
        </w:rPr>
      </w:pPr>
    </w:p>
    <w:p w14:paraId="2D9835D2">
      <w:pPr>
        <w:spacing w:line="560" w:lineRule="exact"/>
        <w:rPr>
          <w:rFonts w:ascii="彩虹粗仿宋" w:hAnsi="宋体" w:eastAsia="彩虹粗仿宋"/>
          <w:snapToGrid w:val="0"/>
          <w:kern w:val="0"/>
          <w:sz w:val="32"/>
          <w:szCs w:val="32"/>
        </w:rPr>
      </w:pPr>
    </w:p>
    <w:p w14:paraId="5340CC8D">
      <w:pPr>
        <w:spacing w:line="560" w:lineRule="exact"/>
        <w:rPr>
          <w:rFonts w:ascii="彩虹粗仿宋" w:hAnsi="宋体" w:eastAsia="彩虹粗仿宋"/>
          <w:snapToGrid w:val="0"/>
          <w:kern w:val="0"/>
          <w:sz w:val="32"/>
          <w:szCs w:val="32"/>
        </w:rPr>
      </w:pPr>
    </w:p>
    <w:p w14:paraId="4D37393A">
      <w:pPr>
        <w:spacing w:line="560" w:lineRule="exact"/>
        <w:rPr>
          <w:rFonts w:ascii="彩虹粗仿宋" w:hAnsi="宋体" w:eastAsia="彩虹粗仿宋"/>
          <w:snapToGrid w:val="0"/>
          <w:kern w:val="0"/>
          <w:sz w:val="32"/>
          <w:szCs w:val="32"/>
        </w:rPr>
      </w:pPr>
    </w:p>
    <w:p w14:paraId="0E6D30CD">
      <w:pPr>
        <w:spacing w:line="560" w:lineRule="exact"/>
        <w:rPr>
          <w:rFonts w:ascii="彩虹粗仿宋" w:hAnsi="宋体" w:eastAsia="彩虹粗仿宋"/>
          <w:snapToGrid w:val="0"/>
          <w:kern w:val="0"/>
          <w:sz w:val="32"/>
          <w:szCs w:val="32"/>
        </w:rPr>
      </w:pPr>
    </w:p>
    <w:p w14:paraId="083E950B">
      <w:pPr>
        <w:spacing w:line="560" w:lineRule="exact"/>
        <w:rPr>
          <w:rFonts w:ascii="彩虹粗仿宋" w:hAnsi="宋体" w:eastAsia="彩虹粗仿宋"/>
          <w:snapToGrid w:val="0"/>
          <w:kern w:val="0"/>
          <w:sz w:val="32"/>
          <w:szCs w:val="32"/>
        </w:rPr>
      </w:pPr>
    </w:p>
    <w:p w14:paraId="62711301">
      <w:pPr>
        <w:spacing w:line="560" w:lineRule="exact"/>
        <w:rPr>
          <w:rFonts w:ascii="彩虹粗仿宋" w:hAnsi="宋体" w:eastAsia="彩虹粗仿宋"/>
          <w:snapToGrid w:val="0"/>
          <w:kern w:val="0"/>
          <w:sz w:val="32"/>
          <w:szCs w:val="32"/>
        </w:rPr>
      </w:pPr>
    </w:p>
    <w:p w14:paraId="021F285B">
      <w:pPr>
        <w:spacing w:line="560" w:lineRule="exact"/>
        <w:rPr>
          <w:rFonts w:ascii="彩虹粗仿宋" w:hAnsi="宋体" w:eastAsia="彩虹粗仿宋"/>
          <w:snapToGrid w:val="0"/>
          <w:kern w:val="0"/>
          <w:sz w:val="32"/>
          <w:szCs w:val="32"/>
        </w:rPr>
      </w:pPr>
    </w:p>
    <w:p w14:paraId="783FC883">
      <w:pPr>
        <w:spacing w:line="560" w:lineRule="exact"/>
        <w:rPr>
          <w:rFonts w:ascii="彩虹粗仿宋" w:hAnsi="宋体" w:eastAsia="彩虹粗仿宋"/>
          <w:snapToGrid w:val="0"/>
          <w:kern w:val="0"/>
          <w:sz w:val="32"/>
          <w:szCs w:val="32"/>
        </w:rPr>
      </w:pPr>
    </w:p>
    <w:p w14:paraId="2356B9C1">
      <w:pPr>
        <w:spacing w:line="560" w:lineRule="exact"/>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等线">
    <w:altName w:val="华文仿宋"/>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Courier New">
    <w:altName w:val="DejaVu Sans"/>
    <w:panose1 w:val="02070309020205020404"/>
    <w:charset w:val="00"/>
    <w:family w:val="modern"/>
    <w:pitch w:val="default"/>
    <w:sig w:usb0="00000000" w:usb1="00000000" w:usb2="00000009" w:usb3="00000000" w:csb0="000001FF" w:csb1="00000000"/>
  </w:font>
  <w:font w:name="彩虹小标宋">
    <w:panose1 w:val="03000509000000000000"/>
    <w:charset w:val="86"/>
    <w:family w:val="script"/>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彩虹楷体">
    <w:panose1 w:val="03000509000000000000"/>
    <w:charset w:val="86"/>
    <w:family w:val="script"/>
    <w:pitch w:val="default"/>
    <w:sig w:usb0="00000001" w:usb1="080E0000" w:usb2="00000000" w:usb3="00000000" w:csb0="00040000" w:csb1="00000000"/>
  </w:font>
  <w:font w:name="C059">
    <w:panose1 w:val="00000500000000000000"/>
    <w:charset w:val="00"/>
    <w:family w:val="auto"/>
    <w:pitch w:val="default"/>
    <w:sig w:usb0="00000287" w:usb1="00000800" w:usb2="00000000" w:usb3="00000000" w:csb0="6000009F"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096AA">
    <w:pPr>
      <w:spacing w:line="175" w:lineRule="auto"/>
      <w:rPr>
        <w:rFonts w:ascii="Times New Roman" w:hAnsi="Times New Roman" w:eastAsia="Times New Roman" w:cs="Times New Roman"/>
        <w:sz w:val="16"/>
        <w:szCs w:val="16"/>
      </w:rPr>
    </w:pPr>
    <w:r>
      <w:rPr>
        <w:sz w:val="16"/>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360D304D">
                <w:pPr>
                  <w:pStyle w:val="4"/>
                </w:pPr>
                <w:r>
                  <w:fldChar w:fldCharType="begin"/>
                </w:r>
                <w:r>
                  <w:instrText xml:space="preserve"> PAGE  \* MERGEFORMAT </w:instrText>
                </w:r>
                <w:r>
                  <w:fldChar w:fldCharType="separate"/>
                </w:r>
                <w:r>
                  <w:t>14</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ViZDM2ZDk2NDhmMzRjNjU0NTU1MDFhYmM3ZDA0YmMifQ=="/>
  </w:docVars>
  <w:rsids>
    <w:rsidRoot w:val="00376A94"/>
    <w:rsid w:val="000062DC"/>
    <w:rsid w:val="000071B6"/>
    <w:rsid w:val="00011EB2"/>
    <w:rsid w:val="00015717"/>
    <w:rsid w:val="000673F1"/>
    <w:rsid w:val="0009354A"/>
    <w:rsid w:val="000A2A5D"/>
    <w:rsid w:val="000B360B"/>
    <w:rsid w:val="000E655A"/>
    <w:rsid w:val="00106570"/>
    <w:rsid w:val="00106FE2"/>
    <w:rsid w:val="00133843"/>
    <w:rsid w:val="00154F0B"/>
    <w:rsid w:val="00185959"/>
    <w:rsid w:val="001A71A8"/>
    <w:rsid w:val="001B6193"/>
    <w:rsid w:val="001C4EAF"/>
    <w:rsid w:val="002008EE"/>
    <w:rsid w:val="002467EB"/>
    <w:rsid w:val="002746FC"/>
    <w:rsid w:val="002D7306"/>
    <w:rsid w:val="002E2B5A"/>
    <w:rsid w:val="0031438C"/>
    <w:rsid w:val="00314DEB"/>
    <w:rsid w:val="00376A94"/>
    <w:rsid w:val="00394CAB"/>
    <w:rsid w:val="003B4B4A"/>
    <w:rsid w:val="0041296D"/>
    <w:rsid w:val="00415852"/>
    <w:rsid w:val="00473EF7"/>
    <w:rsid w:val="004A1C7C"/>
    <w:rsid w:val="004C6227"/>
    <w:rsid w:val="004D2530"/>
    <w:rsid w:val="004E5AB8"/>
    <w:rsid w:val="00520DC3"/>
    <w:rsid w:val="00525E15"/>
    <w:rsid w:val="00551A84"/>
    <w:rsid w:val="005610A9"/>
    <w:rsid w:val="00563FE7"/>
    <w:rsid w:val="005A3D0B"/>
    <w:rsid w:val="005C00A5"/>
    <w:rsid w:val="005D012C"/>
    <w:rsid w:val="005D5818"/>
    <w:rsid w:val="006005D8"/>
    <w:rsid w:val="00606C09"/>
    <w:rsid w:val="00606EBC"/>
    <w:rsid w:val="00622820"/>
    <w:rsid w:val="006628E1"/>
    <w:rsid w:val="00671124"/>
    <w:rsid w:val="00674325"/>
    <w:rsid w:val="00675C04"/>
    <w:rsid w:val="006C7026"/>
    <w:rsid w:val="006F28C9"/>
    <w:rsid w:val="00710E68"/>
    <w:rsid w:val="00760C63"/>
    <w:rsid w:val="00761512"/>
    <w:rsid w:val="007939CD"/>
    <w:rsid w:val="007B68BE"/>
    <w:rsid w:val="007D09EF"/>
    <w:rsid w:val="007D598B"/>
    <w:rsid w:val="007F645C"/>
    <w:rsid w:val="008062C9"/>
    <w:rsid w:val="00825199"/>
    <w:rsid w:val="00846B3A"/>
    <w:rsid w:val="0086372D"/>
    <w:rsid w:val="00886BB3"/>
    <w:rsid w:val="008A5F11"/>
    <w:rsid w:val="008D243F"/>
    <w:rsid w:val="008F0CE7"/>
    <w:rsid w:val="00907AAC"/>
    <w:rsid w:val="00926161"/>
    <w:rsid w:val="00966A1D"/>
    <w:rsid w:val="009A0AE6"/>
    <w:rsid w:val="009A1CBA"/>
    <w:rsid w:val="00A35D96"/>
    <w:rsid w:val="00A82AC0"/>
    <w:rsid w:val="00AC7DA6"/>
    <w:rsid w:val="00AD7CEA"/>
    <w:rsid w:val="00B3550A"/>
    <w:rsid w:val="00B52F46"/>
    <w:rsid w:val="00B6317E"/>
    <w:rsid w:val="00BD141B"/>
    <w:rsid w:val="00BD2CB5"/>
    <w:rsid w:val="00BF506E"/>
    <w:rsid w:val="00C37703"/>
    <w:rsid w:val="00C6602D"/>
    <w:rsid w:val="00C72C62"/>
    <w:rsid w:val="00C760BF"/>
    <w:rsid w:val="00CB2F35"/>
    <w:rsid w:val="00CC52F9"/>
    <w:rsid w:val="00D0336E"/>
    <w:rsid w:val="00D235D3"/>
    <w:rsid w:val="00D403C6"/>
    <w:rsid w:val="00D477E1"/>
    <w:rsid w:val="00D563EB"/>
    <w:rsid w:val="00D631C8"/>
    <w:rsid w:val="00D75AB9"/>
    <w:rsid w:val="00D81034"/>
    <w:rsid w:val="00D83929"/>
    <w:rsid w:val="00DA3FAD"/>
    <w:rsid w:val="00DE2B91"/>
    <w:rsid w:val="00E0299B"/>
    <w:rsid w:val="00E056DD"/>
    <w:rsid w:val="00E370ED"/>
    <w:rsid w:val="00E6542A"/>
    <w:rsid w:val="00E92E65"/>
    <w:rsid w:val="00EB475D"/>
    <w:rsid w:val="00EC2DE9"/>
    <w:rsid w:val="00F14324"/>
    <w:rsid w:val="00F7233D"/>
    <w:rsid w:val="00FB5409"/>
    <w:rsid w:val="00FB7D73"/>
    <w:rsid w:val="00FC00DB"/>
    <w:rsid w:val="00FC07EA"/>
    <w:rsid w:val="00FC6E31"/>
    <w:rsid w:val="00FD3AAD"/>
    <w:rsid w:val="00FD72B0"/>
    <w:rsid w:val="3FBB6DB7"/>
    <w:rsid w:val="3FFCB1D0"/>
    <w:rsid w:val="EDBB2E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semiHidden/>
    <w:qFormat/>
    <w:uiPriority w:val="0"/>
    <w:rPr>
      <w:rFonts w:ascii="仿宋" w:hAnsi="仿宋" w:eastAsia="仿宋" w:cs="仿宋"/>
      <w:sz w:val="32"/>
      <w:szCs w:val="32"/>
      <w:lang w:eastAsia="en-US"/>
    </w:rPr>
  </w:style>
  <w:style w:type="paragraph" w:styleId="3">
    <w:name w:val="Plain Text"/>
    <w:basedOn w:val="1"/>
    <w:link w:val="12"/>
    <w:semiHidden/>
    <w:unhideWhenUsed/>
    <w:qFormat/>
    <w:uiPriority w:val="0"/>
    <w:rPr>
      <w:rFonts w:ascii="宋体" w:hAnsi="Courier New" w:eastAsia="宋体" w:cs="Times New Roman"/>
      <w:kern w:val="0"/>
      <w:sz w:val="20"/>
      <w:szCs w:val="21"/>
      <w:lang w:val="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563C1" w:themeColor="hyperlink"/>
      <w:u w:val="single"/>
      <w14:textFill>
        <w14:solidFill>
          <w14:schemeClr w14:val="hlink"/>
        </w14:solidFill>
      </w14:textFill>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纯文本 字符"/>
    <w:basedOn w:val="8"/>
    <w:link w:val="3"/>
    <w:semiHidden/>
    <w:qFormat/>
    <w:uiPriority w:val="0"/>
    <w:rPr>
      <w:rFonts w:ascii="宋体" w:hAnsi="Courier New" w:eastAsia="宋体" w:cs="Times New Roman"/>
      <w:kern w:val="0"/>
      <w:sz w:val="20"/>
      <w:szCs w:val="21"/>
      <w:lang w:val="zh-CN"/>
    </w:rPr>
  </w:style>
  <w:style w:type="character" w:customStyle="1" w:styleId="13">
    <w:name w:val="正文文本 字符"/>
    <w:basedOn w:val="8"/>
    <w:link w:val="2"/>
    <w:semiHidden/>
    <w:qFormat/>
    <w:uiPriority w:val="0"/>
    <w:rPr>
      <w:rFonts w:ascii="仿宋" w:hAnsi="仿宋" w:eastAsia="仿宋" w:cs="仿宋"/>
      <w:sz w:val="32"/>
      <w:szCs w:val="32"/>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solidFill>
            <a:srgbClr val="FF0000"/>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tailEnd type="triangle"/>
        </a:ln>
      </a:spPr>
      <a:bodyPr/>
      <a:lstStyle/>
      <a:style>
        <a:lnRef idx="1">
          <a:schemeClr val="accent1"/>
        </a:lnRef>
        <a:fillRef idx="0">
          <a:schemeClr val="accent1"/>
        </a:fillRef>
        <a:effectRef idx="0">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49"/>
  </customShpExts>
</s:customData>
</file>

<file path=customXml/item2.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35B717-EC01-41A1-B5DB-249E4EF2D32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1033</Words>
  <Characters>5892</Characters>
  <Lines>49</Lines>
  <Paragraphs>13</Paragraphs>
  <TotalTime>5</TotalTime>
  <ScaleCrop>false</ScaleCrop>
  <LinksUpToDate>false</LinksUpToDate>
  <CharactersWithSpaces>6912</CharactersWithSpaces>
  <Application>WPS Office_12.8.2.18605_F1E327BC-269C-435d-A152-05C5408002CA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2026-09-04T18:40:00Z</dcterms:created>
  <dc:creator>杨抒梦</dc:creator>
  <cp:lastModifiedBy>ccb</cp:lastModifiedBy>
  <cp:lastPrinted>2026-08-31T18:13:00Z</cp:lastPrinted>
  <dcterms:modified xsi:type="dcterms:W3CDTF">2026-09-04T18:50:28Z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ICV">
    <vt:lpwstr>5C0AE2BC993DCE9E74A29A6A5B2402A5_43</vt:lpwstr>
  </property>
</Properties>
</file>