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FFD30">
      <w:pPr>
        <w:rPr>
          <w:color w:val="000000" w:themeColor="text1"/>
          <w14:textFill>
            <w14:solidFill>
              <w14:schemeClr w14:val="tx1"/>
            </w14:solidFill>
          </w14:textFill>
        </w:rPr>
      </w:pPr>
    </w:p>
    <w:p w14:paraId="7A072E1A">
      <w:pPr>
        <w:ind w:firstLine="440" w:firstLineChars="100"/>
        <w:rPr>
          <w:rFonts w:ascii="彩虹粗仿宋" w:hAnsi="彩虹粗仿宋" w:eastAsia="彩虹粗仿宋" w:cs="彩虹粗仿宋"/>
          <w:color w:val="000000" w:themeColor="text1"/>
          <w:sz w:val="44"/>
          <w:szCs w:val="44"/>
          <w14:textFill>
            <w14:solidFill>
              <w14:schemeClr w14:val="tx1"/>
            </w14:solidFill>
          </w14:textFill>
        </w:rPr>
      </w:pPr>
      <w:r>
        <w:rPr>
          <w:rFonts w:hint="eastAsia" w:ascii="彩虹粗仿宋" w:hAnsi="彩虹粗仿宋" w:eastAsia="彩虹粗仿宋" w:cs="彩虹粗仿宋"/>
          <w:color w:val="000000" w:themeColor="text1"/>
          <w:sz w:val="44"/>
          <w:szCs w:val="44"/>
          <w14:textFill>
            <w14:solidFill>
              <w14:schemeClr w14:val="tx1"/>
            </w14:solidFill>
          </w14:textFill>
        </w:rPr>
        <w:t>梧州高级中学校园一卡通项目采购需求</w:t>
      </w:r>
    </w:p>
    <w:p w14:paraId="2614C87E">
      <w:pPr>
        <w:rPr>
          <w:color w:val="000000" w:themeColor="text1"/>
          <w14:textFill>
            <w14:solidFill>
              <w14:schemeClr w14:val="tx1"/>
            </w14:solidFill>
          </w14:textFill>
        </w:rPr>
      </w:pPr>
    </w:p>
    <w:p w14:paraId="62F5ECC2">
      <w:pPr>
        <w:rPr>
          <w:color w:val="000000" w:themeColor="text1"/>
          <w14:textFill>
            <w14:solidFill>
              <w14:schemeClr w14:val="tx1"/>
            </w14:solidFill>
          </w14:textFill>
        </w:rPr>
      </w:pPr>
    </w:p>
    <w:p w14:paraId="4ACDF9FA">
      <w:pPr>
        <w:ind w:firstLine="421" w:firstLineChars="131"/>
        <w:rPr>
          <w:rFonts w:ascii="彩虹粗仿宋" w:hAnsi="彩虹粗仿宋" w:eastAsia="彩虹粗仿宋" w:cs="彩虹粗仿宋"/>
          <w:color w:val="000000" w:themeColor="text1"/>
          <w:sz w:val="28"/>
          <w:szCs w:val="28"/>
          <w14:textFill>
            <w14:solidFill>
              <w14:schemeClr w14:val="tx1"/>
            </w14:solidFill>
          </w14:textFill>
        </w:rPr>
      </w:pPr>
      <w:r>
        <w:rPr>
          <w:rFonts w:hint="eastAsia" w:ascii="Arial" w:hAnsi="Arial" w:eastAsia="黑体"/>
          <w:b/>
          <w:color w:val="000000" w:themeColor="text1"/>
          <w:sz w:val="32"/>
          <w14:textFill>
            <w14:solidFill>
              <w14:schemeClr w14:val="tx1"/>
            </w14:solidFill>
          </w14:textFill>
        </w:rPr>
        <w:t>一、采购内容</w:t>
      </w:r>
    </w:p>
    <w:p w14:paraId="4A01549C">
      <w:pPr>
        <w:ind w:firstLine="560"/>
        <w:rPr>
          <w:rFonts w:ascii="彩虹粗仿宋" w:hAnsi="彩虹粗仿宋" w:eastAsia="彩虹粗仿宋" w:cs="彩虹粗仿宋"/>
          <w:color w:val="000000" w:themeColor="text1"/>
          <w:sz w:val="28"/>
          <w:szCs w:val="28"/>
          <w14:textFill>
            <w14:solidFill>
              <w14:schemeClr w14:val="tx1"/>
            </w14:solidFill>
          </w14:textFill>
        </w:rPr>
      </w:pPr>
      <w:r>
        <w:rPr>
          <w:rFonts w:hint="eastAsia" w:ascii="彩虹粗仿宋" w:hAnsi="彩虹粗仿宋" w:eastAsia="彩虹粗仿宋" w:cs="彩虹粗仿宋"/>
          <w:color w:val="000000" w:themeColor="text1"/>
          <w:sz w:val="28"/>
          <w:szCs w:val="28"/>
          <w14:textFill>
            <w14:solidFill>
              <w14:schemeClr w14:val="tx1"/>
            </w14:solidFill>
          </w14:textFill>
        </w:rPr>
        <w:t>梧州高级中学校园一卡通项目，合同期限8年，详细采购内容如下：</w:t>
      </w:r>
    </w:p>
    <w:tbl>
      <w:tblPr>
        <w:tblStyle w:val="5"/>
        <w:tblW w:w="4998" w:type="pct"/>
        <w:tblInd w:w="0" w:type="dxa"/>
        <w:tblLayout w:type="autofit"/>
        <w:tblCellMar>
          <w:top w:w="0" w:type="dxa"/>
          <w:left w:w="108" w:type="dxa"/>
          <w:bottom w:w="0" w:type="dxa"/>
          <w:right w:w="108" w:type="dxa"/>
        </w:tblCellMar>
      </w:tblPr>
      <w:tblGrid>
        <w:gridCol w:w="1103"/>
        <w:gridCol w:w="1103"/>
        <w:gridCol w:w="3003"/>
        <w:gridCol w:w="946"/>
        <w:gridCol w:w="1132"/>
        <w:gridCol w:w="1232"/>
      </w:tblGrid>
      <w:tr w14:paraId="0F4B56E9">
        <w:tblPrEx>
          <w:tblCellMar>
            <w:top w:w="0" w:type="dxa"/>
            <w:left w:w="108" w:type="dxa"/>
            <w:bottom w:w="0" w:type="dxa"/>
            <w:right w:w="108" w:type="dxa"/>
          </w:tblCellMar>
        </w:tblPrEx>
        <w:trPr>
          <w:trHeight w:val="570" w:hRule="atLeast"/>
        </w:trPr>
        <w:tc>
          <w:tcPr>
            <w:tcW w:w="647" w:type="pct"/>
            <w:tcBorders>
              <w:top w:val="single" w:color="000000" w:sz="4" w:space="0"/>
              <w:left w:val="single" w:color="000000" w:sz="4" w:space="0"/>
              <w:bottom w:val="single" w:color="000000" w:sz="4" w:space="0"/>
              <w:right w:val="single" w:color="000000" w:sz="4" w:space="0"/>
            </w:tcBorders>
            <w:vAlign w:val="center"/>
          </w:tcPr>
          <w:p w14:paraId="71B4D1C7">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彩虹粗仿宋" w:hAnsi="彩虹粗仿宋" w:eastAsia="彩虹粗仿宋" w:cs="彩虹粗仿宋"/>
                <w:color w:val="000000" w:themeColor="text1"/>
                <w:kern w:val="0"/>
                <w:szCs w:val="21"/>
                <w:lang w:bidi="ar"/>
                <w14:textFill>
                  <w14:solidFill>
                    <w14:schemeClr w14:val="tx1"/>
                  </w14:solidFill>
                </w14:textFill>
              </w:rPr>
              <w:t>序号</w:t>
            </w:r>
          </w:p>
        </w:tc>
        <w:tc>
          <w:tcPr>
            <w:tcW w:w="647" w:type="pct"/>
            <w:tcBorders>
              <w:top w:val="single" w:color="000000" w:sz="4" w:space="0"/>
              <w:left w:val="single" w:color="000000" w:sz="4" w:space="0"/>
              <w:bottom w:val="single" w:color="000000" w:sz="4" w:space="0"/>
              <w:right w:val="single" w:color="000000" w:sz="4" w:space="0"/>
            </w:tcBorders>
            <w:vAlign w:val="center"/>
          </w:tcPr>
          <w:p w14:paraId="0DC66477">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彩虹粗仿宋" w:hAnsi="彩虹粗仿宋" w:eastAsia="彩虹粗仿宋" w:cs="彩虹粗仿宋"/>
                <w:color w:val="000000" w:themeColor="text1"/>
                <w:kern w:val="0"/>
                <w:szCs w:val="21"/>
                <w:lang w:bidi="ar"/>
                <w14:textFill>
                  <w14:solidFill>
                    <w14:schemeClr w14:val="tx1"/>
                  </w14:solidFill>
                </w14:textFill>
              </w:rPr>
              <w:t>类型</w:t>
            </w:r>
          </w:p>
        </w:tc>
        <w:tc>
          <w:tcPr>
            <w:tcW w:w="1762" w:type="pct"/>
            <w:tcBorders>
              <w:top w:val="single" w:color="000000" w:sz="4" w:space="0"/>
              <w:left w:val="single" w:color="000000" w:sz="4" w:space="0"/>
              <w:bottom w:val="single" w:color="000000" w:sz="4" w:space="0"/>
              <w:right w:val="single" w:color="000000" w:sz="4" w:space="0"/>
            </w:tcBorders>
            <w:vAlign w:val="center"/>
          </w:tcPr>
          <w:p w14:paraId="4E4007B6">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彩虹粗仿宋" w:hAnsi="彩虹粗仿宋" w:eastAsia="彩虹粗仿宋" w:cs="彩虹粗仿宋"/>
                <w:color w:val="000000" w:themeColor="text1"/>
                <w:kern w:val="0"/>
                <w:szCs w:val="21"/>
                <w:lang w:bidi="ar"/>
                <w14:textFill>
                  <w14:solidFill>
                    <w14:schemeClr w14:val="tx1"/>
                  </w14:solidFill>
                </w14:textFill>
              </w:rPr>
              <w:t>名称</w:t>
            </w:r>
          </w:p>
        </w:tc>
        <w:tc>
          <w:tcPr>
            <w:tcW w:w="555" w:type="pct"/>
            <w:tcBorders>
              <w:top w:val="single" w:color="000000" w:sz="4" w:space="0"/>
              <w:left w:val="single" w:color="000000" w:sz="4" w:space="0"/>
              <w:bottom w:val="single" w:color="000000" w:sz="4" w:space="0"/>
              <w:right w:val="single" w:color="000000" w:sz="4" w:space="0"/>
            </w:tcBorders>
            <w:vAlign w:val="center"/>
          </w:tcPr>
          <w:p w14:paraId="79DEFDD0">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彩虹粗仿宋" w:hAnsi="彩虹粗仿宋" w:eastAsia="彩虹粗仿宋" w:cs="彩虹粗仿宋"/>
                <w:color w:val="000000" w:themeColor="text1"/>
                <w:kern w:val="0"/>
                <w:szCs w:val="21"/>
                <w:lang w:bidi="ar"/>
                <w14:textFill>
                  <w14:solidFill>
                    <w14:schemeClr w14:val="tx1"/>
                  </w14:solidFill>
                </w14:textFill>
              </w:rPr>
              <w:t>数量</w:t>
            </w:r>
          </w:p>
        </w:tc>
        <w:tc>
          <w:tcPr>
            <w:tcW w:w="664" w:type="pct"/>
            <w:tcBorders>
              <w:top w:val="single" w:color="000000" w:sz="4" w:space="0"/>
              <w:left w:val="single" w:color="000000" w:sz="4" w:space="0"/>
              <w:bottom w:val="single" w:color="000000" w:sz="4" w:space="0"/>
              <w:right w:val="single" w:color="000000" w:sz="4" w:space="0"/>
            </w:tcBorders>
            <w:vAlign w:val="center"/>
          </w:tcPr>
          <w:p w14:paraId="215FCAA1">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彩虹粗仿宋" w:hAnsi="彩虹粗仿宋" w:eastAsia="彩虹粗仿宋" w:cs="彩虹粗仿宋"/>
                <w:color w:val="000000" w:themeColor="text1"/>
                <w:kern w:val="0"/>
                <w:szCs w:val="21"/>
                <w:lang w:bidi="ar"/>
                <w14:textFill>
                  <w14:solidFill>
                    <w14:schemeClr w14:val="tx1"/>
                  </w14:solidFill>
                </w14:textFill>
              </w:rPr>
              <w:t>单位</w:t>
            </w:r>
          </w:p>
        </w:tc>
        <w:tc>
          <w:tcPr>
            <w:tcW w:w="723" w:type="pct"/>
            <w:tcBorders>
              <w:top w:val="single" w:color="000000" w:sz="4" w:space="0"/>
              <w:left w:val="single" w:color="000000" w:sz="4" w:space="0"/>
              <w:bottom w:val="single" w:color="000000" w:sz="4" w:space="0"/>
              <w:right w:val="single" w:color="000000" w:sz="4" w:space="0"/>
            </w:tcBorders>
            <w:vAlign w:val="center"/>
          </w:tcPr>
          <w:p w14:paraId="7A1C2FB6">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彩虹粗仿宋" w:hAnsi="彩虹粗仿宋" w:eastAsia="彩虹粗仿宋" w:cs="彩虹粗仿宋"/>
                <w:color w:val="000000" w:themeColor="text1"/>
                <w:kern w:val="0"/>
                <w:szCs w:val="21"/>
                <w:lang w:bidi="ar"/>
                <w14:textFill>
                  <w14:solidFill>
                    <w14:schemeClr w14:val="tx1"/>
                  </w14:solidFill>
                </w14:textFill>
              </w:rPr>
              <w:t>免费维保年限</w:t>
            </w:r>
          </w:p>
        </w:tc>
      </w:tr>
      <w:tr w14:paraId="44C56C10">
        <w:tblPrEx>
          <w:tblCellMar>
            <w:top w:w="0" w:type="dxa"/>
            <w:left w:w="108" w:type="dxa"/>
            <w:bottom w:w="0" w:type="dxa"/>
            <w:right w:w="108" w:type="dxa"/>
          </w:tblCellMar>
        </w:tblPrEx>
        <w:trPr>
          <w:trHeight w:val="312" w:hRule="atLeast"/>
        </w:trPr>
        <w:tc>
          <w:tcPr>
            <w:tcW w:w="1103" w:type="dxa"/>
            <w:vMerge w:val="restart"/>
            <w:tcBorders>
              <w:top w:val="single" w:color="000000" w:sz="4" w:space="0"/>
              <w:left w:val="single" w:color="000000" w:sz="4" w:space="0"/>
              <w:bottom w:val="single" w:color="000000" w:sz="4" w:space="0"/>
              <w:right w:val="single" w:color="000000" w:sz="4" w:space="0"/>
            </w:tcBorders>
            <w:noWrap/>
            <w:vAlign w:val="center"/>
          </w:tcPr>
          <w:p w14:paraId="1724A786">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w:t>
            </w:r>
          </w:p>
        </w:tc>
        <w:tc>
          <w:tcPr>
            <w:tcW w:w="1103" w:type="dxa"/>
            <w:vMerge w:val="restart"/>
            <w:tcBorders>
              <w:top w:val="single" w:color="000000" w:sz="4" w:space="0"/>
              <w:left w:val="single" w:color="000000" w:sz="4" w:space="0"/>
              <w:bottom w:val="single" w:color="000000" w:sz="4" w:space="0"/>
              <w:right w:val="single" w:color="000000" w:sz="4" w:space="0"/>
            </w:tcBorders>
            <w:noWrap/>
            <w:vAlign w:val="center"/>
          </w:tcPr>
          <w:p w14:paraId="1F1052B8">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硬件</w:t>
            </w:r>
          </w:p>
        </w:tc>
        <w:tc>
          <w:tcPr>
            <w:tcW w:w="3003" w:type="dxa"/>
            <w:vMerge w:val="restart"/>
            <w:tcBorders>
              <w:top w:val="single" w:color="000000" w:sz="4" w:space="0"/>
              <w:left w:val="single" w:color="000000" w:sz="4" w:space="0"/>
              <w:bottom w:val="single" w:color="000000" w:sz="4" w:space="0"/>
              <w:right w:val="single" w:color="000000" w:sz="4" w:space="0"/>
            </w:tcBorders>
            <w:noWrap/>
            <w:vAlign w:val="center"/>
          </w:tcPr>
          <w:p w14:paraId="76399061">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饭堂消费刷卡机（60终端）</w:t>
            </w:r>
          </w:p>
        </w:tc>
        <w:tc>
          <w:tcPr>
            <w:tcW w:w="555" w:type="pct"/>
            <w:vMerge w:val="restart"/>
            <w:tcBorders>
              <w:top w:val="single" w:color="000000" w:sz="4" w:space="0"/>
              <w:left w:val="single" w:color="000000" w:sz="4" w:space="0"/>
              <w:bottom w:val="single" w:color="000000" w:sz="4" w:space="0"/>
              <w:right w:val="single" w:color="000000" w:sz="4" w:space="0"/>
            </w:tcBorders>
            <w:noWrap/>
            <w:vAlign w:val="center"/>
          </w:tcPr>
          <w:p w14:paraId="11522BFA">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彩虹粗仿宋" w:hAnsi="彩虹粗仿宋" w:eastAsia="彩虹粗仿宋" w:cs="彩虹粗仿宋"/>
                <w:color w:val="000000" w:themeColor="text1"/>
                <w:kern w:val="0"/>
                <w:szCs w:val="21"/>
                <w:lang w:bidi="ar"/>
                <w14:textFill>
                  <w14:solidFill>
                    <w14:schemeClr w14:val="tx1"/>
                  </w14:solidFill>
                </w14:textFill>
              </w:rPr>
              <w:t>1</w:t>
            </w:r>
          </w:p>
        </w:tc>
        <w:tc>
          <w:tcPr>
            <w:tcW w:w="1132" w:type="dxa"/>
            <w:vMerge w:val="restart"/>
            <w:tcBorders>
              <w:top w:val="single" w:color="000000" w:sz="4" w:space="0"/>
              <w:left w:val="single" w:color="000000" w:sz="4" w:space="0"/>
              <w:bottom w:val="single" w:color="000000" w:sz="4" w:space="0"/>
              <w:right w:val="single" w:color="000000" w:sz="4" w:space="0"/>
            </w:tcBorders>
            <w:noWrap/>
            <w:vAlign w:val="center"/>
          </w:tcPr>
          <w:p w14:paraId="0EC8FA04">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套</w:t>
            </w:r>
          </w:p>
        </w:tc>
        <w:tc>
          <w:tcPr>
            <w:tcW w:w="1232" w:type="dxa"/>
            <w:vMerge w:val="restart"/>
            <w:tcBorders>
              <w:top w:val="single" w:color="000000" w:sz="4" w:space="0"/>
              <w:left w:val="single" w:color="000000" w:sz="4" w:space="0"/>
              <w:bottom w:val="single" w:color="000000" w:sz="4" w:space="0"/>
              <w:right w:val="single" w:color="000000" w:sz="4" w:space="0"/>
            </w:tcBorders>
            <w:noWrap/>
            <w:vAlign w:val="center"/>
          </w:tcPr>
          <w:p w14:paraId="06F72EDF">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1年</w:t>
            </w:r>
          </w:p>
        </w:tc>
      </w:tr>
      <w:tr w14:paraId="1702C5BA">
        <w:tblPrEx>
          <w:tblCellMar>
            <w:top w:w="0" w:type="dxa"/>
            <w:left w:w="108" w:type="dxa"/>
            <w:bottom w:w="0" w:type="dxa"/>
            <w:right w:w="108" w:type="dxa"/>
          </w:tblCellMar>
        </w:tblPrEx>
        <w:trPr>
          <w:trHeight w:val="312" w:hRule="atLeast"/>
        </w:trPr>
        <w:tc>
          <w:tcPr>
            <w:tcW w:w="647" w:type="pct"/>
            <w:vMerge w:val="continue"/>
            <w:tcBorders>
              <w:top w:val="single" w:color="000000" w:sz="4" w:space="0"/>
              <w:left w:val="single" w:color="000000" w:sz="4" w:space="0"/>
              <w:bottom w:val="single" w:color="000000" w:sz="4" w:space="0"/>
              <w:right w:val="single" w:color="000000" w:sz="4" w:space="0"/>
            </w:tcBorders>
            <w:noWrap/>
            <w:vAlign w:val="center"/>
          </w:tcPr>
          <w:p w14:paraId="5AE7B471">
            <w:pPr>
              <w:jc w:val="center"/>
              <w:rPr>
                <w:rFonts w:ascii="彩虹粗仿宋" w:hAnsi="彩虹粗仿宋" w:eastAsia="彩虹粗仿宋" w:cs="彩虹粗仿宋"/>
                <w:color w:val="000000" w:themeColor="text1"/>
                <w:szCs w:val="21"/>
                <w14:textFill>
                  <w14:solidFill>
                    <w14:schemeClr w14:val="tx1"/>
                  </w14:solidFill>
                </w14:textFill>
              </w:rPr>
            </w:pPr>
          </w:p>
        </w:tc>
        <w:tc>
          <w:tcPr>
            <w:tcW w:w="647" w:type="pct"/>
            <w:vMerge w:val="continue"/>
            <w:tcBorders>
              <w:top w:val="single" w:color="000000" w:sz="4" w:space="0"/>
              <w:left w:val="single" w:color="000000" w:sz="4" w:space="0"/>
              <w:bottom w:val="single" w:color="000000" w:sz="4" w:space="0"/>
              <w:right w:val="single" w:color="000000" w:sz="4" w:space="0"/>
            </w:tcBorders>
            <w:noWrap/>
            <w:vAlign w:val="center"/>
          </w:tcPr>
          <w:p w14:paraId="190E54A2">
            <w:pPr>
              <w:jc w:val="center"/>
              <w:rPr>
                <w:rFonts w:ascii="彩虹粗仿宋" w:hAnsi="彩虹粗仿宋" w:eastAsia="彩虹粗仿宋" w:cs="彩虹粗仿宋"/>
                <w:color w:val="000000" w:themeColor="text1"/>
                <w:szCs w:val="21"/>
                <w14:textFill>
                  <w14:solidFill>
                    <w14:schemeClr w14:val="tx1"/>
                  </w14:solidFill>
                </w14:textFill>
              </w:rPr>
            </w:pPr>
          </w:p>
        </w:tc>
        <w:tc>
          <w:tcPr>
            <w:tcW w:w="1762" w:type="pct"/>
            <w:vMerge w:val="continue"/>
            <w:tcBorders>
              <w:top w:val="single" w:color="000000" w:sz="4" w:space="0"/>
              <w:left w:val="single" w:color="000000" w:sz="4" w:space="0"/>
              <w:bottom w:val="single" w:color="000000" w:sz="4" w:space="0"/>
              <w:right w:val="single" w:color="000000" w:sz="4" w:space="0"/>
            </w:tcBorders>
            <w:noWrap/>
            <w:vAlign w:val="center"/>
          </w:tcPr>
          <w:p w14:paraId="535DAC04">
            <w:pPr>
              <w:jc w:val="center"/>
              <w:rPr>
                <w:rFonts w:ascii="彩虹粗仿宋" w:hAnsi="彩虹粗仿宋" w:eastAsia="彩虹粗仿宋" w:cs="彩虹粗仿宋"/>
                <w:color w:val="000000" w:themeColor="text1"/>
                <w:szCs w:val="21"/>
                <w14:textFill>
                  <w14:solidFill>
                    <w14:schemeClr w14:val="tx1"/>
                  </w14:solidFill>
                </w14:textFill>
              </w:rPr>
            </w:pPr>
          </w:p>
        </w:tc>
        <w:tc>
          <w:tcPr>
            <w:tcW w:w="555" w:type="pct"/>
            <w:vMerge w:val="continue"/>
            <w:tcBorders>
              <w:top w:val="single" w:color="000000" w:sz="4" w:space="0"/>
              <w:left w:val="single" w:color="000000" w:sz="4" w:space="0"/>
              <w:bottom w:val="single" w:color="000000" w:sz="4" w:space="0"/>
              <w:right w:val="single" w:color="000000" w:sz="4" w:space="0"/>
            </w:tcBorders>
            <w:noWrap/>
            <w:vAlign w:val="center"/>
          </w:tcPr>
          <w:p w14:paraId="16462555">
            <w:pPr>
              <w:jc w:val="center"/>
              <w:rPr>
                <w:rFonts w:ascii="彩虹粗仿宋" w:hAnsi="彩虹粗仿宋" w:eastAsia="彩虹粗仿宋" w:cs="彩虹粗仿宋"/>
                <w:color w:val="000000" w:themeColor="text1"/>
                <w:szCs w:val="21"/>
                <w14:textFill>
                  <w14:solidFill>
                    <w14:schemeClr w14:val="tx1"/>
                  </w14:solidFill>
                </w14:textFill>
              </w:rPr>
            </w:pPr>
          </w:p>
        </w:tc>
        <w:tc>
          <w:tcPr>
            <w:tcW w:w="664" w:type="pct"/>
            <w:vMerge w:val="continue"/>
            <w:tcBorders>
              <w:top w:val="single" w:color="000000" w:sz="4" w:space="0"/>
              <w:left w:val="single" w:color="000000" w:sz="4" w:space="0"/>
              <w:bottom w:val="single" w:color="000000" w:sz="4" w:space="0"/>
              <w:right w:val="single" w:color="000000" w:sz="4" w:space="0"/>
            </w:tcBorders>
            <w:noWrap/>
            <w:vAlign w:val="center"/>
          </w:tcPr>
          <w:p w14:paraId="41914F32">
            <w:pPr>
              <w:jc w:val="center"/>
              <w:rPr>
                <w:rFonts w:ascii="宋体" w:hAnsi="宋体" w:eastAsia="宋体" w:cs="宋体"/>
                <w:color w:val="000000" w:themeColor="text1"/>
                <w:szCs w:val="21"/>
                <w14:textFill>
                  <w14:solidFill>
                    <w14:schemeClr w14:val="tx1"/>
                  </w14:solidFill>
                </w14:textFill>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14:paraId="21DC783E">
            <w:pPr>
              <w:jc w:val="center"/>
              <w:rPr>
                <w:rFonts w:ascii="彩虹粗仿宋" w:hAnsi="彩虹粗仿宋" w:eastAsia="彩虹粗仿宋" w:cs="彩虹粗仿宋"/>
                <w:color w:val="000000" w:themeColor="text1"/>
                <w:szCs w:val="21"/>
                <w14:textFill>
                  <w14:solidFill>
                    <w14:schemeClr w14:val="tx1"/>
                  </w14:solidFill>
                </w14:textFill>
              </w:rPr>
            </w:pPr>
          </w:p>
        </w:tc>
      </w:tr>
      <w:tr w14:paraId="6E0C72B6">
        <w:tblPrEx>
          <w:tblCellMar>
            <w:top w:w="0" w:type="dxa"/>
            <w:left w:w="108" w:type="dxa"/>
            <w:bottom w:w="0" w:type="dxa"/>
            <w:right w:w="108" w:type="dxa"/>
          </w:tblCellMar>
        </w:tblPrEx>
        <w:trPr>
          <w:trHeight w:val="312" w:hRule="atLeast"/>
        </w:trPr>
        <w:tc>
          <w:tcPr>
            <w:tcW w:w="1103" w:type="dxa"/>
            <w:vMerge w:val="restart"/>
            <w:tcBorders>
              <w:top w:val="single" w:color="000000" w:sz="4" w:space="0"/>
              <w:left w:val="single" w:color="000000" w:sz="4" w:space="0"/>
              <w:bottom w:val="single" w:color="000000" w:sz="4" w:space="0"/>
              <w:right w:val="single" w:color="000000" w:sz="4" w:space="0"/>
            </w:tcBorders>
            <w:noWrap/>
            <w:vAlign w:val="center"/>
          </w:tcPr>
          <w:p w14:paraId="1F4EFC55">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w:t>
            </w:r>
          </w:p>
        </w:tc>
        <w:tc>
          <w:tcPr>
            <w:tcW w:w="1103" w:type="dxa"/>
            <w:vMerge w:val="restart"/>
            <w:tcBorders>
              <w:top w:val="single" w:color="000000" w:sz="4" w:space="0"/>
              <w:left w:val="single" w:color="000000" w:sz="4" w:space="0"/>
              <w:bottom w:val="single" w:color="000000" w:sz="4" w:space="0"/>
              <w:right w:val="single" w:color="000000" w:sz="4" w:space="0"/>
            </w:tcBorders>
            <w:noWrap/>
            <w:vAlign w:val="center"/>
          </w:tcPr>
          <w:p w14:paraId="618071A0">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硬件</w:t>
            </w:r>
          </w:p>
        </w:tc>
        <w:tc>
          <w:tcPr>
            <w:tcW w:w="3003" w:type="dxa"/>
            <w:vMerge w:val="restart"/>
            <w:tcBorders>
              <w:top w:val="single" w:color="000000" w:sz="4" w:space="0"/>
              <w:left w:val="single" w:color="000000" w:sz="4" w:space="0"/>
              <w:bottom w:val="single" w:color="000000" w:sz="4" w:space="0"/>
              <w:right w:val="single" w:color="000000" w:sz="4" w:space="0"/>
            </w:tcBorders>
            <w:vAlign w:val="center"/>
          </w:tcPr>
          <w:p w14:paraId="20A59CD1">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服务器</w:t>
            </w:r>
          </w:p>
        </w:tc>
        <w:tc>
          <w:tcPr>
            <w:tcW w:w="555" w:type="pct"/>
            <w:vMerge w:val="restart"/>
            <w:tcBorders>
              <w:top w:val="single" w:color="000000" w:sz="4" w:space="0"/>
              <w:left w:val="single" w:color="000000" w:sz="4" w:space="0"/>
              <w:bottom w:val="single" w:color="000000" w:sz="4" w:space="0"/>
              <w:right w:val="single" w:color="000000" w:sz="4" w:space="0"/>
            </w:tcBorders>
            <w:noWrap/>
            <w:vAlign w:val="center"/>
          </w:tcPr>
          <w:p w14:paraId="2130700C">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彩虹粗仿宋" w:hAnsi="彩虹粗仿宋" w:eastAsia="彩虹粗仿宋" w:cs="彩虹粗仿宋"/>
                <w:color w:val="000000" w:themeColor="text1"/>
                <w:kern w:val="0"/>
                <w:szCs w:val="21"/>
                <w:lang w:bidi="ar"/>
                <w14:textFill>
                  <w14:solidFill>
                    <w14:schemeClr w14:val="tx1"/>
                  </w14:solidFill>
                </w14:textFill>
              </w:rPr>
              <w:t>1</w:t>
            </w:r>
          </w:p>
        </w:tc>
        <w:tc>
          <w:tcPr>
            <w:tcW w:w="1132" w:type="dxa"/>
            <w:vMerge w:val="restart"/>
            <w:tcBorders>
              <w:top w:val="single" w:color="000000" w:sz="4" w:space="0"/>
              <w:left w:val="single" w:color="000000" w:sz="4" w:space="0"/>
              <w:bottom w:val="single" w:color="000000" w:sz="4" w:space="0"/>
              <w:right w:val="single" w:color="000000" w:sz="4" w:space="0"/>
            </w:tcBorders>
            <w:noWrap/>
            <w:vAlign w:val="center"/>
          </w:tcPr>
          <w:p w14:paraId="6F704C75">
            <w:pPr>
              <w:widowControl/>
              <w:jc w:val="center"/>
              <w:textAlignment w:val="bottom"/>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台</w:t>
            </w:r>
          </w:p>
        </w:tc>
        <w:tc>
          <w:tcPr>
            <w:tcW w:w="1232" w:type="dxa"/>
            <w:vMerge w:val="restart"/>
            <w:tcBorders>
              <w:top w:val="single" w:color="000000" w:sz="4" w:space="0"/>
              <w:left w:val="single" w:color="000000" w:sz="4" w:space="0"/>
              <w:bottom w:val="single" w:color="000000" w:sz="4" w:space="0"/>
              <w:right w:val="single" w:color="000000" w:sz="4" w:space="0"/>
            </w:tcBorders>
            <w:noWrap/>
            <w:vAlign w:val="center"/>
          </w:tcPr>
          <w:p w14:paraId="2CBECD0E">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1年</w:t>
            </w:r>
          </w:p>
        </w:tc>
      </w:tr>
      <w:tr w14:paraId="3722CB42">
        <w:tblPrEx>
          <w:tblCellMar>
            <w:top w:w="0" w:type="dxa"/>
            <w:left w:w="108" w:type="dxa"/>
            <w:bottom w:w="0" w:type="dxa"/>
            <w:right w:w="108" w:type="dxa"/>
          </w:tblCellMar>
        </w:tblPrEx>
        <w:trPr>
          <w:trHeight w:val="312" w:hRule="atLeast"/>
        </w:trPr>
        <w:tc>
          <w:tcPr>
            <w:tcW w:w="647" w:type="pct"/>
            <w:vMerge w:val="continue"/>
            <w:tcBorders>
              <w:top w:val="single" w:color="000000" w:sz="4" w:space="0"/>
              <w:left w:val="single" w:color="000000" w:sz="4" w:space="0"/>
              <w:bottom w:val="single" w:color="000000" w:sz="4" w:space="0"/>
              <w:right w:val="single" w:color="000000" w:sz="4" w:space="0"/>
            </w:tcBorders>
            <w:noWrap/>
            <w:vAlign w:val="center"/>
          </w:tcPr>
          <w:p w14:paraId="49918F93">
            <w:pPr>
              <w:jc w:val="center"/>
              <w:rPr>
                <w:rFonts w:ascii="彩虹粗仿宋" w:hAnsi="彩虹粗仿宋" w:eastAsia="彩虹粗仿宋" w:cs="彩虹粗仿宋"/>
                <w:color w:val="000000" w:themeColor="text1"/>
                <w:szCs w:val="21"/>
                <w14:textFill>
                  <w14:solidFill>
                    <w14:schemeClr w14:val="tx1"/>
                  </w14:solidFill>
                </w14:textFill>
              </w:rPr>
            </w:pPr>
          </w:p>
        </w:tc>
        <w:tc>
          <w:tcPr>
            <w:tcW w:w="647" w:type="pct"/>
            <w:vMerge w:val="continue"/>
            <w:tcBorders>
              <w:top w:val="single" w:color="000000" w:sz="4" w:space="0"/>
              <w:left w:val="single" w:color="000000" w:sz="4" w:space="0"/>
              <w:bottom w:val="single" w:color="000000" w:sz="4" w:space="0"/>
              <w:right w:val="single" w:color="000000" w:sz="4" w:space="0"/>
            </w:tcBorders>
            <w:noWrap/>
            <w:vAlign w:val="center"/>
          </w:tcPr>
          <w:p w14:paraId="1DE0A261">
            <w:pPr>
              <w:jc w:val="center"/>
              <w:rPr>
                <w:rFonts w:ascii="彩虹粗仿宋" w:hAnsi="彩虹粗仿宋" w:eastAsia="彩虹粗仿宋" w:cs="彩虹粗仿宋"/>
                <w:color w:val="000000" w:themeColor="text1"/>
                <w:szCs w:val="21"/>
                <w14:textFill>
                  <w14:solidFill>
                    <w14:schemeClr w14:val="tx1"/>
                  </w14:solidFill>
                </w14:textFill>
              </w:rPr>
            </w:pPr>
          </w:p>
        </w:tc>
        <w:tc>
          <w:tcPr>
            <w:tcW w:w="1762" w:type="pct"/>
            <w:vMerge w:val="continue"/>
            <w:tcBorders>
              <w:top w:val="single" w:color="000000" w:sz="4" w:space="0"/>
              <w:left w:val="single" w:color="000000" w:sz="4" w:space="0"/>
              <w:bottom w:val="single" w:color="000000" w:sz="4" w:space="0"/>
              <w:right w:val="single" w:color="000000" w:sz="4" w:space="0"/>
            </w:tcBorders>
            <w:vAlign w:val="center"/>
          </w:tcPr>
          <w:p w14:paraId="56B33265">
            <w:pPr>
              <w:jc w:val="center"/>
              <w:rPr>
                <w:rFonts w:ascii="彩虹粗仿宋" w:hAnsi="彩虹粗仿宋" w:eastAsia="彩虹粗仿宋" w:cs="彩虹粗仿宋"/>
                <w:color w:val="000000" w:themeColor="text1"/>
                <w:szCs w:val="21"/>
                <w14:textFill>
                  <w14:solidFill>
                    <w14:schemeClr w14:val="tx1"/>
                  </w14:solidFill>
                </w14:textFill>
              </w:rPr>
            </w:pPr>
          </w:p>
        </w:tc>
        <w:tc>
          <w:tcPr>
            <w:tcW w:w="555" w:type="pct"/>
            <w:vMerge w:val="continue"/>
            <w:tcBorders>
              <w:top w:val="single" w:color="000000" w:sz="4" w:space="0"/>
              <w:left w:val="single" w:color="000000" w:sz="4" w:space="0"/>
              <w:bottom w:val="single" w:color="000000" w:sz="4" w:space="0"/>
              <w:right w:val="single" w:color="000000" w:sz="4" w:space="0"/>
            </w:tcBorders>
            <w:noWrap/>
            <w:vAlign w:val="center"/>
          </w:tcPr>
          <w:p w14:paraId="51879AC5">
            <w:pPr>
              <w:jc w:val="center"/>
              <w:rPr>
                <w:rFonts w:ascii="彩虹粗仿宋" w:hAnsi="彩虹粗仿宋" w:eastAsia="彩虹粗仿宋" w:cs="彩虹粗仿宋"/>
                <w:color w:val="000000" w:themeColor="text1"/>
                <w:szCs w:val="21"/>
                <w14:textFill>
                  <w14:solidFill>
                    <w14:schemeClr w14:val="tx1"/>
                  </w14:solidFill>
                </w14:textFill>
              </w:rPr>
            </w:pPr>
          </w:p>
        </w:tc>
        <w:tc>
          <w:tcPr>
            <w:tcW w:w="664" w:type="pct"/>
            <w:vMerge w:val="continue"/>
            <w:tcBorders>
              <w:top w:val="single" w:color="000000" w:sz="4" w:space="0"/>
              <w:left w:val="single" w:color="000000" w:sz="4" w:space="0"/>
              <w:bottom w:val="single" w:color="000000" w:sz="4" w:space="0"/>
              <w:right w:val="single" w:color="000000" w:sz="4" w:space="0"/>
            </w:tcBorders>
            <w:noWrap/>
            <w:vAlign w:val="center"/>
          </w:tcPr>
          <w:p w14:paraId="18741C59">
            <w:pPr>
              <w:jc w:val="center"/>
              <w:rPr>
                <w:rFonts w:ascii="宋体" w:hAnsi="宋体" w:eastAsia="宋体" w:cs="宋体"/>
                <w:color w:val="000000" w:themeColor="text1"/>
                <w:szCs w:val="21"/>
                <w14:textFill>
                  <w14:solidFill>
                    <w14:schemeClr w14:val="tx1"/>
                  </w14:solidFill>
                </w14:textFill>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14:paraId="599F2963">
            <w:pPr>
              <w:jc w:val="center"/>
              <w:rPr>
                <w:rFonts w:ascii="彩虹粗仿宋" w:hAnsi="彩虹粗仿宋" w:eastAsia="彩虹粗仿宋" w:cs="彩虹粗仿宋"/>
                <w:color w:val="000000" w:themeColor="text1"/>
                <w:szCs w:val="21"/>
                <w14:textFill>
                  <w14:solidFill>
                    <w14:schemeClr w14:val="tx1"/>
                  </w14:solidFill>
                </w14:textFill>
              </w:rPr>
            </w:pPr>
          </w:p>
        </w:tc>
      </w:tr>
      <w:tr w14:paraId="0B89971E">
        <w:tblPrEx>
          <w:tblCellMar>
            <w:top w:w="0" w:type="dxa"/>
            <w:left w:w="108" w:type="dxa"/>
            <w:bottom w:w="0" w:type="dxa"/>
            <w:right w:w="108" w:type="dxa"/>
          </w:tblCellMar>
        </w:tblPrEx>
        <w:trPr>
          <w:trHeight w:val="312" w:hRule="atLeast"/>
        </w:trPr>
        <w:tc>
          <w:tcPr>
            <w:tcW w:w="1103" w:type="dxa"/>
            <w:vMerge w:val="restart"/>
            <w:tcBorders>
              <w:top w:val="single" w:color="000000" w:sz="4" w:space="0"/>
              <w:left w:val="single" w:color="000000" w:sz="4" w:space="0"/>
              <w:bottom w:val="single" w:color="000000" w:sz="4" w:space="0"/>
              <w:right w:val="single" w:color="000000" w:sz="4" w:space="0"/>
            </w:tcBorders>
            <w:noWrap/>
            <w:vAlign w:val="center"/>
          </w:tcPr>
          <w:p w14:paraId="4D80B029">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w:t>
            </w:r>
          </w:p>
        </w:tc>
        <w:tc>
          <w:tcPr>
            <w:tcW w:w="1103" w:type="dxa"/>
            <w:vMerge w:val="restart"/>
            <w:tcBorders>
              <w:top w:val="single" w:color="000000" w:sz="4" w:space="0"/>
              <w:left w:val="single" w:color="000000" w:sz="4" w:space="0"/>
              <w:bottom w:val="single" w:color="000000" w:sz="4" w:space="0"/>
              <w:right w:val="single" w:color="000000" w:sz="4" w:space="0"/>
            </w:tcBorders>
            <w:noWrap/>
            <w:vAlign w:val="center"/>
          </w:tcPr>
          <w:p w14:paraId="5355B164">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硬件</w:t>
            </w:r>
          </w:p>
        </w:tc>
        <w:tc>
          <w:tcPr>
            <w:tcW w:w="3003" w:type="dxa"/>
            <w:vMerge w:val="restart"/>
            <w:tcBorders>
              <w:top w:val="single" w:color="000000" w:sz="4" w:space="0"/>
              <w:left w:val="single" w:color="000000" w:sz="4" w:space="0"/>
              <w:bottom w:val="single" w:color="000000" w:sz="4" w:space="0"/>
              <w:right w:val="single" w:color="000000" w:sz="4" w:space="0"/>
            </w:tcBorders>
            <w:vAlign w:val="center"/>
          </w:tcPr>
          <w:p w14:paraId="5DEE70B6">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网络交接机</w:t>
            </w:r>
          </w:p>
        </w:tc>
        <w:tc>
          <w:tcPr>
            <w:tcW w:w="555" w:type="pct"/>
            <w:vMerge w:val="restart"/>
            <w:tcBorders>
              <w:top w:val="single" w:color="000000" w:sz="4" w:space="0"/>
              <w:left w:val="single" w:color="000000" w:sz="4" w:space="0"/>
              <w:bottom w:val="single" w:color="000000" w:sz="4" w:space="0"/>
              <w:right w:val="single" w:color="000000" w:sz="4" w:space="0"/>
            </w:tcBorders>
            <w:noWrap/>
            <w:vAlign w:val="center"/>
          </w:tcPr>
          <w:p w14:paraId="0C9C0148">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彩虹粗仿宋" w:hAnsi="彩虹粗仿宋" w:eastAsia="彩虹粗仿宋" w:cs="彩虹粗仿宋"/>
                <w:color w:val="000000" w:themeColor="text1"/>
                <w:szCs w:val="21"/>
                <w14:textFill>
                  <w14:solidFill>
                    <w14:schemeClr w14:val="tx1"/>
                  </w14:solidFill>
                </w14:textFill>
              </w:rPr>
              <w:t>2</w:t>
            </w:r>
          </w:p>
        </w:tc>
        <w:tc>
          <w:tcPr>
            <w:tcW w:w="1132" w:type="dxa"/>
            <w:vMerge w:val="restart"/>
            <w:tcBorders>
              <w:top w:val="single" w:color="000000" w:sz="4" w:space="0"/>
              <w:left w:val="single" w:color="000000" w:sz="4" w:space="0"/>
              <w:bottom w:val="single" w:color="000000" w:sz="4" w:space="0"/>
              <w:right w:val="single" w:color="000000" w:sz="4" w:space="0"/>
            </w:tcBorders>
            <w:noWrap/>
            <w:vAlign w:val="center"/>
          </w:tcPr>
          <w:p w14:paraId="75F9F3AC">
            <w:pPr>
              <w:widowControl/>
              <w:jc w:val="center"/>
              <w:textAlignment w:val="bottom"/>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台</w:t>
            </w:r>
          </w:p>
        </w:tc>
        <w:tc>
          <w:tcPr>
            <w:tcW w:w="1232" w:type="dxa"/>
            <w:vMerge w:val="restart"/>
            <w:tcBorders>
              <w:top w:val="single" w:color="000000" w:sz="4" w:space="0"/>
              <w:left w:val="single" w:color="000000" w:sz="4" w:space="0"/>
              <w:bottom w:val="single" w:color="000000" w:sz="4" w:space="0"/>
              <w:right w:val="single" w:color="000000" w:sz="4" w:space="0"/>
            </w:tcBorders>
            <w:noWrap/>
            <w:vAlign w:val="center"/>
          </w:tcPr>
          <w:p w14:paraId="7E1E1D45">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1年</w:t>
            </w:r>
          </w:p>
        </w:tc>
      </w:tr>
      <w:tr w14:paraId="01CC4370">
        <w:tblPrEx>
          <w:tblCellMar>
            <w:top w:w="0" w:type="dxa"/>
            <w:left w:w="108" w:type="dxa"/>
            <w:bottom w:w="0" w:type="dxa"/>
            <w:right w:w="108" w:type="dxa"/>
          </w:tblCellMar>
        </w:tblPrEx>
        <w:trPr>
          <w:trHeight w:val="312" w:hRule="atLeast"/>
        </w:trPr>
        <w:tc>
          <w:tcPr>
            <w:tcW w:w="647" w:type="pct"/>
            <w:vMerge w:val="continue"/>
            <w:tcBorders>
              <w:top w:val="single" w:color="000000" w:sz="4" w:space="0"/>
              <w:left w:val="single" w:color="000000" w:sz="4" w:space="0"/>
              <w:bottom w:val="single" w:color="000000" w:sz="4" w:space="0"/>
              <w:right w:val="single" w:color="000000" w:sz="4" w:space="0"/>
            </w:tcBorders>
            <w:noWrap/>
            <w:vAlign w:val="center"/>
          </w:tcPr>
          <w:p w14:paraId="6457372E">
            <w:pPr>
              <w:jc w:val="center"/>
              <w:rPr>
                <w:rFonts w:ascii="彩虹粗仿宋" w:hAnsi="彩虹粗仿宋" w:eastAsia="彩虹粗仿宋" w:cs="彩虹粗仿宋"/>
                <w:color w:val="000000" w:themeColor="text1"/>
                <w:szCs w:val="21"/>
                <w14:textFill>
                  <w14:solidFill>
                    <w14:schemeClr w14:val="tx1"/>
                  </w14:solidFill>
                </w14:textFill>
              </w:rPr>
            </w:pPr>
          </w:p>
        </w:tc>
        <w:tc>
          <w:tcPr>
            <w:tcW w:w="647" w:type="pct"/>
            <w:vMerge w:val="continue"/>
            <w:tcBorders>
              <w:top w:val="single" w:color="000000" w:sz="4" w:space="0"/>
              <w:left w:val="single" w:color="000000" w:sz="4" w:space="0"/>
              <w:bottom w:val="single" w:color="000000" w:sz="4" w:space="0"/>
              <w:right w:val="single" w:color="000000" w:sz="4" w:space="0"/>
            </w:tcBorders>
            <w:noWrap/>
            <w:vAlign w:val="center"/>
          </w:tcPr>
          <w:p w14:paraId="1FFA7656">
            <w:pPr>
              <w:jc w:val="center"/>
              <w:rPr>
                <w:rFonts w:ascii="彩虹粗仿宋" w:hAnsi="彩虹粗仿宋" w:eastAsia="彩虹粗仿宋" w:cs="彩虹粗仿宋"/>
                <w:color w:val="000000" w:themeColor="text1"/>
                <w:szCs w:val="21"/>
                <w14:textFill>
                  <w14:solidFill>
                    <w14:schemeClr w14:val="tx1"/>
                  </w14:solidFill>
                </w14:textFill>
              </w:rPr>
            </w:pPr>
          </w:p>
        </w:tc>
        <w:tc>
          <w:tcPr>
            <w:tcW w:w="1762" w:type="pct"/>
            <w:vMerge w:val="continue"/>
            <w:tcBorders>
              <w:top w:val="single" w:color="000000" w:sz="4" w:space="0"/>
              <w:left w:val="single" w:color="000000" w:sz="4" w:space="0"/>
              <w:bottom w:val="single" w:color="000000" w:sz="4" w:space="0"/>
              <w:right w:val="single" w:color="000000" w:sz="4" w:space="0"/>
            </w:tcBorders>
            <w:vAlign w:val="center"/>
          </w:tcPr>
          <w:p w14:paraId="421825FE">
            <w:pPr>
              <w:jc w:val="center"/>
              <w:rPr>
                <w:rFonts w:ascii="彩虹粗仿宋" w:hAnsi="彩虹粗仿宋" w:eastAsia="彩虹粗仿宋" w:cs="彩虹粗仿宋"/>
                <w:color w:val="000000" w:themeColor="text1"/>
                <w:szCs w:val="21"/>
                <w14:textFill>
                  <w14:solidFill>
                    <w14:schemeClr w14:val="tx1"/>
                  </w14:solidFill>
                </w14:textFill>
              </w:rPr>
            </w:pPr>
          </w:p>
        </w:tc>
        <w:tc>
          <w:tcPr>
            <w:tcW w:w="555" w:type="pct"/>
            <w:vMerge w:val="continue"/>
            <w:tcBorders>
              <w:top w:val="single" w:color="000000" w:sz="4" w:space="0"/>
              <w:left w:val="single" w:color="000000" w:sz="4" w:space="0"/>
              <w:bottom w:val="single" w:color="000000" w:sz="4" w:space="0"/>
              <w:right w:val="single" w:color="000000" w:sz="4" w:space="0"/>
            </w:tcBorders>
            <w:noWrap/>
            <w:vAlign w:val="center"/>
          </w:tcPr>
          <w:p w14:paraId="6C93F18A">
            <w:pPr>
              <w:jc w:val="center"/>
              <w:rPr>
                <w:rFonts w:ascii="彩虹粗仿宋" w:hAnsi="彩虹粗仿宋" w:eastAsia="彩虹粗仿宋" w:cs="彩虹粗仿宋"/>
                <w:color w:val="000000" w:themeColor="text1"/>
                <w:szCs w:val="21"/>
                <w14:textFill>
                  <w14:solidFill>
                    <w14:schemeClr w14:val="tx1"/>
                  </w14:solidFill>
                </w14:textFill>
              </w:rPr>
            </w:pPr>
          </w:p>
        </w:tc>
        <w:tc>
          <w:tcPr>
            <w:tcW w:w="664" w:type="pct"/>
            <w:vMerge w:val="continue"/>
            <w:tcBorders>
              <w:top w:val="single" w:color="000000" w:sz="4" w:space="0"/>
              <w:left w:val="single" w:color="000000" w:sz="4" w:space="0"/>
              <w:bottom w:val="single" w:color="000000" w:sz="4" w:space="0"/>
              <w:right w:val="single" w:color="000000" w:sz="4" w:space="0"/>
            </w:tcBorders>
            <w:noWrap/>
            <w:vAlign w:val="center"/>
          </w:tcPr>
          <w:p w14:paraId="36F6C9CE">
            <w:pPr>
              <w:jc w:val="center"/>
              <w:rPr>
                <w:rFonts w:ascii="宋体" w:hAnsi="宋体" w:eastAsia="宋体" w:cs="宋体"/>
                <w:color w:val="000000" w:themeColor="text1"/>
                <w:szCs w:val="21"/>
                <w14:textFill>
                  <w14:solidFill>
                    <w14:schemeClr w14:val="tx1"/>
                  </w14:solidFill>
                </w14:textFill>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14:paraId="134FA3D3">
            <w:pPr>
              <w:jc w:val="center"/>
              <w:rPr>
                <w:rFonts w:ascii="彩虹粗仿宋" w:hAnsi="彩虹粗仿宋" w:eastAsia="彩虹粗仿宋" w:cs="彩虹粗仿宋"/>
                <w:color w:val="000000" w:themeColor="text1"/>
                <w:szCs w:val="21"/>
                <w14:textFill>
                  <w14:solidFill>
                    <w14:schemeClr w14:val="tx1"/>
                  </w14:solidFill>
                </w14:textFill>
              </w:rPr>
            </w:pPr>
          </w:p>
        </w:tc>
      </w:tr>
      <w:tr w14:paraId="60AEE913">
        <w:tblPrEx>
          <w:tblCellMar>
            <w:top w:w="0" w:type="dxa"/>
            <w:left w:w="108" w:type="dxa"/>
            <w:bottom w:w="0" w:type="dxa"/>
            <w:right w:w="108" w:type="dxa"/>
          </w:tblCellMar>
        </w:tblPrEx>
        <w:trPr>
          <w:trHeight w:val="312" w:hRule="atLeast"/>
        </w:trPr>
        <w:tc>
          <w:tcPr>
            <w:tcW w:w="1103" w:type="dxa"/>
            <w:vMerge w:val="restart"/>
            <w:tcBorders>
              <w:top w:val="single" w:color="000000" w:sz="4" w:space="0"/>
              <w:left w:val="single" w:color="000000" w:sz="4" w:space="0"/>
              <w:bottom w:val="single" w:color="000000" w:sz="4" w:space="0"/>
              <w:right w:val="single" w:color="000000" w:sz="4" w:space="0"/>
            </w:tcBorders>
            <w:noWrap/>
            <w:vAlign w:val="center"/>
          </w:tcPr>
          <w:p w14:paraId="0FEDBCB8">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w:t>
            </w:r>
          </w:p>
        </w:tc>
        <w:tc>
          <w:tcPr>
            <w:tcW w:w="1103" w:type="dxa"/>
            <w:vMerge w:val="restart"/>
            <w:tcBorders>
              <w:top w:val="single" w:color="000000" w:sz="4" w:space="0"/>
              <w:left w:val="single" w:color="000000" w:sz="4" w:space="0"/>
              <w:bottom w:val="single" w:color="000000" w:sz="4" w:space="0"/>
              <w:right w:val="single" w:color="000000" w:sz="4" w:space="0"/>
            </w:tcBorders>
            <w:noWrap/>
            <w:vAlign w:val="center"/>
          </w:tcPr>
          <w:p w14:paraId="02D50673">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硬件</w:t>
            </w:r>
          </w:p>
        </w:tc>
        <w:tc>
          <w:tcPr>
            <w:tcW w:w="3003" w:type="dxa"/>
            <w:vMerge w:val="restart"/>
            <w:tcBorders>
              <w:top w:val="single" w:color="000000" w:sz="4" w:space="0"/>
              <w:left w:val="single" w:color="000000" w:sz="4" w:space="0"/>
              <w:bottom w:val="single" w:color="000000" w:sz="4" w:space="0"/>
              <w:right w:val="single" w:color="000000" w:sz="4" w:space="0"/>
            </w:tcBorders>
            <w:vAlign w:val="center"/>
          </w:tcPr>
          <w:p w14:paraId="15814C24">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数据采集器</w:t>
            </w:r>
          </w:p>
        </w:tc>
        <w:tc>
          <w:tcPr>
            <w:tcW w:w="555" w:type="pct"/>
            <w:vMerge w:val="restart"/>
            <w:tcBorders>
              <w:top w:val="single" w:color="000000" w:sz="4" w:space="0"/>
              <w:left w:val="single" w:color="000000" w:sz="4" w:space="0"/>
              <w:bottom w:val="single" w:color="000000" w:sz="4" w:space="0"/>
              <w:right w:val="single" w:color="000000" w:sz="4" w:space="0"/>
            </w:tcBorders>
            <w:noWrap/>
            <w:vAlign w:val="center"/>
          </w:tcPr>
          <w:p w14:paraId="419A7742">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彩虹粗仿宋" w:hAnsi="彩虹粗仿宋" w:eastAsia="彩虹粗仿宋" w:cs="彩虹粗仿宋"/>
                <w:color w:val="000000" w:themeColor="text1"/>
                <w:szCs w:val="21"/>
                <w14:textFill>
                  <w14:solidFill>
                    <w14:schemeClr w14:val="tx1"/>
                  </w14:solidFill>
                </w14:textFill>
              </w:rPr>
              <w:t>3</w:t>
            </w:r>
          </w:p>
        </w:tc>
        <w:tc>
          <w:tcPr>
            <w:tcW w:w="1132" w:type="dxa"/>
            <w:vMerge w:val="restart"/>
            <w:tcBorders>
              <w:top w:val="single" w:color="000000" w:sz="4" w:space="0"/>
              <w:left w:val="single" w:color="000000" w:sz="4" w:space="0"/>
              <w:bottom w:val="single" w:color="000000" w:sz="4" w:space="0"/>
              <w:right w:val="single" w:color="000000" w:sz="4" w:space="0"/>
            </w:tcBorders>
            <w:noWrap/>
            <w:vAlign w:val="center"/>
          </w:tcPr>
          <w:p w14:paraId="0846B45F">
            <w:pPr>
              <w:widowControl/>
              <w:jc w:val="center"/>
              <w:textAlignment w:val="bottom"/>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台</w:t>
            </w:r>
          </w:p>
        </w:tc>
        <w:tc>
          <w:tcPr>
            <w:tcW w:w="1232" w:type="dxa"/>
            <w:vMerge w:val="restart"/>
            <w:tcBorders>
              <w:top w:val="single" w:color="000000" w:sz="4" w:space="0"/>
              <w:left w:val="single" w:color="000000" w:sz="4" w:space="0"/>
              <w:bottom w:val="single" w:color="000000" w:sz="4" w:space="0"/>
              <w:right w:val="single" w:color="000000" w:sz="4" w:space="0"/>
            </w:tcBorders>
            <w:noWrap/>
            <w:vAlign w:val="center"/>
          </w:tcPr>
          <w:p w14:paraId="5F72F5A9">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1年</w:t>
            </w:r>
          </w:p>
        </w:tc>
      </w:tr>
      <w:tr w14:paraId="1D1066EE">
        <w:tblPrEx>
          <w:tblCellMar>
            <w:top w:w="0" w:type="dxa"/>
            <w:left w:w="108" w:type="dxa"/>
            <w:bottom w:w="0" w:type="dxa"/>
            <w:right w:w="108" w:type="dxa"/>
          </w:tblCellMar>
        </w:tblPrEx>
        <w:trPr>
          <w:trHeight w:val="312" w:hRule="atLeast"/>
        </w:trPr>
        <w:tc>
          <w:tcPr>
            <w:tcW w:w="647" w:type="pct"/>
            <w:vMerge w:val="continue"/>
            <w:tcBorders>
              <w:top w:val="single" w:color="000000" w:sz="4" w:space="0"/>
              <w:left w:val="single" w:color="000000" w:sz="4" w:space="0"/>
              <w:bottom w:val="single" w:color="000000" w:sz="4" w:space="0"/>
              <w:right w:val="single" w:color="000000" w:sz="4" w:space="0"/>
            </w:tcBorders>
            <w:noWrap/>
            <w:vAlign w:val="center"/>
          </w:tcPr>
          <w:p w14:paraId="2FD18D80">
            <w:pPr>
              <w:jc w:val="center"/>
              <w:rPr>
                <w:rFonts w:ascii="彩虹粗仿宋" w:hAnsi="彩虹粗仿宋" w:eastAsia="彩虹粗仿宋" w:cs="彩虹粗仿宋"/>
                <w:color w:val="000000" w:themeColor="text1"/>
                <w:szCs w:val="21"/>
                <w14:textFill>
                  <w14:solidFill>
                    <w14:schemeClr w14:val="tx1"/>
                  </w14:solidFill>
                </w14:textFill>
              </w:rPr>
            </w:pPr>
          </w:p>
        </w:tc>
        <w:tc>
          <w:tcPr>
            <w:tcW w:w="647" w:type="pct"/>
            <w:vMerge w:val="continue"/>
            <w:tcBorders>
              <w:top w:val="single" w:color="000000" w:sz="4" w:space="0"/>
              <w:left w:val="single" w:color="000000" w:sz="4" w:space="0"/>
              <w:bottom w:val="single" w:color="000000" w:sz="4" w:space="0"/>
              <w:right w:val="single" w:color="000000" w:sz="4" w:space="0"/>
            </w:tcBorders>
            <w:noWrap/>
            <w:vAlign w:val="center"/>
          </w:tcPr>
          <w:p w14:paraId="4FD225BC">
            <w:pPr>
              <w:jc w:val="center"/>
              <w:rPr>
                <w:rFonts w:ascii="彩虹粗仿宋" w:hAnsi="彩虹粗仿宋" w:eastAsia="彩虹粗仿宋" w:cs="彩虹粗仿宋"/>
                <w:color w:val="000000" w:themeColor="text1"/>
                <w:szCs w:val="21"/>
                <w14:textFill>
                  <w14:solidFill>
                    <w14:schemeClr w14:val="tx1"/>
                  </w14:solidFill>
                </w14:textFill>
              </w:rPr>
            </w:pPr>
          </w:p>
        </w:tc>
        <w:tc>
          <w:tcPr>
            <w:tcW w:w="1762" w:type="pct"/>
            <w:vMerge w:val="continue"/>
            <w:tcBorders>
              <w:top w:val="single" w:color="000000" w:sz="4" w:space="0"/>
              <w:left w:val="single" w:color="000000" w:sz="4" w:space="0"/>
              <w:bottom w:val="single" w:color="000000" w:sz="4" w:space="0"/>
              <w:right w:val="single" w:color="000000" w:sz="4" w:space="0"/>
            </w:tcBorders>
            <w:vAlign w:val="center"/>
          </w:tcPr>
          <w:p w14:paraId="61FA0A0A">
            <w:pPr>
              <w:jc w:val="center"/>
              <w:rPr>
                <w:rFonts w:ascii="彩虹粗仿宋" w:hAnsi="彩虹粗仿宋" w:eastAsia="彩虹粗仿宋" w:cs="彩虹粗仿宋"/>
                <w:color w:val="000000" w:themeColor="text1"/>
                <w:szCs w:val="21"/>
                <w14:textFill>
                  <w14:solidFill>
                    <w14:schemeClr w14:val="tx1"/>
                  </w14:solidFill>
                </w14:textFill>
              </w:rPr>
            </w:pPr>
          </w:p>
        </w:tc>
        <w:tc>
          <w:tcPr>
            <w:tcW w:w="555" w:type="pct"/>
            <w:vMerge w:val="continue"/>
            <w:tcBorders>
              <w:top w:val="single" w:color="000000" w:sz="4" w:space="0"/>
              <w:left w:val="single" w:color="000000" w:sz="4" w:space="0"/>
              <w:bottom w:val="single" w:color="000000" w:sz="4" w:space="0"/>
              <w:right w:val="single" w:color="000000" w:sz="4" w:space="0"/>
            </w:tcBorders>
            <w:noWrap/>
            <w:vAlign w:val="center"/>
          </w:tcPr>
          <w:p w14:paraId="55AF047A">
            <w:pPr>
              <w:jc w:val="center"/>
              <w:rPr>
                <w:rFonts w:ascii="彩虹粗仿宋" w:hAnsi="彩虹粗仿宋" w:eastAsia="彩虹粗仿宋" w:cs="彩虹粗仿宋"/>
                <w:color w:val="000000" w:themeColor="text1"/>
                <w:szCs w:val="21"/>
                <w14:textFill>
                  <w14:solidFill>
                    <w14:schemeClr w14:val="tx1"/>
                  </w14:solidFill>
                </w14:textFill>
              </w:rPr>
            </w:pPr>
          </w:p>
        </w:tc>
        <w:tc>
          <w:tcPr>
            <w:tcW w:w="664" w:type="pct"/>
            <w:vMerge w:val="continue"/>
            <w:tcBorders>
              <w:top w:val="single" w:color="000000" w:sz="4" w:space="0"/>
              <w:left w:val="single" w:color="000000" w:sz="4" w:space="0"/>
              <w:bottom w:val="single" w:color="000000" w:sz="4" w:space="0"/>
              <w:right w:val="single" w:color="000000" w:sz="4" w:space="0"/>
            </w:tcBorders>
            <w:noWrap/>
            <w:vAlign w:val="center"/>
          </w:tcPr>
          <w:p w14:paraId="658775BA">
            <w:pPr>
              <w:jc w:val="center"/>
              <w:rPr>
                <w:rFonts w:ascii="宋体" w:hAnsi="宋体" w:eastAsia="宋体" w:cs="宋体"/>
                <w:color w:val="000000" w:themeColor="text1"/>
                <w:szCs w:val="21"/>
                <w14:textFill>
                  <w14:solidFill>
                    <w14:schemeClr w14:val="tx1"/>
                  </w14:solidFill>
                </w14:textFill>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14:paraId="25065E0A">
            <w:pPr>
              <w:jc w:val="center"/>
              <w:rPr>
                <w:rFonts w:ascii="彩虹粗仿宋" w:hAnsi="彩虹粗仿宋" w:eastAsia="彩虹粗仿宋" w:cs="彩虹粗仿宋"/>
                <w:color w:val="000000" w:themeColor="text1"/>
                <w:szCs w:val="21"/>
                <w14:textFill>
                  <w14:solidFill>
                    <w14:schemeClr w14:val="tx1"/>
                  </w14:solidFill>
                </w14:textFill>
              </w:rPr>
            </w:pPr>
          </w:p>
        </w:tc>
      </w:tr>
      <w:tr w14:paraId="01AC3D6E">
        <w:tblPrEx>
          <w:tblCellMar>
            <w:top w:w="0" w:type="dxa"/>
            <w:left w:w="108" w:type="dxa"/>
            <w:bottom w:w="0" w:type="dxa"/>
            <w:right w:w="108" w:type="dxa"/>
          </w:tblCellMar>
        </w:tblPrEx>
        <w:trPr>
          <w:trHeight w:val="514" w:hRule="atLeast"/>
        </w:trPr>
        <w:tc>
          <w:tcPr>
            <w:tcW w:w="1103" w:type="dxa"/>
            <w:tcBorders>
              <w:top w:val="single" w:color="000000" w:sz="4" w:space="0"/>
              <w:left w:val="single" w:color="000000" w:sz="4" w:space="0"/>
              <w:bottom w:val="single" w:color="000000" w:sz="4" w:space="0"/>
              <w:right w:val="single" w:color="000000" w:sz="4" w:space="0"/>
            </w:tcBorders>
            <w:noWrap/>
            <w:vAlign w:val="center"/>
          </w:tcPr>
          <w:p w14:paraId="2872343D">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5</w:t>
            </w:r>
          </w:p>
        </w:tc>
        <w:tc>
          <w:tcPr>
            <w:tcW w:w="1103" w:type="dxa"/>
            <w:tcBorders>
              <w:top w:val="single" w:color="000000" w:sz="4" w:space="0"/>
              <w:left w:val="single" w:color="000000" w:sz="4" w:space="0"/>
              <w:bottom w:val="single" w:color="000000" w:sz="4" w:space="0"/>
              <w:right w:val="single" w:color="000000" w:sz="4" w:space="0"/>
            </w:tcBorders>
            <w:noWrap/>
            <w:vAlign w:val="center"/>
          </w:tcPr>
          <w:p w14:paraId="15854198">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硬件</w:t>
            </w:r>
          </w:p>
        </w:tc>
        <w:tc>
          <w:tcPr>
            <w:tcW w:w="3003" w:type="dxa"/>
            <w:tcBorders>
              <w:top w:val="single" w:color="000000" w:sz="4" w:space="0"/>
              <w:left w:val="single" w:color="000000" w:sz="4" w:space="0"/>
              <w:bottom w:val="single" w:color="000000" w:sz="4" w:space="0"/>
              <w:right w:val="single" w:color="000000" w:sz="4" w:space="0"/>
            </w:tcBorders>
            <w:vAlign w:val="center"/>
          </w:tcPr>
          <w:p w14:paraId="27E4BE70">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UPS后备电源</w:t>
            </w:r>
          </w:p>
        </w:tc>
        <w:tc>
          <w:tcPr>
            <w:tcW w:w="555" w:type="pct"/>
            <w:tcBorders>
              <w:top w:val="single" w:color="000000" w:sz="4" w:space="0"/>
              <w:left w:val="single" w:color="000000" w:sz="4" w:space="0"/>
              <w:bottom w:val="single" w:color="000000" w:sz="4" w:space="0"/>
              <w:right w:val="single" w:color="000000" w:sz="4" w:space="0"/>
            </w:tcBorders>
            <w:noWrap/>
            <w:vAlign w:val="center"/>
          </w:tcPr>
          <w:p w14:paraId="26EF8D9C">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彩虹粗仿宋" w:hAnsi="彩虹粗仿宋" w:eastAsia="彩虹粗仿宋" w:cs="彩虹粗仿宋"/>
                <w:color w:val="000000" w:themeColor="text1"/>
                <w:szCs w:val="21"/>
                <w14:textFill>
                  <w14:solidFill>
                    <w14:schemeClr w14:val="tx1"/>
                  </w14:solidFill>
                </w14:textFill>
              </w:rPr>
              <w:t>1</w:t>
            </w:r>
          </w:p>
        </w:tc>
        <w:tc>
          <w:tcPr>
            <w:tcW w:w="1132" w:type="dxa"/>
            <w:tcBorders>
              <w:top w:val="single" w:color="000000" w:sz="4" w:space="0"/>
              <w:left w:val="single" w:color="000000" w:sz="4" w:space="0"/>
              <w:bottom w:val="single" w:color="000000" w:sz="4" w:space="0"/>
              <w:right w:val="single" w:color="000000" w:sz="4" w:space="0"/>
            </w:tcBorders>
            <w:noWrap/>
            <w:vAlign w:val="center"/>
          </w:tcPr>
          <w:p w14:paraId="3D697890">
            <w:pPr>
              <w:widowControl/>
              <w:jc w:val="center"/>
              <w:textAlignment w:val="bottom"/>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c>
          <w:tcPr>
            <w:tcW w:w="1232" w:type="dxa"/>
            <w:tcBorders>
              <w:top w:val="single" w:color="000000" w:sz="4" w:space="0"/>
              <w:left w:val="single" w:color="000000" w:sz="4" w:space="0"/>
              <w:bottom w:val="single" w:color="000000" w:sz="4" w:space="0"/>
              <w:right w:val="single" w:color="000000" w:sz="4" w:space="0"/>
            </w:tcBorders>
            <w:noWrap/>
            <w:vAlign w:val="center"/>
          </w:tcPr>
          <w:p w14:paraId="4877B278">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1年</w:t>
            </w:r>
          </w:p>
        </w:tc>
      </w:tr>
      <w:tr w14:paraId="19FE5E3B">
        <w:tblPrEx>
          <w:tblCellMar>
            <w:top w:w="0" w:type="dxa"/>
            <w:left w:w="108" w:type="dxa"/>
            <w:bottom w:w="0" w:type="dxa"/>
            <w:right w:w="108" w:type="dxa"/>
          </w:tblCellMar>
        </w:tblPrEx>
        <w:trPr>
          <w:trHeight w:val="397" w:hRule="atLeast"/>
        </w:trPr>
        <w:tc>
          <w:tcPr>
            <w:tcW w:w="1103" w:type="dxa"/>
            <w:tcBorders>
              <w:top w:val="single" w:color="000000" w:sz="4" w:space="0"/>
              <w:left w:val="single" w:color="000000" w:sz="4" w:space="0"/>
              <w:bottom w:val="single" w:color="000000" w:sz="4" w:space="0"/>
              <w:right w:val="single" w:color="000000" w:sz="4" w:space="0"/>
            </w:tcBorders>
            <w:noWrap/>
            <w:vAlign w:val="center"/>
          </w:tcPr>
          <w:p w14:paraId="086A87FA">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6</w:t>
            </w:r>
          </w:p>
        </w:tc>
        <w:tc>
          <w:tcPr>
            <w:tcW w:w="1103" w:type="dxa"/>
            <w:tcBorders>
              <w:top w:val="single" w:color="000000" w:sz="4" w:space="0"/>
              <w:left w:val="single" w:color="000000" w:sz="4" w:space="0"/>
              <w:bottom w:val="single" w:color="000000" w:sz="4" w:space="0"/>
              <w:right w:val="single" w:color="000000" w:sz="4" w:space="0"/>
            </w:tcBorders>
            <w:noWrap/>
            <w:vAlign w:val="center"/>
          </w:tcPr>
          <w:p w14:paraId="7B0BAB2F">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硬件</w:t>
            </w:r>
          </w:p>
        </w:tc>
        <w:tc>
          <w:tcPr>
            <w:tcW w:w="3003" w:type="dxa"/>
            <w:tcBorders>
              <w:top w:val="single" w:color="000000" w:sz="4" w:space="0"/>
              <w:left w:val="single" w:color="000000" w:sz="4" w:space="0"/>
              <w:bottom w:val="single" w:color="000000" w:sz="4" w:space="0"/>
              <w:right w:val="single" w:color="000000" w:sz="4" w:space="0"/>
            </w:tcBorders>
            <w:vAlign w:val="center"/>
          </w:tcPr>
          <w:p w14:paraId="4E61C1EB">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自助服务终端机</w:t>
            </w:r>
          </w:p>
        </w:tc>
        <w:tc>
          <w:tcPr>
            <w:tcW w:w="555" w:type="pct"/>
            <w:tcBorders>
              <w:top w:val="single" w:color="000000" w:sz="4" w:space="0"/>
              <w:left w:val="single" w:color="000000" w:sz="4" w:space="0"/>
              <w:bottom w:val="single" w:color="000000" w:sz="4" w:space="0"/>
              <w:right w:val="single" w:color="000000" w:sz="4" w:space="0"/>
            </w:tcBorders>
            <w:noWrap/>
            <w:vAlign w:val="center"/>
          </w:tcPr>
          <w:p w14:paraId="5FBD1983">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彩虹粗仿宋" w:hAnsi="彩虹粗仿宋" w:eastAsia="彩虹粗仿宋" w:cs="彩虹粗仿宋"/>
                <w:color w:val="000000" w:themeColor="text1"/>
                <w:szCs w:val="21"/>
                <w14:textFill>
                  <w14:solidFill>
                    <w14:schemeClr w14:val="tx1"/>
                  </w14:solidFill>
                </w14:textFill>
              </w:rPr>
              <w:t>4</w:t>
            </w:r>
          </w:p>
        </w:tc>
        <w:tc>
          <w:tcPr>
            <w:tcW w:w="1132" w:type="dxa"/>
            <w:tcBorders>
              <w:top w:val="single" w:color="000000" w:sz="4" w:space="0"/>
              <w:left w:val="single" w:color="000000" w:sz="4" w:space="0"/>
              <w:bottom w:val="single" w:color="000000" w:sz="4" w:space="0"/>
              <w:right w:val="single" w:color="000000" w:sz="4" w:space="0"/>
            </w:tcBorders>
            <w:noWrap/>
            <w:vAlign w:val="center"/>
          </w:tcPr>
          <w:p w14:paraId="08FA02DB">
            <w:pPr>
              <w:widowControl/>
              <w:jc w:val="center"/>
              <w:textAlignment w:val="bottom"/>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台</w:t>
            </w:r>
          </w:p>
        </w:tc>
        <w:tc>
          <w:tcPr>
            <w:tcW w:w="1232" w:type="dxa"/>
            <w:tcBorders>
              <w:top w:val="single" w:color="000000" w:sz="4" w:space="0"/>
              <w:left w:val="single" w:color="000000" w:sz="4" w:space="0"/>
              <w:bottom w:val="single" w:color="000000" w:sz="4" w:space="0"/>
              <w:right w:val="single" w:color="000000" w:sz="4" w:space="0"/>
            </w:tcBorders>
            <w:noWrap/>
            <w:vAlign w:val="center"/>
          </w:tcPr>
          <w:p w14:paraId="38FB70DD">
            <w:pPr>
              <w:widowControl/>
              <w:jc w:val="center"/>
              <w:textAlignment w:val="center"/>
              <w:rPr>
                <w:rFonts w:ascii="彩虹粗仿宋" w:hAnsi="彩虹粗仿宋" w:eastAsia="彩虹粗仿宋" w:cs="彩虹粗仿宋"/>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1年</w:t>
            </w:r>
          </w:p>
        </w:tc>
      </w:tr>
      <w:tr w14:paraId="260995CA">
        <w:tblPrEx>
          <w:tblCellMar>
            <w:top w:w="0" w:type="dxa"/>
            <w:left w:w="108" w:type="dxa"/>
            <w:bottom w:w="0" w:type="dxa"/>
            <w:right w:w="108" w:type="dxa"/>
          </w:tblCellMar>
        </w:tblPrEx>
        <w:trPr>
          <w:trHeight w:val="476" w:hRule="atLeast"/>
        </w:trPr>
        <w:tc>
          <w:tcPr>
            <w:tcW w:w="1103" w:type="dxa"/>
            <w:tcBorders>
              <w:top w:val="single" w:color="000000" w:sz="4" w:space="0"/>
              <w:left w:val="single" w:color="000000" w:sz="4" w:space="0"/>
              <w:bottom w:val="single" w:color="000000" w:sz="4" w:space="0"/>
              <w:right w:val="single" w:color="000000" w:sz="4" w:space="0"/>
            </w:tcBorders>
            <w:noWrap/>
            <w:vAlign w:val="center"/>
          </w:tcPr>
          <w:p w14:paraId="26ED7E53">
            <w:pPr>
              <w:widowControl/>
              <w:jc w:val="center"/>
              <w:textAlignment w:val="center"/>
              <w:rPr>
                <w:rFonts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7</w:t>
            </w:r>
          </w:p>
        </w:tc>
        <w:tc>
          <w:tcPr>
            <w:tcW w:w="1103" w:type="dxa"/>
            <w:tcBorders>
              <w:top w:val="single" w:color="000000" w:sz="4" w:space="0"/>
              <w:left w:val="single" w:color="000000" w:sz="4" w:space="0"/>
              <w:bottom w:val="single" w:color="000000" w:sz="4" w:space="0"/>
              <w:right w:val="single" w:color="000000" w:sz="4" w:space="0"/>
            </w:tcBorders>
            <w:noWrap/>
            <w:vAlign w:val="center"/>
          </w:tcPr>
          <w:p w14:paraId="1ED4715F">
            <w:pPr>
              <w:widowControl/>
              <w:jc w:val="center"/>
              <w:textAlignment w:val="center"/>
              <w:rPr>
                <w:rFonts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硬件</w:t>
            </w:r>
          </w:p>
        </w:tc>
        <w:tc>
          <w:tcPr>
            <w:tcW w:w="3003" w:type="dxa"/>
            <w:tcBorders>
              <w:top w:val="single" w:color="000000" w:sz="4" w:space="0"/>
              <w:left w:val="single" w:color="000000" w:sz="4" w:space="0"/>
              <w:bottom w:val="single" w:color="000000" w:sz="4" w:space="0"/>
              <w:right w:val="single" w:color="000000" w:sz="4" w:space="0"/>
            </w:tcBorders>
            <w:vAlign w:val="center"/>
          </w:tcPr>
          <w:p w14:paraId="276E7B78">
            <w:pPr>
              <w:widowControl/>
              <w:jc w:val="center"/>
              <w:textAlignment w:val="center"/>
              <w:rPr>
                <w:rFonts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智能水控消费机（860终端）</w:t>
            </w:r>
          </w:p>
        </w:tc>
        <w:tc>
          <w:tcPr>
            <w:tcW w:w="555" w:type="pct"/>
            <w:tcBorders>
              <w:top w:val="single" w:color="000000" w:sz="4" w:space="0"/>
              <w:left w:val="single" w:color="000000" w:sz="4" w:space="0"/>
              <w:bottom w:val="single" w:color="000000" w:sz="4" w:space="0"/>
              <w:right w:val="single" w:color="000000" w:sz="4" w:space="0"/>
            </w:tcBorders>
            <w:noWrap/>
            <w:vAlign w:val="center"/>
          </w:tcPr>
          <w:p w14:paraId="1CAB6A34">
            <w:pPr>
              <w:widowControl/>
              <w:jc w:val="center"/>
              <w:textAlignment w:val="center"/>
              <w:rPr>
                <w:rFonts w:ascii="彩虹粗仿宋" w:hAnsi="彩虹粗仿宋" w:eastAsia="彩虹粗仿宋" w:cs="彩虹粗仿宋"/>
                <w:color w:val="000000" w:themeColor="text1"/>
                <w:kern w:val="0"/>
                <w:szCs w:val="21"/>
                <w:lang w:bidi="ar"/>
                <w14:textFill>
                  <w14:solidFill>
                    <w14:schemeClr w14:val="tx1"/>
                  </w14:solidFill>
                </w14:textFill>
              </w:rPr>
            </w:pPr>
            <w:r>
              <w:rPr>
                <w:rFonts w:hint="eastAsia" w:ascii="彩虹粗仿宋" w:hAnsi="彩虹粗仿宋" w:eastAsia="彩虹粗仿宋" w:cs="彩虹粗仿宋"/>
                <w:color w:val="000000" w:themeColor="text1"/>
                <w:kern w:val="0"/>
                <w:szCs w:val="21"/>
                <w:lang w:bidi="ar"/>
                <w14:textFill>
                  <w14:solidFill>
                    <w14:schemeClr w14:val="tx1"/>
                  </w14:solidFill>
                </w14:textFill>
              </w:rPr>
              <w:t>1</w:t>
            </w:r>
          </w:p>
        </w:tc>
        <w:tc>
          <w:tcPr>
            <w:tcW w:w="1132" w:type="dxa"/>
            <w:tcBorders>
              <w:top w:val="single" w:color="000000" w:sz="4" w:space="0"/>
              <w:left w:val="single" w:color="000000" w:sz="4" w:space="0"/>
              <w:bottom w:val="single" w:color="000000" w:sz="4" w:space="0"/>
              <w:right w:val="single" w:color="000000" w:sz="4" w:space="0"/>
            </w:tcBorders>
            <w:noWrap/>
            <w:vAlign w:val="center"/>
          </w:tcPr>
          <w:p w14:paraId="6693E1CA">
            <w:pPr>
              <w:widowControl/>
              <w:jc w:val="center"/>
              <w:textAlignment w:val="bottom"/>
              <w:rPr>
                <w:rFonts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套</w:t>
            </w:r>
          </w:p>
        </w:tc>
        <w:tc>
          <w:tcPr>
            <w:tcW w:w="1232" w:type="dxa"/>
            <w:tcBorders>
              <w:top w:val="single" w:color="000000" w:sz="4" w:space="0"/>
              <w:left w:val="single" w:color="000000" w:sz="4" w:space="0"/>
              <w:bottom w:val="single" w:color="000000" w:sz="4" w:space="0"/>
              <w:right w:val="single" w:color="000000" w:sz="4" w:space="0"/>
            </w:tcBorders>
            <w:noWrap/>
            <w:vAlign w:val="center"/>
          </w:tcPr>
          <w:p w14:paraId="5F9B8E4C">
            <w:pPr>
              <w:widowControl/>
              <w:jc w:val="center"/>
              <w:textAlignment w:val="center"/>
              <w:rPr>
                <w:rFonts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1年</w:t>
            </w:r>
          </w:p>
        </w:tc>
      </w:tr>
      <w:tr w14:paraId="1DEFFC33">
        <w:tblPrEx>
          <w:tblCellMar>
            <w:top w:w="0" w:type="dxa"/>
            <w:left w:w="108" w:type="dxa"/>
            <w:bottom w:w="0" w:type="dxa"/>
            <w:right w:w="108" w:type="dxa"/>
          </w:tblCellMar>
        </w:tblPrEx>
        <w:trPr>
          <w:trHeight w:val="476" w:hRule="atLeast"/>
        </w:trPr>
        <w:tc>
          <w:tcPr>
            <w:tcW w:w="1103" w:type="dxa"/>
            <w:tcBorders>
              <w:top w:val="single" w:color="000000" w:sz="4" w:space="0"/>
              <w:left w:val="single" w:color="000000" w:sz="4" w:space="0"/>
              <w:bottom w:val="single" w:color="000000" w:sz="4" w:space="0"/>
              <w:right w:val="single" w:color="000000" w:sz="4" w:space="0"/>
            </w:tcBorders>
            <w:noWrap/>
            <w:vAlign w:val="center"/>
          </w:tcPr>
          <w:p w14:paraId="451D8952">
            <w:pPr>
              <w:widowControl/>
              <w:jc w:val="center"/>
              <w:textAlignment w:val="center"/>
              <w:rPr>
                <w:rFonts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8</w:t>
            </w:r>
          </w:p>
        </w:tc>
        <w:tc>
          <w:tcPr>
            <w:tcW w:w="1103" w:type="dxa"/>
            <w:tcBorders>
              <w:top w:val="single" w:color="000000" w:sz="4" w:space="0"/>
              <w:left w:val="single" w:color="000000" w:sz="4" w:space="0"/>
              <w:bottom w:val="single" w:color="000000" w:sz="4" w:space="0"/>
              <w:right w:val="single" w:color="000000" w:sz="4" w:space="0"/>
            </w:tcBorders>
            <w:noWrap/>
            <w:vAlign w:val="center"/>
          </w:tcPr>
          <w:p w14:paraId="3E47000F">
            <w:pPr>
              <w:widowControl/>
              <w:jc w:val="center"/>
              <w:textAlignment w:val="center"/>
              <w:rPr>
                <w:rFonts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服务费</w:t>
            </w:r>
          </w:p>
        </w:tc>
        <w:tc>
          <w:tcPr>
            <w:tcW w:w="3003" w:type="dxa"/>
            <w:tcBorders>
              <w:top w:val="single" w:color="000000" w:sz="4" w:space="0"/>
              <w:left w:val="single" w:color="000000" w:sz="4" w:space="0"/>
              <w:bottom w:val="single" w:color="000000" w:sz="4" w:space="0"/>
              <w:right w:val="single" w:color="000000" w:sz="4" w:space="0"/>
            </w:tcBorders>
            <w:vAlign w:val="center"/>
          </w:tcPr>
          <w:p w14:paraId="54A22779">
            <w:pPr>
              <w:widowControl/>
              <w:jc w:val="center"/>
              <w:textAlignment w:val="center"/>
              <w:rPr>
                <w:rFonts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维保费用</w:t>
            </w:r>
          </w:p>
        </w:tc>
        <w:tc>
          <w:tcPr>
            <w:tcW w:w="555" w:type="pct"/>
            <w:tcBorders>
              <w:top w:val="single" w:color="000000" w:sz="4" w:space="0"/>
              <w:left w:val="single" w:color="000000" w:sz="4" w:space="0"/>
              <w:bottom w:val="single" w:color="000000" w:sz="4" w:space="0"/>
              <w:right w:val="single" w:color="000000" w:sz="4" w:space="0"/>
            </w:tcBorders>
            <w:noWrap/>
            <w:vAlign w:val="center"/>
          </w:tcPr>
          <w:p w14:paraId="303695CE">
            <w:pPr>
              <w:widowControl/>
              <w:jc w:val="center"/>
              <w:textAlignment w:val="center"/>
              <w:rPr>
                <w:rFonts w:ascii="彩虹粗仿宋" w:hAnsi="彩虹粗仿宋" w:eastAsia="彩虹粗仿宋" w:cs="彩虹粗仿宋"/>
                <w:color w:val="000000" w:themeColor="text1"/>
                <w:kern w:val="0"/>
                <w:szCs w:val="21"/>
                <w:lang w:bidi="ar"/>
                <w14:textFill>
                  <w14:solidFill>
                    <w14:schemeClr w14:val="tx1"/>
                  </w14:solidFill>
                </w14:textFill>
              </w:rPr>
            </w:pPr>
            <w:r>
              <w:rPr>
                <w:rFonts w:hint="eastAsia" w:ascii="彩虹粗仿宋" w:hAnsi="彩虹粗仿宋" w:eastAsia="彩虹粗仿宋" w:cs="彩虹粗仿宋"/>
                <w:color w:val="000000" w:themeColor="text1"/>
                <w:kern w:val="0"/>
                <w:szCs w:val="21"/>
                <w:lang w:bidi="ar"/>
                <w14:textFill>
                  <w14:solidFill>
                    <w14:schemeClr w14:val="tx1"/>
                  </w14:solidFill>
                </w14:textFill>
              </w:rPr>
              <w:t>7</w:t>
            </w:r>
          </w:p>
        </w:tc>
        <w:tc>
          <w:tcPr>
            <w:tcW w:w="1132" w:type="dxa"/>
            <w:tcBorders>
              <w:top w:val="single" w:color="000000" w:sz="4" w:space="0"/>
              <w:left w:val="single" w:color="000000" w:sz="4" w:space="0"/>
              <w:bottom w:val="single" w:color="000000" w:sz="4" w:space="0"/>
              <w:right w:val="single" w:color="000000" w:sz="4" w:space="0"/>
            </w:tcBorders>
            <w:noWrap/>
            <w:vAlign w:val="center"/>
          </w:tcPr>
          <w:p w14:paraId="266F60E0">
            <w:pPr>
              <w:widowControl/>
              <w:jc w:val="center"/>
              <w:textAlignment w:val="bottom"/>
              <w:rPr>
                <w:rFonts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年</w:t>
            </w:r>
          </w:p>
        </w:tc>
        <w:tc>
          <w:tcPr>
            <w:tcW w:w="1232" w:type="dxa"/>
            <w:tcBorders>
              <w:top w:val="single" w:color="000000" w:sz="4" w:space="0"/>
              <w:left w:val="single" w:color="000000" w:sz="4" w:space="0"/>
              <w:bottom w:val="single" w:color="000000" w:sz="4" w:space="0"/>
              <w:right w:val="single" w:color="000000" w:sz="4" w:space="0"/>
            </w:tcBorders>
            <w:noWrap/>
            <w:vAlign w:val="center"/>
          </w:tcPr>
          <w:p w14:paraId="46614F09">
            <w:pPr>
              <w:widowControl/>
              <w:jc w:val="center"/>
              <w:textAlignment w:val="center"/>
              <w:rPr>
                <w:rFonts w:ascii="宋体" w:hAnsi="宋体" w:eastAsia="宋体" w:cs="宋体"/>
                <w:color w:val="000000" w:themeColor="text1"/>
                <w:kern w:val="0"/>
                <w:szCs w:val="21"/>
                <w:lang w:bidi="ar"/>
                <w14:textFill>
                  <w14:solidFill>
                    <w14:schemeClr w14:val="tx1"/>
                  </w14:solidFill>
                </w14:textFill>
              </w:rPr>
            </w:pPr>
          </w:p>
        </w:tc>
      </w:tr>
    </w:tbl>
    <w:p w14:paraId="73CD1BED">
      <w:pPr>
        <w:pStyle w:val="2"/>
        <w:spacing w:line="240" w:lineRule="auto"/>
        <w:ind w:firstLine="643"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二、供应商资质要求</w:t>
      </w:r>
    </w:p>
    <w:p w14:paraId="6522F00B">
      <w:pPr>
        <w:pStyle w:val="3"/>
        <w:ind w:firstLine="640" w:firstLineChars="200"/>
        <w:jc w:val="left"/>
        <w:rPr>
          <w:rFonts w:hint="eastAsia" w:ascii="彩虹粗仿宋" w:hAnsi="宋体" w:eastAsia="彩虹粗仿宋"/>
          <w:color w:val="000000" w:themeColor="text1"/>
          <w:sz w:val="32"/>
          <w:szCs w:val="32"/>
          <w:highlight w:val="yellow"/>
          <w14:textFill>
            <w14:solidFill>
              <w14:schemeClr w14:val="tx1"/>
            </w14:solidFill>
          </w14:textFill>
        </w:rPr>
      </w:pPr>
      <w:r>
        <w:rPr>
          <w:rFonts w:hint="eastAsia" w:ascii="彩虹粗仿宋" w:hAnsi="宋体" w:eastAsia="彩虹粗仿宋"/>
          <w:color w:val="000000" w:themeColor="text1"/>
          <w:sz w:val="32"/>
          <w:szCs w:val="32"/>
          <w:highlight w:val="yellow"/>
          <w14:textFill>
            <w14:solidFill>
              <w14:schemeClr w14:val="tx1"/>
            </w14:solidFill>
          </w14:textFill>
        </w:rPr>
        <w:t>参与本项目的供应商必须满足以下条件：</w:t>
      </w:r>
    </w:p>
    <w:p w14:paraId="5C4D7914">
      <w:pPr>
        <w:spacing w:line="560" w:lineRule="exact"/>
        <w:ind w:firstLine="640" w:firstLineChars="200"/>
        <w:rPr>
          <w:rFonts w:hint="eastAsia" w:ascii="彩虹粗仿宋" w:hAnsi="宋体" w:eastAsia="彩虹粗仿宋"/>
          <w:color w:val="000000" w:themeColor="text1"/>
          <w:sz w:val="32"/>
          <w:szCs w:val="32"/>
          <w:highlight w:val="yellow"/>
          <w:lang w:val="en-US" w:eastAsia="zh-CN"/>
          <w14:textFill>
            <w14:solidFill>
              <w14:schemeClr w14:val="tx1"/>
            </w14:solidFill>
          </w14:textFill>
        </w:rPr>
      </w:pPr>
      <w:r>
        <w:rPr>
          <w:rFonts w:hint="eastAsia" w:ascii="彩虹粗仿宋" w:hAnsi="宋体" w:eastAsia="彩虹粗仿宋"/>
          <w:color w:val="000000" w:themeColor="text1"/>
          <w:sz w:val="32"/>
          <w:szCs w:val="32"/>
          <w:highlight w:val="yellow"/>
          <w:lang w:val="en-US" w:eastAsia="zh-CN"/>
          <w14:textFill>
            <w14:solidFill>
              <w14:schemeClr w14:val="tx1"/>
            </w14:solidFill>
          </w14:textFill>
        </w:rPr>
        <w:t>1、</w:t>
      </w:r>
      <w:r>
        <w:rPr>
          <w:rFonts w:hint="eastAsia" w:ascii="彩虹粗仿宋" w:eastAsia="彩虹粗仿宋"/>
          <w:color w:val="000000" w:themeColor="text1"/>
          <w:sz w:val="32"/>
          <w:szCs w:val="32"/>
          <w:highlight w:val="yellow"/>
          <w14:textFill>
            <w14:solidFill>
              <w14:schemeClr w14:val="tx1"/>
            </w14:solidFill>
          </w14:textFill>
        </w:rPr>
        <w:t>在中国境内有效注册，成立时间大于</w:t>
      </w:r>
      <w:r>
        <w:rPr>
          <w:rFonts w:hint="eastAsia" w:ascii="彩虹粗仿宋" w:eastAsia="彩虹粗仿宋"/>
          <w:color w:val="000000" w:themeColor="text1"/>
          <w:sz w:val="32"/>
          <w:szCs w:val="32"/>
          <w:highlight w:val="yellow"/>
          <w:lang w:val="en-US" w:eastAsia="zh-CN"/>
          <w14:textFill>
            <w14:solidFill>
              <w14:schemeClr w14:val="tx1"/>
            </w14:solidFill>
          </w14:textFill>
        </w:rPr>
        <w:t>3</w:t>
      </w:r>
      <w:r>
        <w:rPr>
          <w:rFonts w:hint="eastAsia" w:ascii="彩虹粗仿宋" w:eastAsia="彩虹粗仿宋"/>
          <w:color w:val="000000" w:themeColor="text1"/>
          <w:sz w:val="32"/>
          <w:szCs w:val="32"/>
          <w:highlight w:val="yellow"/>
          <w14:textFill>
            <w14:solidFill>
              <w14:schemeClr w14:val="tx1"/>
            </w14:solidFill>
          </w14:textFill>
        </w:rPr>
        <w:t>年（以营业执照注明的成立时间至征集公告截止时间计算），遵守中国的法律、法规和条例；</w:t>
      </w:r>
    </w:p>
    <w:p w14:paraId="60B24975">
      <w:pPr>
        <w:pStyle w:val="3"/>
        <w:spacing w:line="360" w:lineRule="auto"/>
        <w:ind w:firstLine="640" w:firstLineChars="200"/>
        <w:jc w:val="left"/>
        <w:rPr>
          <w:rFonts w:hint="eastAsia" w:ascii="彩虹粗仿宋" w:hAnsi="宋体" w:eastAsia="彩虹粗仿宋"/>
          <w:color w:val="000000" w:themeColor="text1"/>
          <w:sz w:val="32"/>
          <w:szCs w:val="32"/>
          <w:highlight w:val="yellow"/>
          <w:lang w:eastAsia="zh-CN"/>
          <w14:textFill>
            <w14:solidFill>
              <w14:schemeClr w14:val="tx1"/>
            </w14:solidFill>
          </w14:textFill>
        </w:rPr>
      </w:pPr>
      <w:r>
        <w:rPr>
          <w:rFonts w:hint="eastAsia" w:ascii="彩虹粗仿宋" w:hAnsi="宋体" w:eastAsia="彩虹粗仿宋"/>
          <w:color w:val="000000" w:themeColor="text1"/>
          <w:sz w:val="32"/>
          <w:szCs w:val="32"/>
          <w:highlight w:val="yellow"/>
          <w:lang w:val="en-US" w:eastAsia="zh-CN"/>
          <w14:textFill>
            <w14:solidFill>
              <w14:schemeClr w14:val="tx1"/>
            </w14:solidFill>
          </w14:textFill>
        </w:rPr>
        <w:t>2、</w:t>
      </w:r>
      <w:r>
        <w:rPr>
          <w:rFonts w:hint="eastAsia" w:ascii="彩虹粗仿宋" w:hAnsi="宋体" w:eastAsia="彩虹粗仿宋"/>
          <w:color w:val="000000" w:themeColor="text1"/>
          <w:sz w:val="32"/>
          <w:szCs w:val="32"/>
          <w:highlight w:val="yellow"/>
          <w14:textFill>
            <w14:solidFill>
              <w14:schemeClr w14:val="tx1"/>
            </w14:solidFill>
          </w14:textFill>
        </w:rPr>
        <w:t>至少有1个（含）以上与一卡通系统项目相关的服务案例</w:t>
      </w:r>
      <w:r>
        <w:rPr>
          <w:rFonts w:hint="eastAsia" w:ascii="彩虹粗仿宋" w:hAnsi="宋体" w:eastAsia="彩虹粗仿宋"/>
          <w:color w:val="000000" w:themeColor="text1"/>
          <w:sz w:val="32"/>
          <w:szCs w:val="32"/>
          <w:highlight w:val="yellow"/>
          <w:lang w:eastAsia="zh-CN"/>
          <w14:textFill>
            <w14:solidFill>
              <w14:schemeClr w14:val="tx1"/>
            </w14:solidFill>
          </w14:textFill>
        </w:rPr>
        <w:t>，</w:t>
      </w:r>
      <w:r>
        <w:rPr>
          <w:rFonts w:hint="eastAsia" w:ascii="彩虹粗仿宋" w:hAnsi="宋体" w:eastAsia="彩虹粗仿宋"/>
          <w:color w:val="000000" w:themeColor="text1"/>
          <w:sz w:val="32"/>
          <w:szCs w:val="32"/>
          <w:highlight w:val="yellow"/>
          <w14:textFill>
            <w14:solidFill>
              <w14:schemeClr w14:val="tx1"/>
            </w14:solidFill>
          </w14:textFill>
        </w:rPr>
        <w:t>需提供项目合同</w:t>
      </w:r>
      <w:r>
        <w:rPr>
          <w:rFonts w:hint="eastAsia" w:ascii="彩虹粗仿宋" w:hAnsi="宋体" w:eastAsia="彩虹粗仿宋"/>
          <w:color w:val="000000" w:themeColor="text1"/>
          <w:sz w:val="32"/>
          <w:szCs w:val="32"/>
          <w:highlight w:val="yellow"/>
          <w:lang w:eastAsia="zh-CN"/>
          <w14:textFill>
            <w14:solidFill>
              <w14:schemeClr w14:val="tx1"/>
            </w14:solidFill>
          </w14:textFill>
        </w:rPr>
        <w:t>，</w:t>
      </w:r>
      <w:r>
        <w:rPr>
          <w:rFonts w:hint="eastAsia" w:ascii="彩虹粗仿宋" w:hAnsi="宋体" w:eastAsia="彩虹粗仿宋"/>
          <w:color w:val="000000" w:themeColor="text1"/>
          <w:sz w:val="32"/>
          <w:szCs w:val="32"/>
          <w:highlight w:val="yellow"/>
          <w14:textFill>
            <w14:solidFill>
              <w14:schemeClr w14:val="tx1"/>
            </w14:solidFill>
          </w14:textFill>
        </w:rPr>
        <w:t>合同内容需包含一卡通系统的硬件设备销售。</w:t>
      </w:r>
    </w:p>
    <w:p w14:paraId="11FCF740">
      <w:pPr>
        <w:ind w:firstLine="739" w:firstLineChars="230"/>
        <w:rPr>
          <w:rFonts w:ascii="Arial" w:hAnsi="Arial" w:eastAsia="黑体"/>
          <w:b/>
          <w:color w:val="000000" w:themeColor="text1"/>
          <w:sz w:val="32"/>
          <w14:textFill>
            <w14:solidFill>
              <w14:schemeClr w14:val="tx1"/>
            </w14:solidFill>
          </w14:textFill>
        </w:rPr>
      </w:pPr>
      <w:r>
        <w:rPr>
          <w:rFonts w:hint="eastAsia" w:ascii="Arial" w:hAnsi="Arial" w:eastAsia="黑体"/>
          <w:b/>
          <w:color w:val="000000" w:themeColor="text1"/>
          <w:sz w:val="32"/>
          <w14:textFill>
            <w14:solidFill>
              <w14:schemeClr w14:val="tx1"/>
            </w14:solidFill>
          </w14:textFill>
        </w:rPr>
        <w:t xml:space="preserve">三、产品规格 </w:t>
      </w:r>
    </w:p>
    <w:tbl>
      <w:tblPr>
        <w:tblStyle w:val="5"/>
        <w:tblW w:w="80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0"/>
        <w:gridCol w:w="607"/>
        <w:gridCol w:w="616"/>
        <w:gridCol w:w="6342"/>
      </w:tblGrid>
      <w:tr w14:paraId="10519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99E8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序号</w:t>
            </w:r>
          </w:p>
        </w:tc>
        <w:tc>
          <w:tcPr>
            <w:tcW w:w="6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43D1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软/硬</w:t>
            </w:r>
          </w:p>
        </w:tc>
        <w:tc>
          <w:tcPr>
            <w:tcW w:w="6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06D1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设备(软件）名称</w:t>
            </w:r>
          </w:p>
        </w:tc>
        <w:tc>
          <w:tcPr>
            <w:tcW w:w="63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0E5A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功能配置说明</w:t>
            </w:r>
          </w:p>
        </w:tc>
      </w:tr>
      <w:tr w14:paraId="458E3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18DF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07"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52967B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硬件</w:t>
            </w:r>
          </w:p>
        </w:tc>
        <w:tc>
          <w:tcPr>
            <w:tcW w:w="616"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600557B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饭堂消费刷卡机（60终端）</w:t>
            </w:r>
          </w:p>
        </w:tc>
        <w:tc>
          <w:tcPr>
            <w:tcW w:w="63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165B12">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1、7"+7"/IP/WIFI带扫码刷卡及人脸识别处理器：高性能32位4核ARM芯片</w:t>
            </w:r>
          </w:p>
        </w:tc>
      </w:tr>
      <w:tr w14:paraId="1F6F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1AE59A">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102D7C0">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620521B">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216515DA">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2、摄像头：200W像素，1/3英寸</w:t>
            </w:r>
          </w:p>
        </w:tc>
      </w:tr>
      <w:tr w14:paraId="1987F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682629">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7790A9D">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6799FF9">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5A9D0B4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3、图像传感器：6mm焦距，F2.4光圈</w:t>
            </w:r>
          </w:p>
        </w:tc>
      </w:tr>
      <w:tr w14:paraId="1F902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A649BB">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A0BC615">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8AC3FB7">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29ACC0B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4、操作系统：android7.1</w:t>
            </w:r>
          </w:p>
        </w:tc>
      </w:tr>
      <w:tr w14:paraId="79A36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720C4F">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FD18C68">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43D59D9">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2622F1CC">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5、输入电源：12V2A</w:t>
            </w:r>
          </w:p>
        </w:tc>
      </w:tr>
      <w:tr w14:paraId="5D961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EDAD6A">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7FAE629">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31AE830">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67E06792">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6、逆光识别照度：＜6000Lux</w:t>
            </w:r>
          </w:p>
        </w:tc>
      </w:tr>
      <w:tr w14:paraId="28C08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D1A906">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BB7C746">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6A7E322">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376EA0FC">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7、有效识别距离：0.5米-4米</w:t>
            </w:r>
          </w:p>
        </w:tc>
      </w:tr>
      <w:tr w14:paraId="44326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9E0E82">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6E9B348">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4C202D9">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4597AB2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8、韦根接口：支持韦根26 韦根34</w:t>
            </w:r>
          </w:p>
        </w:tc>
      </w:tr>
      <w:tr w14:paraId="3A805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16C084">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17AAFFC">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C6017BE">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32F7411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9、其他接口：232 TTL WIFI RJ45</w:t>
            </w:r>
          </w:p>
        </w:tc>
      </w:tr>
      <w:tr w14:paraId="67D9C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CD26D9">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2235A42">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AB2F6D7">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0F06FE4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10、人脸库：10000人</w:t>
            </w:r>
          </w:p>
        </w:tc>
      </w:tr>
      <w:tr w14:paraId="687A6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E68E66">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E4EBB7E">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EDF53CB">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66F1F35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▲11、在设备上通过刷卡、扫脸收取不同金额的押金及原路退回押金的功能。</w:t>
            </w:r>
          </w:p>
        </w:tc>
      </w:tr>
      <w:tr w14:paraId="477EF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035674">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32D5CED">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6A99B12">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7FB22149">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▲12、在设备上刷卡须与学校现有一卡通系统使用的卡片保持同一张介质，符合学校原有系统校园卡卡结构和卡规范，投标人不得重新发新卡换旧卡、擅自附加、修改卡规划和卡结构。</w:t>
            </w:r>
          </w:p>
        </w:tc>
      </w:tr>
      <w:tr w14:paraId="60ED6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41624D">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CEBD102">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E27932C">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2160614C">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▲13、此次采购的饭堂消费刷卡机必须与学校正在使用的一卡通系统完全兼容(在原有本地服务器及原有数据库、原有软件平台上进行管理)，</w:t>
            </w:r>
          </w:p>
        </w:tc>
      </w:tr>
      <w:tr w14:paraId="76391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832C90">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AB747CC">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F071C13">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47734CEA">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▲14、在刷卡机设备上传人脸或者人脸支付必须使用学校正在使用的一卡通系统人脸库，在原有本地服务器及原有数据库、原有软件平台上进行管理，投标人不能另外新建或改变现有系统人脸库。</w:t>
            </w:r>
          </w:p>
        </w:tc>
      </w:tr>
      <w:tr w14:paraId="1005D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756CB1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07" w:type="dxa"/>
            <w:vMerge w:val="restart"/>
            <w:tcBorders>
              <w:top w:val="nil"/>
              <w:left w:val="single" w:color="000000" w:sz="8" w:space="0"/>
              <w:bottom w:val="single" w:color="000000" w:sz="8" w:space="0"/>
              <w:right w:val="single" w:color="000000" w:sz="8" w:space="0"/>
            </w:tcBorders>
            <w:shd w:val="clear" w:color="auto" w:fill="FFFFFF"/>
            <w:vAlign w:val="center"/>
          </w:tcPr>
          <w:p w14:paraId="0B4BDC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硬件</w:t>
            </w:r>
          </w:p>
        </w:tc>
        <w:tc>
          <w:tcPr>
            <w:tcW w:w="616" w:type="dxa"/>
            <w:vMerge w:val="restart"/>
            <w:tcBorders>
              <w:top w:val="nil"/>
              <w:left w:val="single" w:color="000000" w:sz="8" w:space="0"/>
              <w:bottom w:val="single" w:color="000000" w:sz="8" w:space="0"/>
              <w:right w:val="single" w:color="000000" w:sz="8" w:space="0"/>
            </w:tcBorders>
            <w:shd w:val="clear" w:color="auto" w:fill="FFFFFF"/>
            <w:vAlign w:val="center"/>
          </w:tcPr>
          <w:p w14:paraId="0D8A5C1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服务器</w:t>
            </w: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015C7E8F">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1、国有知名品牌，自主可控非OEM产品，标准2U机架式服务器；</w:t>
            </w:r>
          </w:p>
        </w:tc>
      </w:tr>
      <w:tr w14:paraId="3E607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D4DA483">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single" w:color="000000" w:sz="8" w:space="0"/>
              <w:right w:val="single" w:color="000000" w:sz="8" w:space="0"/>
            </w:tcBorders>
            <w:shd w:val="clear" w:color="auto" w:fill="FFFFFF"/>
            <w:vAlign w:val="center"/>
          </w:tcPr>
          <w:p w14:paraId="1012F7E0">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single" w:color="000000" w:sz="8" w:space="0"/>
              <w:right w:val="single" w:color="000000" w:sz="8" w:space="0"/>
            </w:tcBorders>
            <w:shd w:val="clear" w:color="auto" w:fill="FFFFFF"/>
            <w:vAlign w:val="center"/>
          </w:tcPr>
          <w:p w14:paraId="46C553FA">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295C93B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★2、服务器生产厂商提供IDC出具的“近三年内任一年中国x86 服务器市场出货量前3排名”，并出具相关证明材料；</w:t>
            </w:r>
          </w:p>
        </w:tc>
      </w:tr>
      <w:tr w14:paraId="34B2A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B13E463">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single" w:color="000000" w:sz="8" w:space="0"/>
              <w:right w:val="single" w:color="000000" w:sz="8" w:space="0"/>
            </w:tcBorders>
            <w:shd w:val="clear" w:color="auto" w:fill="FFFFFF"/>
            <w:vAlign w:val="center"/>
          </w:tcPr>
          <w:p w14:paraId="7BEA3ACF">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single" w:color="000000" w:sz="8" w:space="0"/>
              <w:right w:val="single" w:color="000000" w:sz="8" w:space="0"/>
            </w:tcBorders>
            <w:shd w:val="clear" w:color="auto" w:fill="FFFFFF"/>
            <w:vAlign w:val="center"/>
          </w:tcPr>
          <w:p w14:paraId="6925A1AA">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5B56501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3、最大可配置1颗自主可控X86架构处理器，主频（基频）≥2.5 GHz，最高频率≥2.5GHz，单颗核心数≥16核；</w:t>
            </w:r>
          </w:p>
        </w:tc>
      </w:tr>
      <w:tr w14:paraId="43D6C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992A709">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single" w:color="000000" w:sz="8" w:space="0"/>
              <w:right w:val="single" w:color="000000" w:sz="8" w:space="0"/>
            </w:tcBorders>
            <w:shd w:val="clear" w:color="auto" w:fill="FFFFFF"/>
            <w:vAlign w:val="center"/>
          </w:tcPr>
          <w:p w14:paraId="7F53747C">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single" w:color="000000" w:sz="8" w:space="0"/>
              <w:right w:val="single" w:color="000000" w:sz="8" w:space="0"/>
            </w:tcBorders>
            <w:shd w:val="clear" w:color="auto" w:fill="FFFFFF"/>
            <w:vAlign w:val="center"/>
          </w:tcPr>
          <w:p w14:paraId="4013BAD0">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3BAF76C6">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4、配置≥32GB 3200MHz DDR4内存；可扩展≥16个内存插槽，支持最大容量1TB，支持内存纠错等高级功能</w:t>
            </w:r>
          </w:p>
        </w:tc>
      </w:tr>
      <w:tr w14:paraId="63981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6530901">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single" w:color="000000" w:sz="8" w:space="0"/>
              <w:right w:val="single" w:color="000000" w:sz="8" w:space="0"/>
            </w:tcBorders>
            <w:shd w:val="clear" w:color="auto" w:fill="FFFFFF"/>
            <w:vAlign w:val="center"/>
          </w:tcPr>
          <w:p w14:paraId="5CD4105D">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single" w:color="000000" w:sz="8" w:space="0"/>
              <w:right w:val="single" w:color="000000" w:sz="8" w:space="0"/>
            </w:tcBorders>
            <w:shd w:val="clear" w:color="auto" w:fill="FFFFFF"/>
            <w:vAlign w:val="center"/>
          </w:tcPr>
          <w:p w14:paraId="05B019CC">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51EC930F">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5、本次配置2块4T SATA硬盘，支持12块3.5英寸硬盘，后置支持4块2.5英寸硬盘，另外通过内置M.2硬盘承载操作系统，为客户提供存储灵活配置，更好支持分级存储应用及分布式存储应用场景，最大支持8个NVMe SSD。</w:t>
            </w:r>
          </w:p>
        </w:tc>
      </w:tr>
      <w:tr w14:paraId="0792B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AE6C6DA">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single" w:color="000000" w:sz="8" w:space="0"/>
              <w:right w:val="single" w:color="000000" w:sz="8" w:space="0"/>
            </w:tcBorders>
            <w:shd w:val="clear" w:color="auto" w:fill="FFFFFF"/>
            <w:vAlign w:val="center"/>
          </w:tcPr>
          <w:p w14:paraId="2B19D3F9">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single" w:color="000000" w:sz="8" w:space="0"/>
              <w:right w:val="single" w:color="000000" w:sz="8" w:space="0"/>
            </w:tcBorders>
            <w:shd w:val="clear" w:color="auto" w:fill="FFFFFF"/>
            <w:vAlign w:val="center"/>
          </w:tcPr>
          <w:p w14:paraId="3352FC93">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7F3C2C4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6、支持RAID 0/1/10/50等，配置≥2GBraid Cache，支持电容掉电保护；</w:t>
            </w:r>
          </w:p>
        </w:tc>
      </w:tr>
      <w:tr w14:paraId="06CC7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4EBEE0C">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single" w:color="000000" w:sz="8" w:space="0"/>
              <w:right w:val="single" w:color="000000" w:sz="8" w:space="0"/>
            </w:tcBorders>
            <w:shd w:val="clear" w:color="auto" w:fill="FFFFFF"/>
            <w:vAlign w:val="center"/>
          </w:tcPr>
          <w:p w14:paraId="639E396B">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single" w:color="000000" w:sz="8" w:space="0"/>
              <w:right w:val="single" w:color="000000" w:sz="8" w:space="0"/>
            </w:tcBorders>
            <w:shd w:val="clear" w:color="auto" w:fill="FFFFFF"/>
            <w:vAlign w:val="center"/>
          </w:tcPr>
          <w:p w14:paraId="4DCD0DE2">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4B1265C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7、配置2个千兆网口，且采用国产网络芯片， 支持NC-SI、网络唤醒、带外管理等功能；支持OCP3.0网卡，支持热插拔；板载1个千兆管理专用以太网口，采用具有完全的自主知识产权与自主可控网卡芯片；</w:t>
            </w:r>
          </w:p>
        </w:tc>
      </w:tr>
      <w:tr w14:paraId="70DF2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32B93E52">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single" w:color="000000" w:sz="8" w:space="0"/>
              <w:right w:val="single" w:color="000000" w:sz="8" w:space="0"/>
            </w:tcBorders>
            <w:shd w:val="clear" w:color="auto" w:fill="FFFFFF"/>
            <w:vAlign w:val="center"/>
          </w:tcPr>
          <w:p w14:paraId="19AC822F">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single" w:color="000000" w:sz="8" w:space="0"/>
              <w:right w:val="single" w:color="000000" w:sz="8" w:space="0"/>
            </w:tcBorders>
            <w:shd w:val="clear" w:color="auto" w:fill="FFFFFF"/>
            <w:vAlign w:val="center"/>
          </w:tcPr>
          <w:p w14:paraId="1035C6E1">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18A2F84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8、最大支持5个PCIe 3.0插槽，不含OCP插槽和存储设备专用插槽；</w:t>
            </w:r>
          </w:p>
        </w:tc>
      </w:tr>
      <w:tr w14:paraId="06555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A0BF732">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single" w:color="000000" w:sz="8" w:space="0"/>
              <w:right w:val="single" w:color="000000" w:sz="8" w:space="0"/>
            </w:tcBorders>
            <w:shd w:val="clear" w:color="auto" w:fill="FFFFFF"/>
            <w:vAlign w:val="center"/>
          </w:tcPr>
          <w:p w14:paraId="5C8752D0">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single" w:color="000000" w:sz="8" w:space="0"/>
              <w:right w:val="single" w:color="000000" w:sz="8" w:space="0"/>
            </w:tcBorders>
            <w:shd w:val="clear" w:color="auto" w:fill="FFFFFF"/>
            <w:vAlign w:val="center"/>
          </w:tcPr>
          <w:p w14:paraId="67E2A277">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2D60945D">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9、板载≥4个USB接口，其中USB3.0≥3个；≥2个VGA接口（前后面板各1个）；</w:t>
            </w:r>
          </w:p>
        </w:tc>
      </w:tr>
      <w:tr w14:paraId="7543C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188C3F4">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single" w:color="000000" w:sz="8" w:space="0"/>
              <w:right w:val="single" w:color="000000" w:sz="8" w:space="0"/>
            </w:tcBorders>
            <w:shd w:val="clear" w:color="auto" w:fill="FFFFFF"/>
            <w:vAlign w:val="center"/>
          </w:tcPr>
          <w:p w14:paraId="3410D851">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single" w:color="000000" w:sz="8" w:space="0"/>
              <w:right w:val="single" w:color="000000" w:sz="8" w:space="0"/>
            </w:tcBorders>
            <w:shd w:val="clear" w:color="auto" w:fill="FFFFFF"/>
            <w:vAlign w:val="center"/>
          </w:tcPr>
          <w:p w14:paraId="1C59540F">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7B626FD8">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★10、配置≥2个550W热插拔冗余电源模块，通过80plus铂金认证；配置≥4个热插拔冗余风扇，支持全天候监控设备运行状态，实现故障、停机、宕机适时预警；</w:t>
            </w:r>
          </w:p>
        </w:tc>
      </w:tr>
      <w:tr w14:paraId="16E0C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FA1D826">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single" w:color="000000" w:sz="8" w:space="0"/>
              <w:right w:val="single" w:color="000000" w:sz="8" w:space="0"/>
            </w:tcBorders>
            <w:shd w:val="clear" w:color="auto" w:fill="FFFFFF"/>
            <w:vAlign w:val="center"/>
          </w:tcPr>
          <w:p w14:paraId="2D697660">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single" w:color="000000" w:sz="8" w:space="0"/>
              <w:right w:val="single" w:color="000000" w:sz="8" w:space="0"/>
            </w:tcBorders>
            <w:shd w:val="clear" w:color="auto" w:fill="FFFFFF"/>
            <w:vAlign w:val="center"/>
          </w:tcPr>
          <w:p w14:paraId="61E1DF84">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78253F1A">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提供CNAS认可实验室认证的MTBF时间≥20W小时证书及检测报告（需加盖检测机构公章），提供绿色数据中心认证证书，投标产品须通过3C认证、节能、环境认证证书并提供证书复印件并加盖厂家公章，投标产品须通过可信计算3.0兼容性认证证书</w:t>
            </w:r>
          </w:p>
        </w:tc>
      </w:tr>
      <w:tr w14:paraId="0C8A2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C86AFC3">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single" w:color="000000" w:sz="8" w:space="0"/>
              <w:right w:val="single" w:color="000000" w:sz="8" w:space="0"/>
            </w:tcBorders>
            <w:shd w:val="clear" w:color="auto" w:fill="FFFFFF"/>
            <w:vAlign w:val="center"/>
          </w:tcPr>
          <w:p w14:paraId="41EDFC3E">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single" w:color="000000" w:sz="8" w:space="0"/>
              <w:right w:val="single" w:color="000000" w:sz="8" w:space="0"/>
            </w:tcBorders>
            <w:shd w:val="clear" w:color="auto" w:fill="FFFFFF"/>
            <w:vAlign w:val="center"/>
          </w:tcPr>
          <w:p w14:paraId="1A158A26">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3DAA1A5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提供和服务器、存储、交换机同品牌的国产操作系统，支持安装Intel、AMD、兆芯、海光等主流的X86平台服务器，支持如飞腾、龙芯等非X86架构服务，且操作系统的使用及升级不受服务器数量和核数的限制，并提供操作系统原厂的售后服务。</w:t>
            </w:r>
          </w:p>
        </w:tc>
      </w:tr>
      <w:tr w14:paraId="06C3C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489E18B">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single" w:color="000000" w:sz="8" w:space="0"/>
              <w:right w:val="single" w:color="000000" w:sz="8" w:space="0"/>
            </w:tcBorders>
            <w:shd w:val="clear" w:color="auto" w:fill="FFFFFF"/>
            <w:vAlign w:val="center"/>
          </w:tcPr>
          <w:p w14:paraId="4DE82CAA">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single" w:color="000000" w:sz="8" w:space="0"/>
              <w:right w:val="single" w:color="000000" w:sz="8" w:space="0"/>
            </w:tcBorders>
            <w:shd w:val="clear" w:color="auto" w:fill="FFFFFF"/>
            <w:vAlign w:val="center"/>
          </w:tcPr>
          <w:p w14:paraId="325ED362">
            <w:pPr>
              <w:jc w:val="left"/>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6991950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★13、服务：8年7x24小时电话支持。投标时提供针对该项目原厂授权和产品彩页。供货时提供原厂供货及售后证明函。</w:t>
            </w:r>
          </w:p>
        </w:tc>
      </w:tr>
      <w:tr w14:paraId="3DE75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restart"/>
            <w:tcBorders>
              <w:top w:val="nil"/>
              <w:left w:val="single" w:color="000000" w:sz="8" w:space="0"/>
              <w:bottom w:val="nil"/>
              <w:right w:val="single" w:color="000000" w:sz="8" w:space="0"/>
            </w:tcBorders>
            <w:shd w:val="clear" w:color="auto" w:fill="auto"/>
            <w:noWrap/>
            <w:vAlign w:val="center"/>
          </w:tcPr>
          <w:p w14:paraId="7F7337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607" w:type="dxa"/>
            <w:vMerge w:val="restart"/>
            <w:tcBorders>
              <w:top w:val="nil"/>
              <w:left w:val="single" w:color="000000" w:sz="8" w:space="0"/>
              <w:bottom w:val="nil"/>
              <w:right w:val="single" w:color="000000" w:sz="8" w:space="0"/>
            </w:tcBorders>
            <w:shd w:val="clear" w:color="auto" w:fill="FFFFFF"/>
            <w:vAlign w:val="center"/>
          </w:tcPr>
          <w:p w14:paraId="723987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硬件</w:t>
            </w:r>
          </w:p>
        </w:tc>
        <w:tc>
          <w:tcPr>
            <w:tcW w:w="616" w:type="dxa"/>
            <w:vMerge w:val="restart"/>
            <w:tcBorders>
              <w:top w:val="nil"/>
              <w:left w:val="single" w:color="000000" w:sz="8" w:space="0"/>
              <w:bottom w:val="nil"/>
              <w:right w:val="single" w:color="000000" w:sz="8" w:space="0"/>
            </w:tcBorders>
            <w:shd w:val="clear" w:color="auto" w:fill="FFFFFF"/>
            <w:vAlign w:val="center"/>
          </w:tcPr>
          <w:p w14:paraId="6B8ED8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网络交换机</w:t>
            </w: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4CE5BCA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1、固定千兆端口：24个10/100 /1000Mbps自适应电口、 2个10/100 /1000Mbps光口；</w:t>
            </w:r>
          </w:p>
        </w:tc>
      </w:tr>
      <w:tr w14:paraId="013A2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nil"/>
              <w:right w:val="single" w:color="000000" w:sz="8" w:space="0"/>
            </w:tcBorders>
            <w:shd w:val="clear" w:color="auto" w:fill="auto"/>
            <w:noWrap/>
            <w:vAlign w:val="center"/>
          </w:tcPr>
          <w:p w14:paraId="38B99EC5">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nil"/>
              <w:right w:val="single" w:color="000000" w:sz="8" w:space="0"/>
            </w:tcBorders>
            <w:shd w:val="clear" w:color="auto" w:fill="FFFFFF"/>
            <w:vAlign w:val="center"/>
          </w:tcPr>
          <w:p w14:paraId="098FEC01">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nil"/>
              <w:right w:val="single" w:color="000000" w:sz="8" w:space="0"/>
            </w:tcBorders>
            <w:shd w:val="clear" w:color="auto" w:fill="FFFFFF"/>
            <w:vAlign w:val="center"/>
          </w:tcPr>
          <w:p w14:paraId="73127F1D">
            <w:pPr>
              <w:jc w:val="center"/>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3D78D442">
            <w:pPr>
              <w:keepNext w:val="0"/>
              <w:keepLines w:val="0"/>
              <w:widowControl/>
              <w:suppressLineNumbers w:val="0"/>
              <w:jc w:val="left"/>
              <w:textAlignment w:val="center"/>
              <w:rPr>
                <w:rFonts w:hint="eastAsia" w:ascii="宋体" w:hAnsi="宋体" w:eastAsia="宋体" w:cs="宋体"/>
                <w:i w:val="0"/>
                <w:iCs w:val="0"/>
                <w:color w:val="FF0000"/>
                <w:sz w:val="16"/>
                <w:szCs w:val="16"/>
                <w:u w:val="none"/>
              </w:rPr>
            </w:pPr>
            <w:r>
              <w:rPr>
                <w:rFonts w:hint="eastAsia" w:ascii="宋体" w:hAnsi="宋体" w:eastAsia="宋体" w:cs="宋体"/>
                <w:i w:val="0"/>
                <w:iCs w:val="0"/>
                <w:color w:val="FF0000"/>
                <w:kern w:val="0"/>
                <w:sz w:val="16"/>
                <w:szCs w:val="16"/>
                <w:u w:val="none"/>
                <w:lang w:val="en-US" w:eastAsia="zh-CN" w:bidi="ar"/>
              </w:rPr>
              <w:t xml:space="preserve">2、品牌：国产                   </w:t>
            </w:r>
          </w:p>
        </w:tc>
      </w:tr>
      <w:tr w14:paraId="764C8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nil"/>
              <w:right w:val="single" w:color="000000" w:sz="8" w:space="0"/>
            </w:tcBorders>
            <w:shd w:val="clear" w:color="auto" w:fill="auto"/>
            <w:noWrap/>
            <w:vAlign w:val="center"/>
          </w:tcPr>
          <w:p w14:paraId="521D7884">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nil"/>
              <w:right w:val="single" w:color="000000" w:sz="8" w:space="0"/>
            </w:tcBorders>
            <w:shd w:val="clear" w:color="auto" w:fill="FFFFFF"/>
            <w:vAlign w:val="center"/>
          </w:tcPr>
          <w:p w14:paraId="142C6EB1">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nil"/>
              <w:right w:val="single" w:color="000000" w:sz="8" w:space="0"/>
            </w:tcBorders>
            <w:shd w:val="clear" w:color="auto" w:fill="FFFFFF"/>
            <w:vAlign w:val="center"/>
          </w:tcPr>
          <w:p w14:paraId="30B46679">
            <w:pPr>
              <w:jc w:val="center"/>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11BE747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3、端口缓存：4.1Mbit；</w:t>
            </w:r>
          </w:p>
        </w:tc>
      </w:tr>
      <w:tr w14:paraId="0BB33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nil"/>
              <w:right w:val="single" w:color="000000" w:sz="8" w:space="0"/>
            </w:tcBorders>
            <w:shd w:val="clear" w:color="auto" w:fill="auto"/>
            <w:noWrap/>
            <w:vAlign w:val="center"/>
          </w:tcPr>
          <w:p w14:paraId="4CE4D25A">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nil"/>
              <w:right w:val="single" w:color="000000" w:sz="8" w:space="0"/>
            </w:tcBorders>
            <w:shd w:val="clear" w:color="auto" w:fill="FFFFFF"/>
            <w:vAlign w:val="center"/>
          </w:tcPr>
          <w:p w14:paraId="2AE7EB36">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nil"/>
              <w:right w:val="single" w:color="000000" w:sz="8" w:space="0"/>
            </w:tcBorders>
            <w:shd w:val="clear" w:color="auto" w:fill="FFFFFF"/>
            <w:vAlign w:val="center"/>
          </w:tcPr>
          <w:p w14:paraId="1306B03A">
            <w:pPr>
              <w:jc w:val="center"/>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70C26C1F">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4、支持自动配置功能；</w:t>
            </w:r>
          </w:p>
        </w:tc>
      </w:tr>
      <w:tr w14:paraId="1EA3A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nil"/>
              <w:right w:val="single" w:color="000000" w:sz="8" w:space="0"/>
            </w:tcBorders>
            <w:shd w:val="clear" w:color="auto" w:fill="auto"/>
            <w:noWrap/>
            <w:vAlign w:val="center"/>
          </w:tcPr>
          <w:p w14:paraId="238BC2A1">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nil"/>
              <w:right w:val="single" w:color="000000" w:sz="8" w:space="0"/>
            </w:tcBorders>
            <w:shd w:val="clear" w:color="auto" w:fill="FFFFFF"/>
            <w:vAlign w:val="center"/>
          </w:tcPr>
          <w:p w14:paraId="6519B704">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nil"/>
              <w:right w:val="single" w:color="000000" w:sz="8" w:space="0"/>
            </w:tcBorders>
            <w:shd w:val="clear" w:color="auto" w:fill="FFFFFF"/>
            <w:vAlign w:val="center"/>
          </w:tcPr>
          <w:p w14:paraId="3A958AB5">
            <w:pPr>
              <w:jc w:val="center"/>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0A0AE600">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5、支持CLI配置；</w:t>
            </w:r>
          </w:p>
        </w:tc>
      </w:tr>
      <w:tr w14:paraId="191CA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nil"/>
              <w:right w:val="single" w:color="000000" w:sz="8" w:space="0"/>
            </w:tcBorders>
            <w:shd w:val="clear" w:color="auto" w:fill="auto"/>
            <w:noWrap/>
            <w:vAlign w:val="center"/>
          </w:tcPr>
          <w:p w14:paraId="7F693338">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nil"/>
              <w:right w:val="single" w:color="000000" w:sz="8" w:space="0"/>
            </w:tcBorders>
            <w:shd w:val="clear" w:color="auto" w:fill="FFFFFF"/>
            <w:vAlign w:val="center"/>
          </w:tcPr>
          <w:p w14:paraId="281B98B8">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nil"/>
              <w:right w:val="single" w:color="000000" w:sz="8" w:space="0"/>
            </w:tcBorders>
            <w:shd w:val="clear" w:color="auto" w:fill="FFFFFF"/>
            <w:vAlign w:val="center"/>
          </w:tcPr>
          <w:p w14:paraId="12207C79">
            <w:pPr>
              <w:jc w:val="center"/>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2288929A">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6、支持端口隔离、支持CPU保护功能；</w:t>
            </w:r>
          </w:p>
        </w:tc>
      </w:tr>
      <w:tr w14:paraId="627E4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nil"/>
              <w:right w:val="single" w:color="000000" w:sz="8" w:space="0"/>
            </w:tcBorders>
            <w:shd w:val="clear" w:color="auto" w:fill="auto"/>
            <w:noWrap/>
            <w:vAlign w:val="center"/>
          </w:tcPr>
          <w:p w14:paraId="6FA3F6CA">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nil"/>
              <w:right w:val="single" w:color="000000" w:sz="8" w:space="0"/>
            </w:tcBorders>
            <w:shd w:val="clear" w:color="auto" w:fill="FFFFFF"/>
            <w:vAlign w:val="center"/>
          </w:tcPr>
          <w:p w14:paraId="4DFF91D2">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nil"/>
              <w:right w:val="single" w:color="000000" w:sz="8" w:space="0"/>
            </w:tcBorders>
            <w:shd w:val="clear" w:color="auto" w:fill="FFFFFF"/>
            <w:vAlign w:val="center"/>
          </w:tcPr>
          <w:p w14:paraId="5BDF79C0">
            <w:pPr>
              <w:jc w:val="center"/>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0B887ABA">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7、支持IPV协议、支持配置静态路由；</w:t>
            </w:r>
          </w:p>
        </w:tc>
      </w:tr>
      <w:tr w14:paraId="79D9F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nil"/>
              <w:right w:val="single" w:color="000000" w:sz="8" w:space="0"/>
            </w:tcBorders>
            <w:shd w:val="clear" w:color="auto" w:fill="auto"/>
            <w:noWrap/>
            <w:vAlign w:val="center"/>
          </w:tcPr>
          <w:p w14:paraId="644036E1">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nil"/>
              <w:right w:val="single" w:color="000000" w:sz="8" w:space="0"/>
            </w:tcBorders>
            <w:shd w:val="clear" w:color="auto" w:fill="FFFFFF"/>
            <w:vAlign w:val="center"/>
          </w:tcPr>
          <w:p w14:paraId="65E0CF9B">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nil"/>
              <w:right w:val="single" w:color="000000" w:sz="8" w:space="0"/>
            </w:tcBorders>
            <w:shd w:val="clear" w:color="auto" w:fill="FFFFFF"/>
            <w:vAlign w:val="center"/>
          </w:tcPr>
          <w:p w14:paraId="5D26BD3B">
            <w:pPr>
              <w:jc w:val="center"/>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4527ED96">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8、大功率：18W；</w:t>
            </w:r>
          </w:p>
        </w:tc>
      </w:tr>
      <w:tr w14:paraId="2E0B0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nil"/>
              <w:right w:val="single" w:color="000000" w:sz="8" w:space="0"/>
            </w:tcBorders>
            <w:shd w:val="clear" w:color="auto" w:fill="auto"/>
            <w:noWrap/>
            <w:vAlign w:val="center"/>
          </w:tcPr>
          <w:p w14:paraId="26EB9BFB">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nil"/>
              <w:right w:val="single" w:color="000000" w:sz="8" w:space="0"/>
            </w:tcBorders>
            <w:shd w:val="clear" w:color="auto" w:fill="FFFFFF"/>
            <w:vAlign w:val="center"/>
          </w:tcPr>
          <w:p w14:paraId="4358EDAC">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nil"/>
              <w:right w:val="single" w:color="000000" w:sz="8" w:space="0"/>
            </w:tcBorders>
            <w:shd w:val="clear" w:color="auto" w:fill="FFFFFF"/>
            <w:vAlign w:val="center"/>
          </w:tcPr>
          <w:p w14:paraId="2C85CBD8">
            <w:pPr>
              <w:jc w:val="center"/>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23FB3389">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9、尺寸：440*240*44mm</w:t>
            </w:r>
          </w:p>
        </w:tc>
      </w:tr>
      <w:tr w14:paraId="4C152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nil"/>
              <w:right w:val="single" w:color="000000" w:sz="8" w:space="0"/>
            </w:tcBorders>
            <w:shd w:val="clear" w:color="auto" w:fill="auto"/>
            <w:noWrap/>
            <w:vAlign w:val="center"/>
          </w:tcPr>
          <w:p w14:paraId="23FE8CF0">
            <w:pPr>
              <w:jc w:val="center"/>
              <w:rPr>
                <w:rFonts w:hint="eastAsia" w:ascii="宋体" w:hAnsi="宋体" w:eastAsia="宋体" w:cs="宋体"/>
                <w:i w:val="0"/>
                <w:iCs w:val="0"/>
                <w:color w:val="000000"/>
                <w:sz w:val="16"/>
                <w:szCs w:val="16"/>
                <w:u w:val="none"/>
              </w:rPr>
            </w:pPr>
          </w:p>
        </w:tc>
        <w:tc>
          <w:tcPr>
            <w:tcW w:w="607" w:type="dxa"/>
            <w:vMerge w:val="continue"/>
            <w:tcBorders>
              <w:top w:val="nil"/>
              <w:left w:val="single" w:color="000000" w:sz="8" w:space="0"/>
              <w:bottom w:val="nil"/>
              <w:right w:val="single" w:color="000000" w:sz="8" w:space="0"/>
            </w:tcBorders>
            <w:shd w:val="clear" w:color="auto" w:fill="FFFFFF"/>
            <w:vAlign w:val="center"/>
          </w:tcPr>
          <w:p w14:paraId="578D850A">
            <w:pPr>
              <w:jc w:val="center"/>
              <w:rPr>
                <w:rFonts w:hint="eastAsia" w:ascii="宋体" w:hAnsi="宋体" w:eastAsia="宋体" w:cs="宋体"/>
                <w:i w:val="0"/>
                <w:iCs w:val="0"/>
                <w:color w:val="000000"/>
                <w:sz w:val="16"/>
                <w:szCs w:val="16"/>
                <w:u w:val="none"/>
              </w:rPr>
            </w:pPr>
          </w:p>
        </w:tc>
        <w:tc>
          <w:tcPr>
            <w:tcW w:w="616" w:type="dxa"/>
            <w:vMerge w:val="continue"/>
            <w:tcBorders>
              <w:top w:val="nil"/>
              <w:left w:val="single" w:color="000000" w:sz="8" w:space="0"/>
              <w:bottom w:val="nil"/>
              <w:right w:val="single" w:color="000000" w:sz="8" w:space="0"/>
            </w:tcBorders>
            <w:shd w:val="clear" w:color="auto" w:fill="FFFFFF"/>
            <w:vAlign w:val="center"/>
          </w:tcPr>
          <w:p w14:paraId="7BFA8D44">
            <w:pPr>
              <w:jc w:val="center"/>
              <w:rPr>
                <w:rFonts w:hint="eastAsia" w:ascii="宋体" w:hAnsi="宋体" w:eastAsia="宋体" w:cs="宋体"/>
                <w:i w:val="0"/>
                <w:iCs w:val="0"/>
                <w:color w:val="000000"/>
                <w:sz w:val="16"/>
                <w:szCs w:val="16"/>
                <w:u w:val="none"/>
              </w:rPr>
            </w:pPr>
          </w:p>
        </w:tc>
        <w:tc>
          <w:tcPr>
            <w:tcW w:w="6342" w:type="dxa"/>
            <w:tcBorders>
              <w:top w:val="nil"/>
              <w:left w:val="single" w:color="000000" w:sz="8" w:space="0"/>
              <w:bottom w:val="single" w:color="000000" w:sz="8" w:space="0"/>
              <w:right w:val="single" w:color="000000" w:sz="8" w:space="0"/>
            </w:tcBorders>
            <w:shd w:val="clear" w:color="auto" w:fill="auto"/>
            <w:vAlign w:val="center"/>
          </w:tcPr>
          <w:p w14:paraId="6BDA3D4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10、安规：符合GB4943</w:t>
            </w:r>
          </w:p>
        </w:tc>
      </w:tr>
      <w:tr w14:paraId="3320C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restart"/>
            <w:tcBorders>
              <w:top w:val="single" w:color="000000" w:sz="8" w:space="0"/>
              <w:left w:val="single" w:color="000000" w:sz="8" w:space="0"/>
              <w:bottom w:val="single" w:color="000000" w:sz="4" w:space="0"/>
              <w:right w:val="single" w:color="000000" w:sz="8" w:space="0"/>
            </w:tcBorders>
            <w:shd w:val="clear" w:color="auto" w:fill="auto"/>
            <w:noWrap/>
            <w:vAlign w:val="center"/>
          </w:tcPr>
          <w:p w14:paraId="71C61A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607" w:type="dxa"/>
            <w:vMerge w:val="restart"/>
            <w:tcBorders>
              <w:top w:val="single" w:color="000000" w:sz="8" w:space="0"/>
              <w:left w:val="single" w:color="000000" w:sz="8" w:space="0"/>
              <w:bottom w:val="single" w:color="000000" w:sz="4" w:space="0"/>
              <w:right w:val="single" w:color="000000" w:sz="8" w:space="0"/>
            </w:tcBorders>
            <w:shd w:val="clear" w:color="auto" w:fill="FFFFFF"/>
            <w:vAlign w:val="center"/>
          </w:tcPr>
          <w:p w14:paraId="0F1961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硬件</w:t>
            </w:r>
          </w:p>
        </w:tc>
        <w:tc>
          <w:tcPr>
            <w:tcW w:w="616" w:type="dxa"/>
            <w:vMerge w:val="restart"/>
            <w:tcBorders>
              <w:top w:val="single" w:color="000000" w:sz="8" w:space="0"/>
              <w:left w:val="single" w:color="000000" w:sz="8" w:space="0"/>
              <w:bottom w:val="single" w:color="000000" w:sz="4" w:space="0"/>
              <w:right w:val="single" w:color="000000" w:sz="8" w:space="0"/>
            </w:tcBorders>
            <w:shd w:val="clear" w:color="auto" w:fill="FFFFFF"/>
            <w:vAlign w:val="center"/>
          </w:tcPr>
          <w:p w14:paraId="658E53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数据采集器</w:t>
            </w:r>
          </w:p>
        </w:tc>
        <w:tc>
          <w:tcPr>
            <w:tcW w:w="6342" w:type="dxa"/>
            <w:tcBorders>
              <w:top w:val="nil"/>
              <w:left w:val="nil"/>
              <w:bottom w:val="single" w:color="000000" w:sz="8" w:space="0"/>
              <w:right w:val="single" w:color="000000" w:sz="8" w:space="0"/>
            </w:tcBorders>
            <w:shd w:val="clear" w:color="auto" w:fill="auto"/>
            <w:vAlign w:val="center"/>
          </w:tcPr>
          <w:p w14:paraId="5950799D">
            <w:pPr>
              <w:keepNext w:val="0"/>
              <w:keepLines w:val="0"/>
              <w:widowControl/>
              <w:suppressLineNumbers w:val="0"/>
              <w:jc w:val="left"/>
              <w:textAlignment w:val="center"/>
              <w:rPr>
                <w:rFonts w:hint="eastAsia" w:ascii="宋体" w:hAnsi="宋体" w:eastAsia="宋体" w:cs="宋体"/>
                <w:i w:val="0"/>
                <w:iCs w:val="0"/>
                <w:color w:val="FF0000"/>
                <w:sz w:val="16"/>
                <w:szCs w:val="16"/>
                <w:u w:val="none"/>
              </w:rPr>
            </w:pPr>
            <w:r>
              <w:rPr>
                <w:rFonts w:hint="eastAsia" w:ascii="宋体" w:hAnsi="宋体" w:eastAsia="宋体" w:cs="宋体"/>
                <w:i w:val="0"/>
                <w:iCs w:val="0"/>
                <w:color w:val="FF0000"/>
                <w:kern w:val="0"/>
                <w:sz w:val="16"/>
                <w:szCs w:val="16"/>
                <w:u w:val="none"/>
                <w:lang w:val="en-US" w:eastAsia="zh-CN" w:bidi="ar"/>
              </w:rPr>
              <w:t>1、芯片：国产</w:t>
            </w:r>
          </w:p>
        </w:tc>
      </w:tr>
      <w:tr w14:paraId="2BB1A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6F81F36">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1908451B">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6478A73E">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2018F19C">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2、上行：以太网通讯、下行：RS485通讯；</w:t>
            </w:r>
          </w:p>
        </w:tc>
      </w:tr>
      <w:tr w14:paraId="047E5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AA4970F">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5A1B1085">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47768034">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52B94E46">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3、电源电压： AC/DC 220V (85-265V)；</w:t>
            </w:r>
          </w:p>
        </w:tc>
      </w:tr>
      <w:tr w14:paraId="4267F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1F279CF7">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46DA7E45">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035FD023">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278117A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4、频率及功耗：50Hz(45~65Hz)，功耗≤10W；</w:t>
            </w:r>
          </w:p>
        </w:tc>
      </w:tr>
      <w:tr w14:paraId="0FFA9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79235609">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1738ADF9">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0A125A8C">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496CC1FD">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5、安全性：工频耐压:电源和通信端子间历时1min:2kV(220V设备)、1.5kV(24V设备)；</w:t>
            </w:r>
          </w:p>
        </w:tc>
      </w:tr>
      <w:tr w14:paraId="0008F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672D5FE9">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3AF9FFE2">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04A18E78">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3CF54D8A">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6、绝缘电阻:一般试验大气条件下，输入、输出端对机壳&gt;100MQ；</w:t>
            </w:r>
          </w:p>
        </w:tc>
      </w:tr>
      <w:tr w14:paraId="0E73B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298D0D50">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3CFAF252">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71D3296A">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71E2682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7、环境 工作温度:-20℃~+55C 存储运输温度:-25C~+70°℃；</w:t>
            </w:r>
          </w:p>
        </w:tc>
      </w:tr>
      <w:tr w14:paraId="412E5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6C10EB7">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5EB98810">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6C86137E">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74396E76">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8、相对湿度:≤95%(+25℃) 海拔高度:≤2500m；</w:t>
            </w:r>
          </w:p>
        </w:tc>
      </w:tr>
      <w:tr w14:paraId="70CFD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5D652C5F">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2EE0FF45">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3DF5A1B2">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2F1503E8">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9、RJ45网口：2路 10/100M自适应；</w:t>
            </w:r>
          </w:p>
        </w:tc>
      </w:tr>
      <w:tr w14:paraId="08AF5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0DD00504">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6556EB99">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7DC2524E">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3EBF36E8">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10、其它接口： 1 *RS232管理串口+1*USB2.0+SD Card标准插槽，支持存储扩展，断点续传；</w:t>
            </w:r>
          </w:p>
        </w:tc>
      </w:tr>
      <w:tr w14:paraId="26534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4" w:space="0"/>
              <w:right w:val="single" w:color="000000" w:sz="8" w:space="0"/>
            </w:tcBorders>
            <w:shd w:val="clear" w:color="auto" w:fill="auto"/>
            <w:noWrap/>
            <w:vAlign w:val="center"/>
          </w:tcPr>
          <w:p w14:paraId="40C51A31">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685830F5">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4" w:space="0"/>
              <w:right w:val="single" w:color="000000" w:sz="8" w:space="0"/>
            </w:tcBorders>
            <w:shd w:val="clear" w:color="auto" w:fill="FFFFFF"/>
            <w:vAlign w:val="center"/>
          </w:tcPr>
          <w:p w14:paraId="53A9A9EF">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75426A1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11、性能：对一卡通消费数据进行采集及上传到数据库服务器</w:t>
            </w:r>
          </w:p>
        </w:tc>
      </w:tr>
      <w:tr w14:paraId="24F7C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restart"/>
            <w:tcBorders>
              <w:top w:val="single" w:color="000000" w:sz="8" w:space="0"/>
              <w:left w:val="single" w:color="000000" w:sz="8" w:space="0"/>
              <w:bottom w:val="nil"/>
              <w:right w:val="single" w:color="000000" w:sz="8" w:space="0"/>
            </w:tcBorders>
            <w:shd w:val="clear" w:color="auto" w:fill="auto"/>
            <w:noWrap/>
            <w:vAlign w:val="center"/>
          </w:tcPr>
          <w:p w14:paraId="551E94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607" w:type="dxa"/>
            <w:vMerge w:val="restart"/>
            <w:tcBorders>
              <w:top w:val="single" w:color="000000" w:sz="8" w:space="0"/>
              <w:left w:val="nil"/>
              <w:bottom w:val="nil"/>
              <w:right w:val="single" w:color="000000" w:sz="8" w:space="0"/>
            </w:tcBorders>
            <w:shd w:val="clear" w:color="auto" w:fill="FFFFFF"/>
            <w:vAlign w:val="center"/>
          </w:tcPr>
          <w:p w14:paraId="1D724E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硬件</w:t>
            </w:r>
          </w:p>
        </w:tc>
        <w:tc>
          <w:tcPr>
            <w:tcW w:w="616" w:type="dxa"/>
            <w:vMerge w:val="restart"/>
            <w:tcBorders>
              <w:top w:val="single" w:color="000000" w:sz="8" w:space="0"/>
              <w:left w:val="nil"/>
              <w:bottom w:val="nil"/>
              <w:right w:val="single" w:color="000000" w:sz="8" w:space="0"/>
            </w:tcBorders>
            <w:shd w:val="clear" w:color="auto" w:fill="FFFFFF"/>
            <w:vAlign w:val="center"/>
          </w:tcPr>
          <w:p w14:paraId="48634C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UPS后备电源</w:t>
            </w:r>
          </w:p>
        </w:tc>
        <w:tc>
          <w:tcPr>
            <w:tcW w:w="6342" w:type="dxa"/>
            <w:tcBorders>
              <w:top w:val="nil"/>
              <w:left w:val="nil"/>
              <w:bottom w:val="single" w:color="000000" w:sz="8" w:space="0"/>
              <w:right w:val="single" w:color="000000" w:sz="8" w:space="0"/>
            </w:tcBorders>
            <w:shd w:val="clear" w:color="auto" w:fill="auto"/>
            <w:vAlign w:val="center"/>
          </w:tcPr>
          <w:p w14:paraId="311BED9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1、伏安额定值：1KVA；</w:t>
            </w:r>
          </w:p>
        </w:tc>
      </w:tr>
      <w:tr w14:paraId="25449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725E23B5">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6CABF24A">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6C437886">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160644F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2、瓦特额定值：800W；</w:t>
            </w:r>
          </w:p>
        </w:tc>
      </w:tr>
      <w:tr w14:paraId="05CBB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1F9FF2ED">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5EA8B9B5">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04546356">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105B1BB8">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3、电压：160Vac-276Vac；</w:t>
            </w:r>
          </w:p>
        </w:tc>
      </w:tr>
      <w:tr w14:paraId="740BE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1A7AC571">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16C1A5F1">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6474B0AE">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14E25898">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4、频率：50Hz±5%；</w:t>
            </w:r>
          </w:p>
        </w:tc>
      </w:tr>
      <w:tr w14:paraId="21CAD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0EDC8C13">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0FA295A2">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07CBC07B">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0BF42F7F">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5、功率因素滞后：&gt;0.95；</w:t>
            </w:r>
          </w:p>
        </w:tc>
      </w:tr>
      <w:tr w14:paraId="3D9A7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5489D067">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2D4AF4F1">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4ED4B1F1">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7560FF48">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6、电压：220Vac～±3%；</w:t>
            </w:r>
          </w:p>
        </w:tc>
      </w:tr>
      <w:tr w14:paraId="345DD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358CED3C">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72191EC9">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5C9CC8A4">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55CFB4EC">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7、频率：50Hz±0.5%；</w:t>
            </w:r>
          </w:p>
        </w:tc>
      </w:tr>
      <w:tr w14:paraId="03E6D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5006BA0C">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5BF0AD71">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41B938F9">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69F7EFE2">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8、波形与失真：正弦波THD＜3%；</w:t>
            </w:r>
          </w:p>
        </w:tc>
      </w:tr>
      <w:tr w14:paraId="50301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06956B79">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508C72E7">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16C0B7DE">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09A7B65C">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9、动态响应：满载±3%，稳定时间为20毫秒；</w:t>
            </w:r>
          </w:p>
        </w:tc>
      </w:tr>
      <w:tr w14:paraId="0709E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37B5B00D">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292BE4DC">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5575697D">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0D770C0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10、峰值比：&gt;3：1；</w:t>
            </w:r>
          </w:p>
        </w:tc>
      </w:tr>
      <w:tr w14:paraId="0D7D8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6D41393D">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40D909AC">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3E326320">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794BC99D">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11、系统效率(满载)：正常工作状态93%；逆变(电池)工作状态96%；</w:t>
            </w:r>
          </w:p>
        </w:tc>
      </w:tr>
      <w:tr w14:paraId="0C42F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79A83249">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0CC88CD4">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7757A99E">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0390DC5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12、外接山特电池：12V、100AH  3块；</w:t>
            </w:r>
          </w:p>
        </w:tc>
      </w:tr>
      <w:tr w14:paraId="68320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496866C5">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6145D858">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2FE60A84">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04BFE360">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13、供电时间(满/半载)：120/240分钟；</w:t>
            </w:r>
          </w:p>
        </w:tc>
      </w:tr>
      <w:tr w14:paraId="49D1B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1A5A4D90">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4F7210B8">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01290CDE">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7669087C">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14、接口：RS232串行接口；</w:t>
            </w:r>
          </w:p>
        </w:tc>
      </w:tr>
      <w:tr w14:paraId="6BB25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5ED82A71">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35BB8BDE">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1B7D2310">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1EB492D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15、电池低电压 短路、超载、过稳保护；</w:t>
            </w:r>
          </w:p>
        </w:tc>
      </w:tr>
      <w:tr w14:paraId="2FF38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0D6926F8">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604444F7">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3A813722">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14CCC6A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16、尺寸(mm)195×455×330；</w:t>
            </w:r>
          </w:p>
        </w:tc>
      </w:tr>
      <w:tr w14:paraId="74518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4A260D23">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53242CE0">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01BD01AC">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39DA8F28">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17、重量Kg()：34/16；</w:t>
            </w:r>
          </w:p>
        </w:tc>
      </w:tr>
      <w:tr w14:paraId="7327B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0CB62C44">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nil"/>
              <w:bottom w:val="nil"/>
              <w:right w:val="single" w:color="000000" w:sz="8" w:space="0"/>
            </w:tcBorders>
            <w:shd w:val="clear" w:color="auto" w:fill="FFFFFF"/>
            <w:vAlign w:val="center"/>
          </w:tcPr>
          <w:p w14:paraId="2544D8B1">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nil"/>
              <w:bottom w:val="nil"/>
              <w:right w:val="single" w:color="000000" w:sz="8" w:space="0"/>
            </w:tcBorders>
            <w:shd w:val="clear" w:color="auto" w:fill="FFFFFF"/>
            <w:vAlign w:val="center"/>
          </w:tcPr>
          <w:p w14:paraId="126837DD">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2449BDD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18、噪音(一米内)：＜50dB；</w:t>
            </w:r>
          </w:p>
        </w:tc>
      </w:tr>
      <w:tr w14:paraId="4337B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restart"/>
            <w:tcBorders>
              <w:top w:val="single" w:color="000000" w:sz="8" w:space="0"/>
              <w:left w:val="single" w:color="000000" w:sz="8" w:space="0"/>
              <w:bottom w:val="nil"/>
              <w:right w:val="single" w:color="000000" w:sz="8" w:space="0"/>
            </w:tcBorders>
            <w:shd w:val="clear" w:color="auto" w:fill="auto"/>
            <w:noWrap/>
            <w:vAlign w:val="center"/>
          </w:tcPr>
          <w:p w14:paraId="5D9114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607" w:type="dxa"/>
            <w:vMerge w:val="restart"/>
            <w:tcBorders>
              <w:top w:val="single" w:color="000000" w:sz="8" w:space="0"/>
              <w:left w:val="single" w:color="000000" w:sz="8" w:space="0"/>
              <w:bottom w:val="nil"/>
              <w:right w:val="single" w:color="000000" w:sz="8" w:space="0"/>
            </w:tcBorders>
            <w:shd w:val="clear" w:color="auto" w:fill="FFFFFF"/>
            <w:vAlign w:val="center"/>
          </w:tcPr>
          <w:p w14:paraId="11F168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硬件</w:t>
            </w:r>
          </w:p>
        </w:tc>
        <w:tc>
          <w:tcPr>
            <w:tcW w:w="616" w:type="dxa"/>
            <w:vMerge w:val="restart"/>
            <w:tcBorders>
              <w:top w:val="single" w:color="000000" w:sz="8" w:space="0"/>
              <w:left w:val="single" w:color="000000" w:sz="8" w:space="0"/>
              <w:bottom w:val="nil"/>
              <w:right w:val="single" w:color="000000" w:sz="8" w:space="0"/>
            </w:tcBorders>
            <w:shd w:val="clear" w:color="auto" w:fill="FFFFFF"/>
            <w:vAlign w:val="center"/>
          </w:tcPr>
          <w:p w14:paraId="34C16D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自助服务终端机</w:t>
            </w:r>
          </w:p>
        </w:tc>
        <w:tc>
          <w:tcPr>
            <w:tcW w:w="6342" w:type="dxa"/>
            <w:tcBorders>
              <w:top w:val="nil"/>
              <w:left w:val="nil"/>
              <w:bottom w:val="single" w:color="000000" w:sz="8" w:space="0"/>
              <w:right w:val="single" w:color="000000" w:sz="8" w:space="0"/>
            </w:tcBorders>
            <w:shd w:val="clear" w:color="auto" w:fill="auto"/>
            <w:vAlign w:val="center"/>
          </w:tcPr>
          <w:p w14:paraId="6D0CECE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1、背光类型/Back light Unit：LED</w:t>
            </w:r>
          </w:p>
        </w:tc>
      </w:tr>
      <w:tr w14:paraId="154E2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41D0ECAB">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nil"/>
              <w:right w:val="single" w:color="000000" w:sz="8" w:space="0"/>
            </w:tcBorders>
            <w:shd w:val="clear" w:color="auto" w:fill="FFFFFF"/>
            <w:vAlign w:val="center"/>
          </w:tcPr>
          <w:p w14:paraId="4044B253">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nil"/>
              <w:right w:val="single" w:color="000000" w:sz="8" w:space="0"/>
            </w:tcBorders>
            <w:shd w:val="clear" w:color="auto" w:fill="FFFFFF"/>
            <w:vAlign w:val="center"/>
          </w:tcPr>
          <w:p w14:paraId="5E9495B1">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10E6FC4C">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2、屏幕尺寸/Panel Size (inch)：21.5寸</w:t>
            </w:r>
          </w:p>
        </w:tc>
      </w:tr>
      <w:tr w14:paraId="53637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52F25A18">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nil"/>
              <w:right w:val="single" w:color="000000" w:sz="8" w:space="0"/>
            </w:tcBorders>
            <w:shd w:val="clear" w:color="auto" w:fill="FFFFFF"/>
            <w:vAlign w:val="center"/>
          </w:tcPr>
          <w:p w14:paraId="467BC941">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nil"/>
              <w:right w:val="single" w:color="000000" w:sz="8" w:space="0"/>
            </w:tcBorders>
            <w:shd w:val="clear" w:color="auto" w:fill="FFFFFF"/>
            <w:vAlign w:val="center"/>
          </w:tcPr>
          <w:p w14:paraId="409BE51F">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018792B9">
            <w:pPr>
              <w:keepNext w:val="0"/>
              <w:keepLines w:val="0"/>
              <w:widowControl/>
              <w:suppressLineNumbers w:val="0"/>
              <w:jc w:val="left"/>
              <w:textAlignment w:val="center"/>
              <w:rPr>
                <w:rFonts w:hint="eastAsia" w:ascii="宋体" w:hAnsi="宋体" w:eastAsia="宋体" w:cs="宋体"/>
                <w:i w:val="0"/>
                <w:iCs w:val="0"/>
                <w:color w:val="FF0000"/>
                <w:sz w:val="16"/>
                <w:szCs w:val="16"/>
                <w:u w:val="none"/>
              </w:rPr>
            </w:pPr>
            <w:r>
              <w:rPr>
                <w:rFonts w:hint="eastAsia" w:ascii="宋体" w:hAnsi="宋体" w:eastAsia="宋体" w:cs="宋体"/>
                <w:i w:val="0"/>
                <w:iCs w:val="0"/>
                <w:color w:val="FF0000"/>
                <w:kern w:val="0"/>
                <w:sz w:val="16"/>
                <w:szCs w:val="16"/>
                <w:u w:val="none"/>
                <w:lang w:val="en-US" w:eastAsia="zh-CN" w:bidi="ar"/>
              </w:rPr>
              <w:t>3、芯片：国产</w:t>
            </w:r>
          </w:p>
        </w:tc>
      </w:tr>
      <w:tr w14:paraId="75986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3238877D">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nil"/>
              <w:right w:val="single" w:color="000000" w:sz="8" w:space="0"/>
            </w:tcBorders>
            <w:shd w:val="clear" w:color="auto" w:fill="FFFFFF"/>
            <w:vAlign w:val="center"/>
          </w:tcPr>
          <w:p w14:paraId="4E92503A">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nil"/>
              <w:right w:val="single" w:color="000000" w:sz="8" w:space="0"/>
            </w:tcBorders>
            <w:shd w:val="clear" w:color="auto" w:fill="FFFFFF"/>
            <w:vAlign w:val="center"/>
          </w:tcPr>
          <w:p w14:paraId="2EDFBBCF">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411A8BC9">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4、分辨率/Display Resolution：1920*1080</w:t>
            </w:r>
          </w:p>
        </w:tc>
      </w:tr>
      <w:tr w14:paraId="31538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30570B66">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nil"/>
              <w:right w:val="single" w:color="000000" w:sz="8" w:space="0"/>
            </w:tcBorders>
            <w:shd w:val="clear" w:color="auto" w:fill="FFFFFF"/>
            <w:vAlign w:val="center"/>
          </w:tcPr>
          <w:p w14:paraId="68F5917F">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nil"/>
              <w:right w:val="single" w:color="000000" w:sz="8" w:space="0"/>
            </w:tcBorders>
            <w:shd w:val="clear" w:color="auto" w:fill="FFFFFF"/>
            <w:vAlign w:val="center"/>
          </w:tcPr>
          <w:p w14:paraId="6335F593">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5470E166">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5、显示尺寸/Display Area：475.5*267.2mm</w:t>
            </w:r>
          </w:p>
        </w:tc>
      </w:tr>
      <w:tr w14:paraId="71A98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3F9995E4">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nil"/>
              <w:right w:val="single" w:color="000000" w:sz="8" w:space="0"/>
            </w:tcBorders>
            <w:shd w:val="clear" w:color="auto" w:fill="FFFFFF"/>
            <w:vAlign w:val="center"/>
          </w:tcPr>
          <w:p w14:paraId="317FDB39">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nil"/>
              <w:right w:val="single" w:color="000000" w:sz="8" w:space="0"/>
            </w:tcBorders>
            <w:shd w:val="clear" w:color="auto" w:fill="FFFFFF"/>
            <w:vAlign w:val="center"/>
          </w:tcPr>
          <w:p w14:paraId="22ED2111">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3EABE95F">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6、系统/system：Android 7.0</w:t>
            </w:r>
          </w:p>
        </w:tc>
      </w:tr>
      <w:tr w14:paraId="2CCA3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5AFBDE33">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nil"/>
              <w:right w:val="single" w:color="000000" w:sz="8" w:space="0"/>
            </w:tcBorders>
            <w:shd w:val="clear" w:color="auto" w:fill="FFFFFF"/>
            <w:vAlign w:val="center"/>
          </w:tcPr>
          <w:p w14:paraId="494C8ABB">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nil"/>
              <w:right w:val="single" w:color="000000" w:sz="8" w:space="0"/>
            </w:tcBorders>
            <w:shd w:val="clear" w:color="auto" w:fill="FFFFFF"/>
            <w:vAlign w:val="center"/>
          </w:tcPr>
          <w:p w14:paraId="616A04C8">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47BD372F">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7、CPU：Cortex-A17四核，主频1.8GHz</w:t>
            </w:r>
          </w:p>
        </w:tc>
      </w:tr>
      <w:tr w14:paraId="1BE01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501F35D9">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nil"/>
              <w:right w:val="single" w:color="000000" w:sz="8" w:space="0"/>
            </w:tcBorders>
            <w:shd w:val="clear" w:color="auto" w:fill="FFFFFF"/>
            <w:vAlign w:val="center"/>
          </w:tcPr>
          <w:p w14:paraId="38A6807E">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nil"/>
              <w:right w:val="single" w:color="000000" w:sz="8" w:space="0"/>
            </w:tcBorders>
            <w:shd w:val="clear" w:color="auto" w:fill="FFFFFF"/>
            <w:vAlign w:val="center"/>
          </w:tcPr>
          <w:p w14:paraId="7277E9A6">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6DEB4A7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8、RAM：2GB</w:t>
            </w:r>
          </w:p>
        </w:tc>
      </w:tr>
      <w:tr w14:paraId="09702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7926262C">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nil"/>
              <w:right w:val="single" w:color="000000" w:sz="8" w:space="0"/>
            </w:tcBorders>
            <w:shd w:val="clear" w:color="auto" w:fill="FFFFFF"/>
            <w:vAlign w:val="center"/>
          </w:tcPr>
          <w:p w14:paraId="3BC1D36D">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nil"/>
              <w:right w:val="single" w:color="000000" w:sz="8" w:space="0"/>
            </w:tcBorders>
            <w:shd w:val="clear" w:color="auto" w:fill="FFFFFF"/>
            <w:vAlign w:val="center"/>
          </w:tcPr>
          <w:p w14:paraId="4D4580FF">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7FA23FC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9、ROM：16GB EMMC</w:t>
            </w:r>
          </w:p>
        </w:tc>
      </w:tr>
      <w:tr w14:paraId="3C298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7297AAA3">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nil"/>
              <w:right w:val="single" w:color="000000" w:sz="8" w:space="0"/>
            </w:tcBorders>
            <w:shd w:val="clear" w:color="auto" w:fill="FFFFFF"/>
            <w:vAlign w:val="center"/>
          </w:tcPr>
          <w:p w14:paraId="303300DE">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nil"/>
              <w:right w:val="single" w:color="000000" w:sz="8" w:space="0"/>
            </w:tcBorders>
            <w:shd w:val="clear" w:color="auto" w:fill="FFFFFF"/>
            <w:vAlign w:val="center"/>
          </w:tcPr>
          <w:p w14:paraId="61571188">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2A42D91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10、RJ45 以太网接口：1（10M/100M）</w:t>
            </w:r>
          </w:p>
        </w:tc>
      </w:tr>
      <w:tr w14:paraId="42E3B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6ED99976">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nil"/>
              <w:right w:val="single" w:color="000000" w:sz="8" w:space="0"/>
            </w:tcBorders>
            <w:shd w:val="clear" w:color="auto" w:fill="FFFFFF"/>
            <w:vAlign w:val="center"/>
          </w:tcPr>
          <w:p w14:paraId="11851507">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nil"/>
              <w:right w:val="single" w:color="000000" w:sz="8" w:space="0"/>
            </w:tcBorders>
            <w:shd w:val="clear" w:color="auto" w:fill="FFFFFF"/>
            <w:vAlign w:val="center"/>
          </w:tcPr>
          <w:p w14:paraId="2D4E974A">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6BF9F70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11、WIFI：内置 2.4GHz WIFI 天线</w:t>
            </w:r>
          </w:p>
        </w:tc>
      </w:tr>
      <w:tr w14:paraId="398A3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05BF6418">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nil"/>
              <w:right w:val="single" w:color="000000" w:sz="8" w:space="0"/>
            </w:tcBorders>
            <w:shd w:val="clear" w:color="auto" w:fill="FFFFFF"/>
            <w:vAlign w:val="center"/>
          </w:tcPr>
          <w:p w14:paraId="553F605F">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nil"/>
              <w:right w:val="single" w:color="000000" w:sz="8" w:space="0"/>
            </w:tcBorders>
            <w:shd w:val="clear" w:color="auto" w:fill="FFFFFF"/>
            <w:vAlign w:val="center"/>
          </w:tcPr>
          <w:p w14:paraId="45D9A9C9">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3CF8053F">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12、支持卡类型：A-S50/S70/ULTRALIGHT卡/B-14443A/D-S50卡</w:t>
            </w:r>
          </w:p>
        </w:tc>
      </w:tr>
      <w:tr w14:paraId="6D2FD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vMerge w:val="continue"/>
            <w:tcBorders>
              <w:top w:val="single" w:color="000000" w:sz="8" w:space="0"/>
              <w:left w:val="single" w:color="000000" w:sz="8" w:space="0"/>
              <w:bottom w:val="nil"/>
              <w:right w:val="single" w:color="000000" w:sz="8" w:space="0"/>
            </w:tcBorders>
            <w:shd w:val="clear" w:color="auto" w:fill="auto"/>
            <w:noWrap/>
            <w:vAlign w:val="center"/>
          </w:tcPr>
          <w:p w14:paraId="2AFFC842">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nil"/>
              <w:right w:val="single" w:color="000000" w:sz="8" w:space="0"/>
            </w:tcBorders>
            <w:shd w:val="clear" w:color="auto" w:fill="FFFFFF"/>
            <w:vAlign w:val="center"/>
          </w:tcPr>
          <w:p w14:paraId="4DB80269">
            <w:pPr>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nil"/>
              <w:right w:val="single" w:color="000000" w:sz="8" w:space="0"/>
            </w:tcBorders>
            <w:shd w:val="clear" w:color="auto" w:fill="FFFFFF"/>
            <w:vAlign w:val="center"/>
          </w:tcPr>
          <w:p w14:paraId="06F7BF28">
            <w:pPr>
              <w:jc w:val="center"/>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138A15AA">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▲13、此次采购的多媒体自助服务终端机必须与学校正在使用的一卡通系统完全兼容(在原有本地服务器及原有数据库、原有软件平台上进行管理)。</w:t>
            </w:r>
          </w:p>
        </w:tc>
      </w:tr>
      <w:tr w14:paraId="4C234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9AD8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607"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3D089D48">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硬件</w:t>
            </w:r>
          </w:p>
        </w:tc>
        <w:tc>
          <w:tcPr>
            <w:tcW w:w="616"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7D3E603D">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热水刷卡机（860终端）</w:t>
            </w:r>
          </w:p>
        </w:tc>
        <w:tc>
          <w:tcPr>
            <w:tcW w:w="6342" w:type="dxa"/>
            <w:tcBorders>
              <w:top w:val="nil"/>
              <w:left w:val="nil"/>
              <w:bottom w:val="single" w:color="000000" w:sz="8" w:space="0"/>
              <w:right w:val="single" w:color="000000" w:sz="8" w:space="0"/>
            </w:tcBorders>
            <w:shd w:val="clear" w:color="auto" w:fill="auto"/>
            <w:vAlign w:val="center"/>
          </w:tcPr>
          <w:p w14:paraId="20D4DC8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1、为一体计量型热水控制器。</w:t>
            </w:r>
          </w:p>
        </w:tc>
      </w:tr>
      <w:tr w14:paraId="430DC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62878B">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3137805">
            <w:pPr>
              <w:jc w:val="left"/>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3616189">
            <w:pPr>
              <w:jc w:val="left"/>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73350116">
            <w:pPr>
              <w:keepNext w:val="0"/>
              <w:keepLines w:val="0"/>
              <w:widowControl/>
              <w:suppressLineNumbers w:val="0"/>
              <w:jc w:val="left"/>
              <w:textAlignment w:val="center"/>
              <w:rPr>
                <w:rFonts w:hint="eastAsia" w:ascii="宋体" w:hAnsi="宋体" w:eastAsia="宋体" w:cs="宋体"/>
                <w:i w:val="0"/>
                <w:iCs w:val="0"/>
                <w:color w:val="FF0000"/>
                <w:sz w:val="16"/>
                <w:szCs w:val="16"/>
                <w:u w:val="none"/>
              </w:rPr>
            </w:pPr>
            <w:r>
              <w:rPr>
                <w:rFonts w:hint="eastAsia" w:ascii="宋体" w:hAnsi="宋体" w:eastAsia="宋体" w:cs="宋体"/>
                <w:i w:val="0"/>
                <w:iCs w:val="0"/>
                <w:color w:val="FF0000"/>
                <w:kern w:val="0"/>
                <w:sz w:val="16"/>
                <w:szCs w:val="16"/>
                <w:u w:val="none"/>
                <w:lang w:val="en-US" w:eastAsia="zh-CN" w:bidi="ar"/>
              </w:rPr>
              <w:t>2、芯片：国产</w:t>
            </w:r>
          </w:p>
        </w:tc>
      </w:tr>
      <w:tr w14:paraId="65F38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978EAC">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95B1961">
            <w:pPr>
              <w:jc w:val="left"/>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7F4FC19">
            <w:pPr>
              <w:jc w:val="left"/>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028107B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3、通讯方式: 采用蓝牙技术传输数据，水控机无线联网。通讯模块需内置在水控机内部，不采用外挂盒子。</w:t>
            </w:r>
          </w:p>
        </w:tc>
      </w:tr>
      <w:tr w14:paraId="03302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C2F33E">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4EC678D">
            <w:pPr>
              <w:jc w:val="left"/>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0DE634E">
            <w:pPr>
              <w:jc w:val="left"/>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512C4F69">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4、计量标准：计量收费，控制器、流量计、阀门一体化封装，口径为DN20。</w:t>
            </w:r>
          </w:p>
        </w:tc>
      </w:tr>
      <w:tr w14:paraId="52B24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30E8D4">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8449534">
            <w:pPr>
              <w:jc w:val="left"/>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54334B3">
            <w:pPr>
              <w:jc w:val="left"/>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572FDC8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5、读卡类型:符合ISO/ICE 14443A/B标准，Mifare1卡/CPU卡/金融IC卡。</w:t>
            </w:r>
          </w:p>
        </w:tc>
      </w:tr>
      <w:tr w14:paraId="697FF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FD2BA2">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EF6D16A">
            <w:pPr>
              <w:jc w:val="left"/>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CEE2688">
            <w:pPr>
              <w:jc w:val="left"/>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239D5C8D">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6、工作电压：工作电压:DC12V±5%。</w:t>
            </w:r>
          </w:p>
        </w:tc>
      </w:tr>
      <w:tr w14:paraId="1310B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41F322">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831BBE7">
            <w:pPr>
              <w:jc w:val="left"/>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0816B2B">
            <w:pPr>
              <w:jc w:val="left"/>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038536FF">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7、显示：液晶LCD带背光显示，待机状态下显示二维码，使用过程中显示当次使用金额、使用水量、阀开、阀关等提示信息。</w:t>
            </w:r>
          </w:p>
        </w:tc>
      </w:tr>
      <w:tr w14:paraId="2B095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0E05B0">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BB102B4">
            <w:pPr>
              <w:jc w:val="left"/>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9BAB07A">
            <w:pPr>
              <w:jc w:val="left"/>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0853427F">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8、支持防磁攻击防窃水功能，遇到磁铁吸附直接关阀，并结束当次订单。</w:t>
            </w:r>
          </w:p>
        </w:tc>
      </w:tr>
      <w:tr w14:paraId="793E5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92283D">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F34D6B6">
            <w:pPr>
              <w:jc w:val="left"/>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37B237B">
            <w:pPr>
              <w:jc w:val="left"/>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228FE7D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9、支持限制M1卡使用或完全限制卡片使用，避免卡片被复制。</w:t>
            </w:r>
          </w:p>
        </w:tc>
      </w:tr>
      <w:tr w14:paraId="4C8D2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F61035">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A145CB0">
            <w:pPr>
              <w:jc w:val="left"/>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A54B53B">
            <w:pPr>
              <w:jc w:val="left"/>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50F782E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在设备上刷卡须与学校现有一卡通系统使用的卡片保持同一张介质和同一个钱包，不需要进行热水钱包圈存或者转账，直接扣一卡通的账户钱包。符合学校原有系统校园卡卡结构和卡规范，投标人不得重新发新卡换旧卡、擅自附加、修改卡规划、卡扇区和卡结构。</w:t>
            </w:r>
          </w:p>
        </w:tc>
      </w:tr>
      <w:tr w14:paraId="2777A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72A4B5">
            <w:pPr>
              <w:jc w:val="center"/>
              <w:rPr>
                <w:rFonts w:hint="eastAsia" w:ascii="宋体" w:hAnsi="宋体" w:eastAsia="宋体" w:cs="宋体"/>
                <w:i w:val="0"/>
                <w:iCs w:val="0"/>
                <w:color w:val="000000"/>
                <w:sz w:val="16"/>
                <w:szCs w:val="16"/>
                <w:u w:val="none"/>
              </w:rPr>
            </w:pPr>
          </w:p>
        </w:tc>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9E3D558">
            <w:pPr>
              <w:jc w:val="left"/>
              <w:rPr>
                <w:rFonts w:hint="eastAsia" w:ascii="宋体" w:hAnsi="宋体" w:eastAsia="宋体" w:cs="宋体"/>
                <w:i w:val="0"/>
                <w:iCs w:val="0"/>
                <w:color w:val="000000"/>
                <w:sz w:val="16"/>
                <w:szCs w:val="16"/>
                <w:u w:val="none"/>
              </w:rPr>
            </w:pPr>
          </w:p>
        </w:tc>
        <w:tc>
          <w:tcPr>
            <w:tcW w:w="6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900C780">
            <w:pPr>
              <w:jc w:val="left"/>
              <w:rPr>
                <w:rFonts w:hint="eastAsia" w:ascii="宋体" w:hAnsi="宋体" w:eastAsia="宋体" w:cs="宋体"/>
                <w:i w:val="0"/>
                <w:iCs w:val="0"/>
                <w:color w:val="000000"/>
                <w:sz w:val="16"/>
                <w:szCs w:val="16"/>
                <w:u w:val="none"/>
              </w:rPr>
            </w:pPr>
          </w:p>
        </w:tc>
        <w:tc>
          <w:tcPr>
            <w:tcW w:w="6342" w:type="dxa"/>
            <w:tcBorders>
              <w:top w:val="nil"/>
              <w:left w:val="nil"/>
              <w:bottom w:val="single" w:color="000000" w:sz="8" w:space="0"/>
              <w:right w:val="single" w:color="000000" w:sz="8" w:space="0"/>
            </w:tcBorders>
            <w:shd w:val="clear" w:color="auto" w:fill="auto"/>
            <w:vAlign w:val="center"/>
          </w:tcPr>
          <w:p w14:paraId="0DC9E83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▲11、此次采购的智能水控消费机必须与学校正在使用的一卡通系统完全兼容(在原有本地服务器及原有数据库、原有软件平台上进行管理)</w:t>
            </w:r>
          </w:p>
        </w:tc>
      </w:tr>
    </w:tbl>
    <w:p w14:paraId="7618739C">
      <w:pPr>
        <w:pStyle w:val="2"/>
        <w:ind w:firstLine="643"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四、质量要求</w:t>
      </w:r>
    </w:p>
    <w:p w14:paraId="2FECA5E8">
      <w:pPr>
        <w:spacing w:line="360" w:lineRule="auto"/>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1、供应商提供的硬件产品应当具备</w:t>
      </w:r>
      <w:r>
        <w:rPr>
          <w:rFonts w:hint="eastAsia" w:ascii="彩虹粗仿宋" w:hAnsi="宋体" w:eastAsia="彩虹粗仿宋"/>
          <w:color w:val="000000" w:themeColor="text1"/>
          <w:sz w:val="32"/>
          <w:szCs w:val="32"/>
          <w:lang w:val="en-US" w:eastAsia="zh-CN"/>
          <w14:textFill>
            <w14:solidFill>
              <w14:schemeClr w14:val="tx1"/>
            </w14:solidFill>
          </w14:textFill>
        </w:rPr>
        <w:t>采购需求</w:t>
      </w:r>
      <w:r>
        <w:rPr>
          <w:rFonts w:hint="eastAsia" w:ascii="彩虹粗仿宋" w:hAnsi="宋体" w:eastAsia="彩虹粗仿宋"/>
          <w:color w:val="000000" w:themeColor="text1"/>
          <w:sz w:val="32"/>
          <w:szCs w:val="32"/>
          <w14:textFill>
            <w14:solidFill>
              <w14:schemeClr w14:val="tx1"/>
            </w14:solidFill>
          </w14:textFill>
        </w:rPr>
        <w:t>规定的约定功能；如在</w:t>
      </w:r>
      <w:r>
        <w:rPr>
          <w:rFonts w:hint="eastAsia" w:ascii="彩虹粗仿宋" w:hAnsi="宋体" w:eastAsia="彩虹粗仿宋"/>
          <w:color w:val="000000" w:themeColor="text1"/>
          <w:sz w:val="32"/>
          <w:szCs w:val="32"/>
          <w:lang w:val="en-US" w:eastAsia="zh-CN"/>
          <w14:textFill>
            <w14:solidFill>
              <w14:schemeClr w14:val="tx1"/>
            </w14:solidFill>
          </w14:textFill>
        </w:rPr>
        <w:t>产品说明</w:t>
      </w:r>
      <w:r>
        <w:rPr>
          <w:rFonts w:hint="eastAsia" w:ascii="彩虹粗仿宋" w:hAnsi="宋体" w:eastAsia="彩虹粗仿宋"/>
          <w:color w:val="000000" w:themeColor="text1"/>
          <w:sz w:val="32"/>
          <w:szCs w:val="32"/>
          <w14:textFill>
            <w14:solidFill>
              <w14:schemeClr w14:val="tx1"/>
            </w14:solidFill>
          </w14:textFill>
        </w:rPr>
        <w:t>或其他附件中已指明其他质量或功能要求的，则硬件产品还应符合该质量或功能要求。</w:t>
      </w:r>
    </w:p>
    <w:p w14:paraId="40A6208C">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2、供应商保证提供给我行的硬件产品应为完整、全新、未使用过的产品，产品品质不低于原厂商同类同规格产品品质标准。产品内附质量说明或使用说明的，供应商同时保证产品质量与内附说明一致，保证产品能按照产品内附说明在约定项目中正常运行或使用。</w:t>
      </w:r>
    </w:p>
    <w:p w14:paraId="28B83775">
      <w:pPr>
        <w:spacing w:line="360" w:lineRule="auto"/>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3、供应商保证硬件产品不包含任何明显的或主要的缺陷、错误，不包含任何恶意的、破坏性的或可能导致未经授权者侵入、操作、控制计算机或计算机数据的计算机病毒、木马程序、后门程序等程序设计或程序代码。</w:t>
      </w:r>
    </w:p>
    <w:p w14:paraId="757EC639">
      <w:pPr>
        <w:spacing w:line="360" w:lineRule="auto"/>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4、硬件产品必须具有在中国境内的正式合法使用权和销售权，在国内有可靠的技术支持力量。</w:t>
      </w:r>
    </w:p>
    <w:p w14:paraId="3FBAD4FF">
      <w:pPr>
        <w:pStyle w:val="3"/>
        <w:ind w:firstLine="64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5、本次采购的硬件应当具备我行要求的功能，且不存在任何侵犯第三方知识产权的情形。</w:t>
      </w:r>
    </w:p>
    <w:p w14:paraId="6FBD1007">
      <w:pPr>
        <w:pStyle w:val="3"/>
        <w:ind w:firstLine="64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6、本次采购的硬件设备的全部权利归属建设银行。</w:t>
      </w:r>
    </w:p>
    <w:p w14:paraId="7B0F8D4B">
      <w:pPr>
        <w:pStyle w:val="2"/>
        <w:ind w:firstLine="643"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五、供货及安装方案</w:t>
      </w:r>
    </w:p>
    <w:p w14:paraId="3CC140D9">
      <w:pPr>
        <w:spacing w:line="360" w:lineRule="auto"/>
        <w:ind w:firstLine="640" w:firstLineChars="200"/>
        <w:rPr>
          <w:rFonts w:ascii="彩虹粗仿宋" w:hAnsi="宋体" w:eastAsia="彩虹粗仿宋"/>
          <w:snapToGrid w:val="0"/>
          <w:color w:val="000000" w:themeColor="text1"/>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lang w:val="en-US" w:eastAsia="zh-CN"/>
          <w14:textFill>
            <w14:solidFill>
              <w14:schemeClr w14:val="tx1"/>
            </w14:solidFill>
          </w14:textFill>
        </w:rPr>
        <w:t>1</w:t>
      </w: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、安装调试要求</w:t>
      </w:r>
      <w:r>
        <w:rPr>
          <w:rFonts w:hint="eastAsia" w:ascii="彩虹粗仿宋" w:hAnsi="宋体" w:eastAsia="彩虹粗仿宋" w:cs="Times New Roman"/>
          <w:snapToGrid w:val="0"/>
          <w:color w:val="000000" w:themeColor="text1"/>
          <w:kern w:val="0"/>
          <w:sz w:val="32"/>
          <w:szCs w:val="32"/>
          <w:highlight w:val="none"/>
          <w:lang w:eastAsia="zh-CN"/>
          <w14:textFill>
            <w14:solidFill>
              <w14:schemeClr w14:val="tx1"/>
            </w14:solidFill>
          </w14:textFill>
        </w:rPr>
        <w:t>：</w:t>
      </w:r>
      <w:r>
        <w:rPr>
          <w:rFonts w:hint="eastAsia" w:ascii="彩虹粗仿宋" w:hAnsi="宋体" w:eastAsia="彩虹粗仿宋" w:cs="Times New Roman"/>
          <w:snapToGrid w:val="0"/>
          <w:kern w:val="0"/>
          <w:sz w:val="32"/>
          <w:szCs w:val="32"/>
          <w:highlight w:val="none"/>
        </w:rPr>
        <w:t>供应商须在合同签订之日起</w:t>
      </w:r>
      <w:r>
        <w:rPr>
          <w:rFonts w:hint="eastAsia" w:ascii="彩虹粗仿宋" w:hAnsi="宋体" w:eastAsia="彩虹粗仿宋" w:cs="Times New Roman"/>
          <w:snapToGrid w:val="0"/>
          <w:kern w:val="0"/>
          <w:sz w:val="32"/>
          <w:szCs w:val="32"/>
          <w:highlight w:val="none"/>
          <w:lang w:val="en-US" w:eastAsia="zh-CN"/>
        </w:rPr>
        <w:t>7</w:t>
      </w:r>
      <w:r>
        <w:rPr>
          <w:rFonts w:hint="eastAsia" w:ascii="彩虹粗仿宋" w:hAnsi="宋体" w:eastAsia="彩虹粗仿宋" w:cs="Times New Roman"/>
          <w:snapToGrid w:val="0"/>
          <w:kern w:val="0"/>
          <w:sz w:val="32"/>
          <w:szCs w:val="32"/>
          <w:highlight w:val="none"/>
        </w:rPr>
        <w:t>日内</w:t>
      </w:r>
      <w:r>
        <w:rPr>
          <w:rFonts w:hint="eastAsia" w:ascii="彩虹粗仿宋" w:hAnsi="宋体" w:eastAsia="彩虹粗仿宋" w:cs="Times New Roman"/>
          <w:snapToGrid w:val="0"/>
          <w:kern w:val="0"/>
          <w:sz w:val="32"/>
          <w:szCs w:val="32"/>
          <w:highlight w:val="none"/>
          <w:lang w:eastAsia="zh-CN"/>
        </w:rPr>
        <w:t>，</w:t>
      </w:r>
      <w:r>
        <w:rPr>
          <w:rFonts w:hint="eastAsia" w:ascii="彩虹粗仿宋" w:hAnsi="宋体" w:eastAsia="彩虹粗仿宋"/>
          <w:snapToGrid w:val="0"/>
          <w:color w:val="000000" w:themeColor="text1"/>
          <w:sz w:val="32"/>
          <w:szCs w:val="32"/>
          <w:highlight w:val="none"/>
          <w14:textFill>
            <w14:solidFill>
              <w14:schemeClr w14:val="tx1"/>
            </w14:solidFill>
          </w14:textFill>
        </w:rPr>
        <w:t>将商品免费安装、调试完毕，</w:t>
      </w: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完成本项目建</w:t>
      </w:r>
      <w:bookmarkStart w:id="0" w:name="_GoBack"/>
      <w:bookmarkEnd w:id="0"/>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设工作，</w:t>
      </w:r>
      <w:r>
        <w:rPr>
          <w:rFonts w:hint="eastAsia" w:ascii="彩虹粗仿宋" w:hAnsi="宋体" w:eastAsia="彩虹粗仿宋" w:cs="Times New Roman"/>
          <w:snapToGrid w:val="0"/>
          <w:color w:val="000000" w:themeColor="text1"/>
          <w:kern w:val="0"/>
          <w:sz w:val="32"/>
          <w:szCs w:val="32"/>
          <w:highlight w:val="none"/>
          <w:lang w:eastAsia="zh-CN"/>
          <w14:textFill>
            <w14:solidFill>
              <w14:schemeClr w14:val="tx1"/>
            </w14:solidFill>
          </w14:textFill>
        </w:rPr>
        <w:t>并投入使用</w:t>
      </w: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，并由梧州高级中学、我行共同验收。</w:t>
      </w:r>
    </w:p>
    <w:p w14:paraId="5F805E5D">
      <w:pPr>
        <w:pStyle w:val="4"/>
        <w:adjustRightInd w:val="0"/>
        <w:snapToGrid w:val="0"/>
        <w:spacing w:line="560" w:lineRule="atLeast"/>
        <w:ind w:firstLine="640" w:firstLineChars="200"/>
        <w:rPr>
          <w:rFonts w:ascii="彩虹粗仿宋" w:hAnsi="宋体" w:eastAsia="彩虹粗仿宋"/>
          <w:snapToGrid w:val="0"/>
          <w:color w:val="000000" w:themeColor="text1"/>
          <w:sz w:val="32"/>
          <w:szCs w:val="32"/>
          <w14:textFill>
            <w14:solidFill>
              <w14:schemeClr w14:val="tx1"/>
            </w14:solidFill>
          </w14:textFill>
        </w:rPr>
      </w:pPr>
      <w:r>
        <w:rPr>
          <w:rFonts w:hint="eastAsia" w:ascii="彩虹粗仿宋" w:hAnsi="宋体" w:eastAsia="彩虹粗仿宋"/>
          <w:snapToGrid w:val="0"/>
          <w:color w:val="000000" w:themeColor="text1"/>
          <w:sz w:val="32"/>
          <w:szCs w:val="32"/>
          <w:lang w:val="en-US" w:eastAsia="zh-CN"/>
          <w14:textFill>
            <w14:solidFill>
              <w14:schemeClr w14:val="tx1"/>
            </w14:solidFill>
          </w14:textFill>
        </w:rPr>
        <w:t>2</w:t>
      </w:r>
      <w:r>
        <w:rPr>
          <w:rFonts w:hint="eastAsia" w:ascii="彩虹粗仿宋" w:hAnsi="宋体" w:eastAsia="彩虹粗仿宋"/>
          <w:snapToGrid w:val="0"/>
          <w:color w:val="000000" w:themeColor="text1"/>
          <w:sz w:val="32"/>
          <w:szCs w:val="32"/>
          <w14:textFill>
            <w14:solidFill>
              <w14:schemeClr w14:val="tx1"/>
            </w14:solidFill>
          </w14:textFill>
        </w:rPr>
        <w:t>、验收标准：在验收过程中如发现质量、规格和技术标准不符合合同要求的，</w:t>
      </w:r>
      <w:r>
        <w:rPr>
          <w:rFonts w:hint="eastAsia" w:ascii="彩虹粗仿宋" w:hAnsi="宋体" w:eastAsia="彩虹粗仿宋"/>
          <w:color w:val="000000" w:themeColor="text1"/>
          <w:sz w:val="32"/>
          <w:szCs w:val="32"/>
          <w:lang w:val="en-US"/>
          <w14:textFill>
            <w14:solidFill>
              <w14:schemeClr w14:val="tx1"/>
            </w14:solidFill>
          </w14:textFill>
        </w:rPr>
        <w:t>梧州高级中学</w:t>
      </w:r>
      <w:r>
        <w:rPr>
          <w:rFonts w:hint="eastAsia" w:ascii="彩虹粗仿宋" w:hAnsi="宋体" w:eastAsia="彩虹粗仿宋"/>
          <w:snapToGrid w:val="0"/>
          <w:color w:val="000000" w:themeColor="text1"/>
          <w:sz w:val="32"/>
          <w:szCs w:val="32"/>
          <w14:textFill>
            <w14:solidFill>
              <w14:schemeClr w14:val="tx1"/>
            </w14:solidFill>
          </w14:textFill>
        </w:rPr>
        <w:t>及我行可不予接收，损失由供应商自负。</w:t>
      </w:r>
    </w:p>
    <w:p w14:paraId="39F1E128">
      <w:pPr>
        <w:pStyle w:val="4"/>
        <w:adjustRightInd w:val="0"/>
        <w:snapToGrid w:val="0"/>
        <w:spacing w:line="560" w:lineRule="atLeast"/>
        <w:ind w:firstLine="640" w:firstLineChars="200"/>
        <w:rPr>
          <w:rFonts w:ascii="彩虹粗仿宋" w:hAnsi="宋体" w:eastAsia="彩虹粗仿宋"/>
          <w:snapToGrid w:val="0"/>
          <w:color w:val="000000" w:themeColor="text1"/>
          <w:sz w:val="32"/>
          <w:szCs w:val="32"/>
          <w14:textFill>
            <w14:solidFill>
              <w14:schemeClr w14:val="tx1"/>
            </w14:solidFill>
          </w14:textFill>
        </w:rPr>
      </w:pPr>
      <w:r>
        <w:rPr>
          <w:rFonts w:hint="eastAsia" w:ascii="彩虹粗仿宋" w:hAnsi="宋体" w:eastAsia="彩虹粗仿宋"/>
          <w:snapToGrid w:val="0"/>
          <w:color w:val="000000" w:themeColor="text1"/>
          <w:sz w:val="32"/>
          <w:szCs w:val="32"/>
          <w:lang w:val="en-US" w:eastAsia="zh-CN"/>
          <w14:textFill>
            <w14:solidFill>
              <w14:schemeClr w14:val="tx1"/>
            </w14:solidFill>
          </w14:textFill>
        </w:rPr>
        <w:t>3</w:t>
      </w:r>
      <w:r>
        <w:rPr>
          <w:rFonts w:hint="eastAsia" w:ascii="彩虹粗仿宋" w:hAnsi="宋体" w:eastAsia="彩虹粗仿宋"/>
          <w:snapToGrid w:val="0"/>
          <w:color w:val="000000" w:themeColor="text1"/>
          <w:sz w:val="32"/>
          <w:szCs w:val="32"/>
          <w14:textFill>
            <w14:solidFill>
              <w14:schemeClr w14:val="tx1"/>
            </w14:solidFill>
          </w14:textFill>
        </w:rPr>
        <w:t>、服务要求：合作期内，对</w:t>
      </w:r>
      <w:r>
        <w:rPr>
          <w:rFonts w:hint="eastAsia" w:ascii="彩虹粗仿宋" w:hAnsi="宋体" w:eastAsia="彩虹粗仿宋"/>
          <w:color w:val="000000" w:themeColor="text1"/>
          <w:sz w:val="32"/>
          <w:szCs w:val="32"/>
          <w:lang w:val="en-US"/>
          <w14:textFill>
            <w14:solidFill>
              <w14:schemeClr w14:val="tx1"/>
            </w14:solidFill>
          </w14:textFill>
        </w:rPr>
        <w:t>梧州高级中学涉及该项目的使用人员</w:t>
      </w:r>
      <w:r>
        <w:rPr>
          <w:rFonts w:hint="eastAsia" w:ascii="彩虹粗仿宋" w:hAnsi="宋体" w:eastAsia="彩虹粗仿宋"/>
          <w:snapToGrid w:val="0"/>
          <w:color w:val="000000" w:themeColor="text1"/>
          <w:sz w:val="32"/>
          <w:szCs w:val="32"/>
          <w14:textFill>
            <w14:solidFill>
              <w14:schemeClr w14:val="tx1"/>
            </w14:solidFill>
          </w14:textFill>
        </w:rPr>
        <w:t>进行培训、指导，协助进行数据通讯接口测试，提供相关技术服务。</w:t>
      </w:r>
    </w:p>
    <w:p w14:paraId="7A86DA05">
      <w:pPr>
        <w:pStyle w:val="2"/>
        <w:ind w:firstLine="643"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六、款项支付要求</w:t>
      </w:r>
    </w:p>
    <w:p w14:paraId="77B0C150">
      <w:pPr>
        <w:adjustRightInd w:val="0"/>
        <w:snapToGrid w:val="0"/>
        <w:spacing w:line="360" w:lineRule="auto"/>
        <w:ind w:firstLine="640" w:firstLineChars="200"/>
        <w:rPr>
          <w:rFonts w:ascii="彩虹粗仿宋" w:hAnsi="宋体" w:eastAsia="彩虹粗仿宋"/>
          <w:color w:val="000000" w:themeColor="text1"/>
          <w:sz w:val="32"/>
          <w:szCs w:val="32"/>
          <w14:textFill>
            <w14:solidFill>
              <w14:schemeClr w14:val="tx1"/>
            </w14:solidFill>
          </w14:textFill>
        </w:rPr>
      </w:pPr>
      <w:r>
        <w:rPr>
          <w:rFonts w:ascii="彩虹粗仿宋" w:hAnsi="宋体" w:eastAsia="彩虹粗仿宋"/>
          <w:color w:val="000000" w:themeColor="text1"/>
          <w:sz w:val="32"/>
          <w:szCs w:val="32"/>
          <w14:textFill>
            <w14:solidFill>
              <w14:schemeClr w14:val="tx1"/>
            </w14:solidFill>
          </w14:textFill>
        </w:rPr>
        <w:t>1</w:t>
      </w:r>
      <w:r>
        <w:rPr>
          <w:rFonts w:hint="eastAsia" w:ascii="彩虹粗仿宋" w:hAnsi="宋体" w:eastAsia="彩虹粗仿宋"/>
          <w:color w:val="000000" w:themeColor="text1"/>
          <w:sz w:val="32"/>
          <w:szCs w:val="32"/>
          <w14:textFill>
            <w14:solidFill>
              <w14:schemeClr w14:val="tx1"/>
            </w14:solidFill>
          </w14:textFill>
        </w:rPr>
        <w:t>、本项目的付款方式为转账支付</w:t>
      </w:r>
      <w:r>
        <w:rPr>
          <w:rFonts w:hint="eastAsia" w:ascii="彩虹粗仿宋" w:hAnsi="宋体" w:eastAsia="彩虹粗仿宋"/>
          <w:color w:val="000000" w:themeColor="text1"/>
          <w:sz w:val="32"/>
          <w:szCs w:val="32"/>
          <w:lang w:eastAsia="zh-CN"/>
          <w14:textFill>
            <w14:solidFill>
              <w14:schemeClr w14:val="tx1"/>
            </w14:solidFill>
          </w14:textFill>
        </w:rPr>
        <w:t>。</w:t>
      </w:r>
      <w:r>
        <w:rPr>
          <w:rFonts w:hint="eastAsia" w:ascii="彩虹粗仿宋" w:hAnsi="宋体" w:eastAsia="彩虹粗仿宋"/>
          <w:color w:val="000000" w:themeColor="text1"/>
          <w:sz w:val="32"/>
          <w:szCs w:val="32"/>
          <w:lang w:val="en-US" w:eastAsia="zh-CN"/>
          <w14:textFill>
            <w14:solidFill>
              <w14:schemeClr w14:val="tx1"/>
            </w14:solidFill>
          </w14:textFill>
        </w:rPr>
        <w:t>在</w:t>
      </w:r>
      <w:r>
        <w:rPr>
          <w:rFonts w:hint="eastAsia" w:ascii="彩虹粗仿宋" w:hAnsi="宋体" w:eastAsia="彩虹粗仿宋"/>
          <w:color w:val="000000" w:themeColor="text1"/>
          <w:sz w:val="32"/>
          <w:szCs w:val="32"/>
          <w14:textFill>
            <w14:solidFill>
              <w14:schemeClr w14:val="tx1"/>
            </w14:solidFill>
          </w14:textFill>
        </w:rPr>
        <w:t>供应商完成梧州高级中学一卡通项目硬件安装、调试、数据初始化等工作</w:t>
      </w:r>
      <w:r>
        <w:rPr>
          <w:rFonts w:hint="eastAsia" w:ascii="彩虹粗仿宋" w:hAnsi="宋体" w:eastAsia="彩虹粗仿宋"/>
          <w:color w:val="000000" w:themeColor="text1"/>
          <w:sz w:val="32"/>
          <w:szCs w:val="32"/>
          <w:lang w:val="en-US" w:eastAsia="zh-CN"/>
          <w14:textFill>
            <w14:solidFill>
              <w14:schemeClr w14:val="tx1"/>
            </w14:solidFill>
          </w14:textFill>
        </w:rPr>
        <w:t>，</w:t>
      </w:r>
      <w:r>
        <w:rPr>
          <w:rFonts w:hint="eastAsia" w:ascii="彩虹粗仿宋" w:hAnsi="宋体" w:eastAsia="彩虹粗仿宋"/>
          <w:color w:val="000000" w:themeColor="text1"/>
          <w:sz w:val="32"/>
          <w:szCs w:val="32"/>
          <w14:textFill>
            <w14:solidFill>
              <w14:schemeClr w14:val="tx1"/>
            </w14:solidFill>
          </w14:textFill>
        </w:rPr>
        <w:t>项目</w:t>
      </w:r>
      <w:r>
        <w:rPr>
          <w:rFonts w:hint="eastAsia" w:ascii="彩虹粗仿宋" w:hAnsi="宋体" w:eastAsia="彩虹粗仿宋"/>
          <w:color w:val="000000" w:themeColor="text1"/>
          <w:sz w:val="32"/>
          <w:szCs w:val="32"/>
          <w:lang w:val="en-US" w:eastAsia="zh-CN"/>
          <w14:textFill>
            <w14:solidFill>
              <w14:schemeClr w14:val="tx1"/>
            </w14:solidFill>
          </w14:textFill>
        </w:rPr>
        <w:t>已</w:t>
      </w:r>
      <w:r>
        <w:rPr>
          <w:rFonts w:hint="eastAsia" w:ascii="彩虹粗仿宋" w:hAnsi="宋体" w:eastAsia="彩虹粗仿宋"/>
          <w:color w:val="000000" w:themeColor="text1"/>
          <w:sz w:val="32"/>
          <w:szCs w:val="32"/>
          <w14:textFill>
            <w14:solidFill>
              <w14:schemeClr w14:val="tx1"/>
            </w14:solidFill>
          </w14:textFill>
        </w:rPr>
        <w:t>具备上线运营能力，经由梧州高级中学、我行和供应商三方进行验收并形成验收报告，且供应商开具符合我行规定的增值税专用发票后，我行支付合同硬件总价款的</w:t>
      </w:r>
      <w:r>
        <w:rPr>
          <w:rFonts w:ascii="彩虹粗仿宋" w:hAnsi="宋体" w:eastAsia="彩虹粗仿宋"/>
          <w:color w:val="000000" w:themeColor="text1"/>
          <w:sz w:val="32"/>
          <w:szCs w:val="32"/>
          <w14:textFill>
            <w14:solidFill>
              <w14:schemeClr w14:val="tx1"/>
            </w14:solidFill>
          </w14:textFill>
        </w:rPr>
        <w:t>9</w:t>
      </w:r>
      <w:r>
        <w:rPr>
          <w:rFonts w:hint="eastAsia" w:ascii="彩虹粗仿宋" w:hAnsi="宋体" w:eastAsia="彩虹粗仿宋"/>
          <w:color w:val="000000" w:themeColor="text1"/>
          <w:sz w:val="32"/>
          <w:szCs w:val="32"/>
          <w14:textFill>
            <w14:solidFill>
              <w14:schemeClr w14:val="tx1"/>
            </w14:solidFill>
          </w14:textFill>
        </w:rPr>
        <w:t>8%。总价款最后剩余的2%作为质量保证金，在系统运行满5年且无违约情形、无质量问题后支付。</w:t>
      </w:r>
    </w:p>
    <w:p w14:paraId="67418C6A">
      <w:pPr>
        <w:spacing w:line="360" w:lineRule="auto"/>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2、维保费用从验收合格投入使用的第二年后逐年支付，我行收到供应商开具符合我行规定的增值税专用发票后30日内支付款项。</w:t>
      </w:r>
    </w:p>
    <w:p w14:paraId="71AA6869">
      <w:pPr>
        <w:pStyle w:val="2"/>
        <w:ind w:firstLine="643"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七、报价要求</w:t>
      </w:r>
    </w:p>
    <w:p w14:paraId="198E3A66">
      <w:pPr>
        <w:adjustRightInd w:val="0"/>
        <w:snapToGrid w:val="0"/>
        <w:spacing w:line="360" w:lineRule="auto"/>
        <w:ind w:firstLine="640" w:firstLineChars="200"/>
        <w:rPr>
          <w:rFonts w:ascii="彩虹粗仿宋" w:hAnsi="宋体" w:eastAsia="彩虹粗仿宋" w:cs="Times New Roman"/>
          <w:b/>
          <w:snapToGrid w:val="0"/>
          <w:color w:val="000000" w:themeColor="text1"/>
          <w:kern w:val="0"/>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供应商报价应包含合同产品验收合格前发生的所有费用，如项目施工时所需的电源布线，及安装调试等费用。报价含税，供应商需提供增值税专用发票。</w:t>
      </w:r>
    </w:p>
    <w:p w14:paraId="6F3628A5">
      <w:pPr>
        <w:pStyle w:val="2"/>
        <w:ind w:firstLine="643"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八、售后服务要求</w:t>
      </w:r>
    </w:p>
    <w:p w14:paraId="2D16EA69">
      <w:pPr>
        <w:spacing w:line="560" w:lineRule="exact"/>
        <w:ind w:firstLine="627" w:firstLineChars="196"/>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1、自验收合格之日起对我行所购硬件产品均提供8年的维护支持服务。维护支持服务期内提供方应提供7×24小时电话、网络等远程支持服务及上门维护支持服务，通过电话、网络等远程方式对我行在</w:t>
      </w:r>
      <w:r>
        <w:rPr>
          <w:rFonts w:hint="eastAsia" w:ascii="彩虹粗仿宋" w:hAnsi="宋体" w:eastAsia="彩虹粗仿宋"/>
          <w:sz w:val="32"/>
          <w:szCs w:val="32"/>
        </w:rPr>
        <w:t>硬件</w:t>
      </w:r>
      <w:r>
        <w:rPr>
          <w:rFonts w:hint="eastAsia" w:ascii="彩虹粗仿宋" w:hAnsi="宋体" w:eastAsia="彩虹粗仿宋"/>
          <w:color w:val="000000" w:themeColor="text1"/>
          <w:sz w:val="32"/>
          <w:szCs w:val="32"/>
          <w14:textFill>
            <w14:solidFill>
              <w14:schemeClr w14:val="tx1"/>
            </w14:solidFill>
          </w14:textFill>
        </w:rPr>
        <w:t>产品使用过程中出现的一般性问题提供咨询解答。硬件件产品出现故障时，我行可以通过电话或网络方式向供应商报告故障（简称“故障报告”），供应商应按照约定立即作出响应。</w:t>
      </w:r>
    </w:p>
    <w:p w14:paraId="20867F7F">
      <w:pPr>
        <w:spacing w:line="560" w:lineRule="exact"/>
        <w:ind w:firstLine="627" w:firstLineChars="196"/>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 xml:space="preserve">2、硬件产品故障分为严重、一般、轻微三个等级（“严重”为无法运行或基本无法运行，或重要功能失效或基本失效；“一般”为可以运行，但非重要性功能的使用受到限制；“轻微”为其它轻微影响使用的故障），供应商应根据故障的不同级别，提供不同的故障响应及服务：    </w:t>
      </w:r>
    </w:p>
    <w:p w14:paraId="5A3FEFF1">
      <w:pPr>
        <w:spacing w:line="560" w:lineRule="exact"/>
        <w:ind w:firstLine="627" w:firstLineChars="196"/>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（1）对于严重级别故障，供应商应立即派出高级技术人员到现场进行维修，与此同时，供应商技术支持人员应通过电话、网络等方式尝试排除故障，供应商承诺在收到故障报告后24小时内恢复硬件产品正常运行。</w:t>
      </w:r>
    </w:p>
    <w:p w14:paraId="65FA236A">
      <w:pPr>
        <w:spacing w:line="560" w:lineRule="exact"/>
        <w:ind w:firstLine="627" w:firstLineChars="196"/>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（2）对于一般级别故障，供应商应立即通过电话、网络等方式尝试排除故障，供应商承诺在收到故障报告后16小时内恢复硬件产品正常运行。</w:t>
      </w:r>
    </w:p>
    <w:p w14:paraId="0F7FF230">
      <w:pPr>
        <w:spacing w:line="560" w:lineRule="exact"/>
        <w:ind w:firstLine="627" w:firstLineChars="196"/>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（3）对于轻微级别故障，供应商应立即通过电话、网络等方式尝试排除故障，供应商承诺在收到故障报告后4小时内恢复硬件产品正常运行。</w:t>
      </w:r>
    </w:p>
    <w:p w14:paraId="55643316">
      <w:pPr>
        <w:spacing w:line="560" w:lineRule="exact"/>
        <w:ind w:firstLine="627" w:firstLineChars="196"/>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（4）对于无法现场解决的故障，供应商应当立即以功能相同的符合约定的硬件产品替换故障硬件产品或按照我行要求采取其他补救措施。</w:t>
      </w:r>
    </w:p>
    <w:p w14:paraId="3C42FF1A">
      <w:pPr>
        <w:spacing w:line="560" w:lineRule="exact"/>
        <w:ind w:firstLine="627" w:firstLineChars="196"/>
        <w:rPr>
          <w:rFonts w:ascii="彩虹粗仿宋" w:hAnsi="彩虹粗仿宋" w:eastAsia="彩虹粗仿宋"/>
          <w:color w:val="000000" w:themeColor="text1"/>
          <w:sz w:val="32"/>
          <w14:textFill>
            <w14:solidFill>
              <w14:schemeClr w14:val="tx1"/>
            </w14:solidFill>
          </w14:textFill>
        </w:rPr>
      </w:pPr>
      <w:r>
        <w:rPr>
          <w:rFonts w:hint="eastAsia" w:ascii="彩虹粗仿宋" w:hAnsi="彩虹粗仿宋" w:eastAsia="彩虹粗仿宋"/>
          <w:color w:val="000000" w:themeColor="text1"/>
          <w:sz w:val="32"/>
          <w14:textFill>
            <w14:solidFill>
              <w14:schemeClr w14:val="tx1"/>
            </w14:solidFill>
          </w14:textFill>
        </w:rPr>
        <w:t>3、供应商不得截留或向第三方泄露所涉及系统的任何信息，敏感数据对接必须在梧州高级中学学校</w:t>
      </w:r>
      <w:r>
        <w:rPr>
          <w:rFonts w:hint="eastAsia" w:ascii="彩虹粗仿宋" w:hAnsi="宋体" w:eastAsia="彩虹粗仿宋"/>
          <w:color w:val="000000" w:themeColor="text1"/>
          <w:sz w:val="32"/>
          <w:szCs w:val="32"/>
          <w14:textFill>
            <w14:solidFill>
              <w14:schemeClr w14:val="tx1"/>
            </w14:solidFill>
          </w14:textFill>
        </w:rPr>
        <w:t>场所</w:t>
      </w:r>
      <w:r>
        <w:rPr>
          <w:rFonts w:hint="eastAsia" w:ascii="彩虹粗仿宋" w:hAnsi="彩虹粗仿宋" w:eastAsia="彩虹粗仿宋"/>
          <w:color w:val="000000" w:themeColor="text1"/>
          <w:sz w:val="32"/>
          <w14:textFill>
            <w14:solidFill>
              <w14:schemeClr w14:val="tx1"/>
            </w14:solidFill>
          </w14:textFill>
        </w:rPr>
        <w:t>内完成，确保相关信息的安全性、保密性，若有违反，将依法追究责任。</w:t>
      </w:r>
    </w:p>
    <w:p w14:paraId="255822F7">
      <w:pPr>
        <w:pStyle w:val="2"/>
        <w:ind w:firstLine="643"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九、其他要求</w:t>
      </w:r>
    </w:p>
    <w:p w14:paraId="5A4BC365">
      <w:pPr>
        <w:spacing w:line="360" w:lineRule="auto"/>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1、禁止进行低价格恶意竞争，一旦发现、查实，取消候选资格和入选资格。</w:t>
      </w:r>
    </w:p>
    <w:p w14:paraId="2FF4F281">
      <w:pPr>
        <w:spacing w:line="360" w:lineRule="auto"/>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2、合同签订单位、发票开具单位必须与本次谈判邀请单位完全一致。</w:t>
      </w:r>
    </w:p>
    <w:p w14:paraId="4755CDF8">
      <w:pPr>
        <w:spacing w:line="360" w:lineRule="auto"/>
        <w:ind w:firstLine="640" w:firstLineChars="200"/>
        <w:rPr>
          <w:rFonts w:ascii="彩虹粗仿宋" w:hAnsi="宋体" w:eastAsia="彩虹粗仿宋"/>
          <w:snapToGrid w:val="0"/>
          <w:color w:val="000000" w:themeColor="text1"/>
          <w:kern w:val="0"/>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3、关于我行及我行客户方面的任何信息均属于商业秘密，供应商须对以上信息严格保密，否则须承担由于泄密对我行造成的一切损失</w:t>
      </w:r>
      <w:r>
        <w:rPr>
          <w:rFonts w:hint="eastAsia" w:ascii="彩虹粗仿宋" w:hAnsi="宋体" w:eastAsia="彩虹粗仿宋"/>
          <w:snapToGrid w:val="0"/>
          <w:color w:val="000000" w:themeColor="text1"/>
          <w:kern w:val="0"/>
          <w:sz w:val="32"/>
          <w:szCs w:val="32"/>
          <w14:textFill>
            <w14:solidFill>
              <w14:schemeClr w14:val="tx1"/>
            </w14:solidFill>
          </w14:textFill>
        </w:rPr>
        <w:t>。</w:t>
      </w:r>
    </w:p>
    <w:p w14:paraId="47B3C40B">
      <w:pPr>
        <w:rPr>
          <w:color w:val="000000" w:themeColor="text1"/>
          <w14:textFill>
            <w14:solidFill>
              <w14:schemeClr w14:val="tx1"/>
            </w14:solidFill>
          </w14:textFill>
        </w:rPr>
      </w:pPr>
    </w:p>
    <w:p w14:paraId="39C34EFC">
      <w:pPr>
        <w:rPr>
          <w:color w:val="000000" w:themeColor="text1"/>
          <w14:textFill>
            <w14:solidFill>
              <w14:schemeClr w14:val="tx1"/>
            </w14:solidFill>
          </w14:textFill>
        </w:rPr>
      </w:pPr>
    </w:p>
    <w:p w14:paraId="785B76A7">
      <w:pPr>
        <w:rPr>
          <w:color w:val="000000" w:themeColor="text1"/>
          <w14:textFill>
            <w14:solidFill>
              <w14:schemeClr w14:val="tx1"/>
            </w14:solidFill>
          </w14:textFill>
        </w:rPr>
      </w:pPr>
    </w:p>
    <w:p w14:paraId="74872FEC">
      <w:pPr>
        <w:rPr>
          <w:rFonts w:ascii="彩虹粗仿宋" w:hAnsi="彩虹粗仿宋" w:eastAsia="彩虹粗仿宋" w:cs="彩虹粗仿宋"/>
          <w:color w:val="000000" w:themeColor="text1"/>
          <w:sz w:val="28"/>
          <w:szCs w:val="2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966"/>
    <w:rsid w:val="00052D62"/>
    <w:rsid w:val="001E00CA"/>
    <w:rsid w:val="00A33966"/>
    <w:rsid w:val="00BB0177"/>
    <w:rsid w:val="00E40215"/>
    <w:rsid w:val="04237C98"/>
    <w:rsid w:val="068E5516"/>
    <w:rsid w:val="086F636F"/>
    <w:rsid w:val="099B0D77"/>
    <w:rsid w:val="09AF4D5B"/>
    <w:rsid w:val="0ABD672D"/>
    <w:rsid w:val="0B6A39AF"/>
    <w:rsid w:val="0C3565C2"/>
    <w:rsid w:val="0D5663F1"/>
    <w:rsid w:val="0F834592"/>
    <w:rsid w:val="11B322D4"/>
    <w:rsid w:val="13E977DE"/>
    <w:rsid w:val="171A2AAF"/>
    <w:rsid w:val="1B892B85"/>
    <w:rsid w:val="1BE3676C"/>
    <w:rsid w:val="1DC2588D"/>
    <w:rsid w:val="20344CFA"/>
    <w:rsid w:val="23A723AC"/>
    <w:rsid w:val="2525188B"/>
    <w:rsid w:val="27350000"/>
    <w:rsid w:val="2ABF1892"/>
    <w:rsid w:val="30D37E45"/>
    <w:rsid w:val="3357486A"/>
    <w:rsid w:val="376F44BB"/>
    <w:rsid w:val="38C34093"/>
    <w:rsid w:val="3CEA09F1"/>
    <w:rsid w:val="420740E8"/>
    <w:rsid w:val="423C1FAE"/>
    <w:rsid w:val="42734FE4"/>
    <w:rsid w:val="44877E79"/>
    <w:rsid w:val="45442347"/>
    <w:rsid w:val="45571B42"/>
    <w:rsid w:val="48112949"/>
    <w:rsid w:val="4A5120AF"/>
    <w:rsid w:val="4CD80E63"/>
    <w:rsid w:val="4CF27F48"/>
    <w:rsid w:val="4D116B12"/>
    <w:rsid w:val="4D9A60E0"/>
    <w:rsid w:val="4DA94BA9"/>
    <w:rsid w:val="540B773A"/>
    <w:rsid w:val="5EB90BDF"/>
    <w:rsid w:val="644A6DF3"/>
    <w:rsid w:val="64B90B25"/>
    <w:rsid w:val="68635744"/>
    <w:rsid w:val="6944493B"/>
    <w:rsid w:val="6CA60EF3"/>
    <w:rsid w:val="6D136D34"/>
    <w:rsid w:val="6E6371A6"/>
    <w:rsid w:val="73182689"/>
    <w:rsid w:val="74C7115C"/>
    <w:rsid w:val="754206C3"/>
    <w:rsid w:val="771F2A69"/>
    <w:rsid w:val="781D4A97"/>
    <w:rsid w:val="785E5AD4"/>
    <w:rsid w:val="79984D55"/>
    <w:rsid w:val="7CB22117"/>
    <w:rsid w:val="7FC44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ascii="宋体" w:hAnsi="Arial"/>
      <w:sz w:val="28"/>
      <w:szCs w:val="20"/>
    </w:rPr>
  </w:style>
  <w:style w:type="paragraph" w:styleId="4">
    <w:name w:val="Plain Text"/>
    <w:basedOn w:val="1"/>
    <w:qFormat/>
    <w:uiPriority w:val="0"/>
    <w:rPr>
      <w:rFonts w:ascii="宋体" w:hAnsi="Courier New" w:eastAsia="宋体" w:cs="Times New Roman"/>
      <w:kern w:val="0"/>
      <w:sz w:val="20"/>
      <w:szCs w:val="21"/>
      <w:lang w:val="zh-CN"/>
    </w:rPr>
  </w:style>
  <w:style w:type="character" w:customStyle="1" w:styleId="7">
    <w:name w:val="font11"/>
    <w:basedOn w:val="6"/>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8</Pages>
  <Words>387</Words>
  <Characters>408</Characters>
  <Lines>54</Lines>
  <Paragraphs>15</Paragraphs>
  <TotalTime>26</TotalTime>
  <ScaleCrop>false</ScaleCrop>
  <LinksUpToDate>false</LinksUpToDate>
  <CharactersWithSpaces>409</CharactersWithSpaces>
  <Application>WPS Office_12.8.2.17134_F1E327BC-269C-435d-A152-05C5408002CA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2026-06-17T02:14:00Z</dcterms:created>
  <dc:creator>admin</dc:creator>
  <cp:lastModifiedBy>唐欣</cp:lastModifiedBy>
  <dcterms:modified xsi:type="dcterms:W3CDTF">2026-08-14T01:53:02Z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2052-12.8.2.17134</vt:lpwstr>
  </property>
  <property fmtid="{D5CDD505-2E9C-101B-9397-08002B2CF9AE}" pid="3" name="ICV">
    <vt:lpwstr>F4F24693DB6F48BE8648E6FEFE7CE549_13</vt:lpwstr>
  </property>
  <property fmtid="{D5CDD505-2E9C-101B-9397-08002B2CF9AE}" pid="4" name="KSOTemplateDocerSaveRecord">
    <vt:lpwstr>eyJoZGlkIjoiNjc3YzAyYzUxNWZjNzMzZTdmZWVlZGMzNmJhNWNhNDEiLCJ1c2VySWQiOiIyOTMwMzc1MjkifQ==</vt:lpwstr>
  </property>
</Properties>
</file>