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3E96F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项目需求说明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8716"/>
      </w:tblGrid>
      <w:tr w14:paraId="78E6B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" w:type="pct"/>
            <w:vAlign w:val="center"/>
          </w:tcPr>
          <w:p w14:paraId="013B7F2D">
            <w:pPr>
              <w:pStyle w:val="2"/>
              <w:widowControl/>
              <w:shd w:val="clear" w:color="auto" w:fill="FFFFFF"/>
              <w:spacing w:before="0" w:beforeAutospacing="0" w:after="0" w:afterAutospacing="0" w:line="23" w:lineRule="atLeas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ascii="仿宋_GB2312" w:hAnsi="仿宋_GB2312" w:eastAsia="仿宋_GB2312" w:cs="仿宋_GB2312"/>
                <w:b w:val="0"/>
                <w:sz w:val="30"/>
                <w:szCs w:val="30"/>
              </w:rPr>
              <w:t>项目名称</w:t>
            </w:r>
          </w:p>
        </w:tc>
        <w:tc>
          <w:tcPr>
            <w:tcW w:w="4079" w:type="pct"/>
          </w:tcPr>
          <w:p w14:paraId="628A90ED">
            <w:pPr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无线核心控制器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核心交换机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维保</w:t>
            </w:r>
          </w:p>
        </w:tc>
      </w:tr>
      <w:tr w14:paraId="16E77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8" w:hRule="atLeast"/>
        </w:trPr>
        <w:tc>
          <w:tcPr>
            <w:tcW w:w="920" w:type="pct"/>
            <w:vAlign w:val="center"/>
          </w:tcPr>
          <w:p w14:paraId="385A1817">
            <w:pPr>
              <w:pStyle w:val="2"/>
              <w:widowControl/>
              <w:shd w:val="clear" w:color="auto" w:fill="FFFFFF"/>
              <w:spacing w:before="0" w:beforeAutospacing="0" w:after="0" w:afterAutospacing="0" w:line="23" w:lineRule="atLeast"/>
              <w:jc w:val="center"/>
              <w:rPr>
                <w:rFonts w:ascii="仿宋_GB2312" w:hAnsi="仿宋_GB2312" w:eastAsia="仿宋_GB2312" w:cs="仿宋_GB2312"/>
                <w:b w:val="0"/>
                <w:bCs/>
                <w:sz w:val="30"/>
                <w:szCs w:val="30"/>
                <w:shd w:val="clear" w:color="auto" w:fill="FFFFFF"/>
              </w:rPr>
            </w:pPr>
            <w:r>
              <w:rPr>
                <w:rFonts w:ascii="仿宋_GB2312" w:hAnsi="仿宋_GB2312" w:eastAsia="仿宋_GB2312" w:cs="仿宋_GB2312"/>
                <w:b w:val="0"/>
                <w:bCs/>
                <w:sz w:val="30"/>
                <w:szCs w:val="30"/>
                <w:shd w:val="clear" w:color="auto" w:fill="FFFFFF"/>
              </w:rPr>
              <w:t>建设内容</w:t>
            </w:r>
          </w:p>
          <w:p w14:paraId="735AF4AE">
            <w:pPr>
              <w:pStyle w:val="2"/>
              <w:widowControl/>
              <w:shd w:val="clear" w:color="auto" w:fill="FFFFFF"/>
              <w:spacing w:before="0" w:beforeAutospacing="0" w:after="0" w:afterAutospacing="0" w:line="23" w:lineRule="atLeast"/>
              <w:jc w:val="center"/>
              <w:rPr>
                <w:rFonts w:ascii="仿宋_GB2312" w:hAnsi="仿宋_GB2312" w:eastAsia="仿宋_GB2312" w:cs="仿宋_GB2312"/>
                <w:b w:val="0"/>
                <w:bCs/>
                <w:sz w:val="30"/>
                <w:szCs w:val="30"/>
                <w:shd w:val="clear" w:color="auto" w:fill="FFFFFF"/>
              </w:rPr>
            </w:pPr>
            <w:r>
              <w:rPr>
                <w:rFonts w:ascii="仿宋_GB2312" w:hAnsi="仿宋_GB2312" w:eastAsia="仿宋_GB2312" w:cs="仿宋_GB2312"/>
                <w:b w:val="0"/>
                <w:bCs/>
                <w:sz w:val="30"/>
                <w:szCs w:val="30"/>
                <w:shd w:val="clear" w:color="auto" w:fill="FFFFFF"/>
              </w:rPr>
              <w:t>及功能技术要求</w:t>
            </w:r>
          </w:p>
        </w:tc>
        <w:tc>
          <w:tcPr>
            <w:tcW w:w="4079" w:type="pct"/>
          </w:tcPr>
          <w:p w14:paraId="713F8491">
            <w:pPr>
              <w:spacing w:line="360" w:lineRule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bookmarkStart w:id="0" w:name="_Toc17134"/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一、设备维保</w:t>
            </w:r>
            <w:bookmarkEnd w:id="0"/>
          </w:p>
          <w:tbl>
            <w:tblPr>
              <w:tblStyle w:val="7"/>
              <w:tblW w:w="7560" w:type="dxa"/>
              <w:tblInd w:w="57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70"/>
              <w:gridCol w:w="1230"/>
              <w:gridCol w:w="1980"/>
              <w:gridCol w:w="1080"/>
            </w:tblGrid>
            <w:tr w14:paraId="76E814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3270" w:type="dxa"/>
                  <w:shd w:val="clear" w:color="auto" w:fill="auto"/>
                  <w:noWrap w:val="0"/>
                  <w:vAlign w:val="center"/>
                </w:tcPr>
                <w:p w14:paraId="12488580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名称</w:t>
                  </w:r>
                </w:p>
              </w:tc>
              <w:tc>
                <w:tcPr>
                  <w:tcW w:w="1230" w:type="dxa"/>
                  <w:shd w:val="clear" w:color="auto" w:fill="auto"/>
                  <w:noWrap w:val="0"/>
                  <w:vAlign w:val="center"/>
                </w:tcPr>
                <w:p w14:paraId="1A615174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数量</w:t>
                  </w:r>
                </w:p>
              </w:tc>
              <w:tc>
                <w:tcPr>
                  <w:tcW w:w="1980" w:type="dxa"/>
                  <w:shd w:val="clear" w:color="auto" w:fill="auto"/>
                  <w:noWrap w:val="0"/>
                  <w:vAlign w:val="center"/>
                </w:tcPr>
                <w:p w14:paraId="0396D961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品牌型号</w:t>
                  </w:r>
                </w:p>
              </w:tc>
              <w:tc>
                <w:tcPr>
                  <w:tcW w:w="1080" w:type="dxa"/>
                  <w:shd w:val="clear" w:color="auto" w:fill="auto"/>
                  <w:noWrap w:val="0"/>
                  <w:vAlign w:val="center"/>
                </w:tcPr>
                <w:p w14:paraId="41CF63F9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维保期</w:t>
                  </w:r>
                </w:p>
              </w:tc>
            </w:tr>
            <w:tr w14:paraId="394173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270" w:type="dxa"/>
                  <w:shd w:val="clear" w:color="auto" w:fill="auto"/>
                  <w:noWrap w:val="0"/>
                  <w:vAlign w:val="top"/>
                </w:tcPr>
                <w:p w14:paraId="2287AE97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无线核心控制器</w:t>
                  </w:r>
                </w:p>
              </w:tc>
              <w:tc>
                <w:tcPr>
                  <w:tcW w:w="1230" w:type="dxa"/>
                  <w:shd w:val="clear" w:color="auto" w:fill="auto"/>
                  <w:noWrap w:val="0"/>
                  <w:vAlign w:val="top"/>
                </w:tcPr>
                <w:p w14:paraId="18E0CA56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  <w:lang w:val="en-US" w:eastAsia="zh-CN"/>
                    </w:rPr>
                    <w:t>2</w:t>
                  </w: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台</w:t>
                  </w:r>
                </w:p>
              </w:tc>
              <w:tc>
                <w:tcPr>
                  <w:tcW w:w="1980" w:type="dxa"/>
                  <w:shd w:val="clear" w:color="auto" w:fill="auto"/>
                  <w:noWrap w:val="0"/>
                  <w:vAlign w:val="top"/>
                </w:tcPr>
                <w:p w14:paraId="40962CBE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无线核心控制器</w:t>
                  </w:r>
                </w:p>
              </w:tc>
              <w:tc>
                <w:tcPr>
                  <w:tcW w:w="1080" w:type="dxa"/>
                  <w:shd w:val="clear" w:color="auto" w:fill="auto"/>
                  <w:noWrap w:val="0"/>
                  <w:vAlign w:val="top"/>
                </w:tcPr>
                <w:p w14:paraId="01C1DC8B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1年</w:t>
                  </w:r>
                </w:p>
              </w:tc>
            </w:tr>
            <w:tr w14:paraId="6EB1586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270" w:type="dxa"/>
                  <w:shd w:val="clear" w:color="auto" w:fill="auto"/>
                  <w:noWrap w:val="0"/>
                  <w:vAlign w:val="center"/>
                </w:tcPr>
                <w:p w14:paraId="3F42A4C9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核心交换机</w:t>
                  </w:r>
                </w:p>
              </w:tc>
              <w:tc>
                <w:tcPr>
                  <w:tcW w:w="1230" w:type="dxa"/>
                  <w:shd w:val="clear" w:color="auto" w:fill="auto"/>
                  <w:noWrap w:val="0"/>
                  <w:vAlign w:val="center"/>
                </w:tcPr>
                <w:p w14:paraId="04EDDE32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  <w:lang w:val="en-US" w:eastAsia="zh-CN"/>
                    </w:rPr>
                    <w:t>2</w:t>
                  </w: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台</w:t>
                  </w:r>
                </w:p>
              </w:tc>
              <w:tc>
                <w:tcPr>
                  <w:tcW w:w="1980" w:type="dxa"/>
                  <w:shd w:val="clear" w:color="auto" w:fill="auto"/>
                  <w:noWrap w:val="0"/>
                  <w:vAlign w:val="center"/>
                </w:tcPr>
                <w:p w14:paraId="69946599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H3C S12508</w:t>
                  </w:r>
                </w:p>
              </w:tc>
              <w:tc>
                <w:tcPr>
                  <w:tcW w:w="1080" w:type="dxa"/>
                  <w:shd w:val="clear" w:color="auto" w:fill="auto"/>
                  <w:noWrap w:val="0"/>
                  <w:vAlign w:val="center"/>
                </w:tcPr>
                <w:p w14:paraId="2B999D0A">
                  <w:pPr>
                    <w:spacing w:line="360" w:lineRule="auto"/>
                    <w:jc w:val="center"/>
                    <w:rPr>
                      <w:rFonts w:hint="eastAsia"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</w:rPr>
                    <w:t>1年</w:t>
                  </w:r>
                </w:p>
              </w:tc>
            </w:tr>
          </w:tbl>
          <w:p w14:paraId="1C8334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36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网络设备维保项目需求</w:t>
            </w:r>
          </w:p>
          <w:p w14:paraId="3D94234B">
            <w:pPr>
              <w:numPr>
                <w:ilvl w:val="0"/>
                <w:numId w:val="0"/>
              </w:numPr>
              <w:spacing w:line="360" w:lineRule="auto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（一）核心交换机维保服务要求</w:t>
            </w:r>
          </w:p>
          <w:p w14:paraId="3A61B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1、档案建立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在合同生效后，供应商派专人到采购人现场，对协议范围内的设备进行详细的登记，收集建立采购人设备档案所需的资料，包括：设备名称、型号、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核心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部件的产品系列号、设备具体配置、安装日期，系统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固件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、当前的资源利用率等。利用这些信息建立一套完善的用户档案系统，以便于故障的诊断和分析。</w:t>
            </w:r>
          </w:p>
          <w:p w14:paraId="51228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2、硬件巡检服务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供应商定期（每季度至少1次）对指定的系统硬件设备做定期的检测和维护，包括系统运行状况检测、系统调优、查看和分析日志文件和报警、记录等，形成巡检报告。</w:t>
            </w:r>
          </w:p>
          <w:p w14:paraId="685CA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3、硬件维保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发现硬件故障需对其进行维修或更换，保证采购人设备及系统的稳定运行。</w:t>
            </w:r>
          </w:p>
          <w:p w14:paraId="72CCD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4、紧急救援；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因核心设备骨干网络发生的未知的网络问题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影响正常业务的紧急故障，15分钟响应，工程师在4小时内到达故障现场。</w:t>
            </w:r>
          </w:p>
          <w:p w14:paraId="4CB70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5、性能分析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帮助采购人进行现有系统的性能分析，包括故障判断，判定系统瓶颈，并提出应采取的措施，以有效提高系统的性能。</w:t>
            </w:r>
          </w:p>
          <w:p w14:paraId="76626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6、性能资源利用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为系统的资源利用特点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一次性全面检查，以便帮助提高系统资源利用率。</w:t>
            </w:r>
          </w:p>
          <w:p w14:paraId="101DC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7、提供热线服务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供应商为采购人提供7*24小时热线电话，电话响应时间小于30分钟，提供包括服务请求、故障诊断、技术咨询等服务。</w:t>
            </w:r>
          </w:p>
          <w:p w14:paraId="5FCCC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8、提供远程服务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供应商为采购人提供7*24小时远程服务，服务响应时间小于30分钟，提供包括服务请求、故障诊断、技术咨询等服务。</w:t>
            </w:r>
          </w:p>
          <w:p w14:paraId="2D5CC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9、应提供现场服务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供应商为采购人提供现场技术支持服务：</w:t>
            </w:r>
          </w:p>
          <w:p w14:paraId="11A31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一级故障（硬件损坏、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无法正常运行）：提供即时电话支持，自接收服务请求起1小时内到达现场。若4小时内未能排除故障，则需在12小时内完成备件（性能不低于故障设备）更换，根据所更换部件，确保恢复至原有工作配置。 </w:t>
            </w:r>
          </w:p>
          <w:p w14:paraId="5A490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级故障：（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设备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能够启动，也能够运行，仅受到有限的影响或未受到严重影响）接到服务请求后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分钟内响应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并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回电话，根据采购人安排，协商到达现场4小时内到达现场处理，检查连接，清洗灰尘，电话支持，远程诊断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，18小时内无法解决故障的，须24小时内完成备件（性能不低于故障设备）替换，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根据所更换部件，确保恢复至原有工作配置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。</w:t>
            </w:r>
          </w:p>
          <w:p w14:paraId="615BC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三级故障：对于其它问题，在接到报修后1小时内响应，8小时内到达现场处理。</w:t>
            </w:r>
          </w:p>
          <w:p w14:paraId="02AB7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10、提供备件支持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免费备品备件支持。供应商应具备及时、稳定的备件支持能力。备件库中的备品备件对本项目必须达到100%比例的覆盖率，应具备可靠、合法的备件来源渠道，保证备件的可用性。供应商需对备品备件提供质量保证。</w:t>
            </w:r>
          </w:p>
          <w:p w14:paraId="1C422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11、提供培训服务：在维保期内，供应商需至少为采购人开展一次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产品技术培训。培训内容包括但不限于网络的规划、设计、配置、运维以及调优等方面。 </w:t>
            </w:r>
          </w:p>
          <w:p w14:paraId="2BD7B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12、为确保核心交换机能够正常运行，维护医院核心骨干网络的稳定与安全，特采购核心交换机设备为期一年的硬件维保服务。该项目服务目标及维保要求如下：</w:t>
            </w:r>
          </w:p>
          <w:p w14:paraId="79A2C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（1）建立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资产档案；</w:t>
            </w:r>
          </w:p>
          <w:p w14:paraId="3395B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（2）开展硬件日常维护、处理故障并更换损坏配件；</w:t>
            </w:r>
          </w:p>
          <w:p w14:paraId="32C77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（3）进行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网络性能分析与优化等工作；</w:t>
            </w:r>
          </w:p>
          <w:p w14:paraId="42773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（4）对设备进行定期清洁与保养；</w:t>
            </w:r>
          </w:p>
          <w:p w14:paraId="41989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（5）提供7×24小时的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核心设备硬件维保服务；</w:t>
            </w:r>
          </w:p>
          <w:p w14:paraId="49D29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 xml:space="preserve">需定期（每季度一次）对设备开展巡检服务，并在五个工作日内出具巡检报告。 </w:t>
            </w:r>
          </w:p>
          <w:p w14:paraId="03C289B0">
            <w:pPr>
              <w:numPr>
                <w:ilvl w:val="0"/>
                <w:numId w:val="2"/>
              </w:numPr>
              <w:spacing w:line="360" w:lineRule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无线核心控制器维保服务要求</w:t>
            </w:r>
          </w:p>
          <w:p w14:paraId="30B6E1B9">
            <w:pPr>
              <w:numPr>
                <w:ilvl w:val="0"/>
                <w:numId w:val="0"/>
              </w:numPr>
              <w:spacing w:line="36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相关技术维保服务参数与核心交换机维保服务要求相同。 </w:t>
            </w:r>
          </w:p>
          <w:p w14:paraId="0E55D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bookmarkStart w:id="1" w:name="_Toc19838"/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三、服务要求</w:t>
            </w:r>
            <w:bookmarkEnd w:id="1"/>
          </w:p>
          <w:p w14:paraId="429C4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1、保证核心设备安全，稳定运行为基本要求。</w:t>
            </w:r>
          </w:p>
          <w:p w14:paraId="7641F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2、按要求与医院签署信息安全保密协议。</w:t>
            </w:r>
          </w:p>
          <w:p w14:paraId="74548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3、提供维护工作报表。</w:t>
            </w:r>
          </w:p>
          <w:p w14:paraId="789B9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4、维保服务工作质量奖惩办法：凡维保服务工作不能按照参数要求完成的，参照《南宁市第二人民医院奖惩办法》条规进行处理。</w:t>
            </w:r>
          </w:p>
          <w:p w14:paraId="7D42B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bookmarkStart w:id="2" w:name="_Toc11236"/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四、信息安全要求</w:t>
            </w:r>
            <w:bookmarkEnd w:id="2"/>
          </w:p>
          <w:p w14:paraId="28800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1、满足国家颁布《信息安全技术网络安全等级保护基本要求 2.0》的相关规范，保障网络信息安全和保护患者隐私。</w:t>
            </w:r>
          </w:p>
          <w:p w14:paraId="6A1F9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2、配合医院每年的信息安全等级保护测评、上级部门年度安全检查、公安部门的护网行动，对检查和演练中发现问题，凡属于维护产品引起的，成交人必须无条件组织整改。</w:t>
            </w:r>
          </w:p>
        </w:tc>
      </w:tr>
      <w:tr w14:paraId="34E80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</w:trPr>
        <w:tc>
          <w:tcPr>
            <w:tcW w:w="920" w:type="pct"/>
            <w:vAlign w:val="center"/>
          </w:tcPr>
          <w:p w14:paraId="486B3DE3">
            <w:pPr>
              <w:pStyle w:val="2"/>
              <w:widowControl/>
              <w:shd w:val="clear" w:color="auto" w:fill="FFFFFF"/>
              <w:spacing w:before="0" w:beforeAutospacing="0" w:after="0" w:afterAutospacing="0" w:line="23" w:lineRule="atLeast"/>
              <w:jc w:val="center"/>
              <w:rPr>
                <w:rFonts w:ascii="仿宋_GB2312" w:hAnsi="仿宋_GB2312" w:eastAsia="仿宋_GB2312" w:cs="仿宋_GB2312"/>
                <w:b w:val="0"/>
                <w:bCs/>
                <w:sz w:val="30"/>
                <w:szCs w:val="30"/>
                <w:shd w:val="clear" w:color="auto" w:fill="FFFFFF"/>
              </w:rPr>
            </w:pPr>
            <w:r>
              <w:rPr>
                <w:rFonts w:ascii="仿宋_GB2312" w:hAnsi="仿宋_GB2312" w:eastAsia="仿宋_GB2312" w:cs="仿宋_GB2312"/>
                <w:b w:val="0"/>
                <w:bCs/>
                <w:sz w:val="30"/>
                <w:szCs w:val="30"/>
                <w:shd w:val="clear" w:color="auto" w:fill="FFFFFF"/>
              </w:rPr>
              <w:t>硬件设施要求</w:t>
            </w:r>
          </w:p>
        </w:tc>
        <w:tc>
          <w:tcPr>
            <w:tcW w:w="4079" w:type="pct"/>
          </w:tcPr>
          <w:p w14:paraId="35A27826">
            <w:pPr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备件替换其性能不低于故障设备</w:t>
            </w:r>
          </w:p>
        </w:tc>
      </w:tr>
    </w:tbl>
    <w:p w14:paraId="78D9CD57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_GoBack"/>
      <w:bookmarkEnd w:id="3"/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BF31442-EA36-4289-A93F-A419C5636CA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ED34505-D601-4A05-89C1-0056443299B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2422C"/>
    <w:multiLevelType w:val="multilevel"/>
    <w:tmpl w:val="0262422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abstractNum w:abstractNumId="1">
    <w:nsid w:val="0B201EDD"/>
    <w:multiLevelType w:val="singleLevel"/>
    <w:tmpl w:val="0B201ED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04"/>
    <w:rsid w:val="000C235D"/>
    <w:rsid w:val="001306F3"/>
    <w:rsid w:val="002775D0"/>
    <w:rsid w:val="0029525C"/>
    <w:rsid w:val="002B3848"/>
    <w:rsid w:val="00392202"/>
    <w:rsid w:val="00457BC1"/>
    <w:rsid w:val="004C7884"/>
    <w:rsid w:val="0062536D"/>
    <w:rsid w:val="00663F69"/>
    <w:rsid w:val="00746B0B"/>
    <w:rsid w:val="00783CAB"/>
    <w:rsid w:val="007F3D04"/>
    <w:rsid w:val="008E703A"/>
    <w:rsid w:val="00A235DB"/>
    <w:rsid w:val="00AB7A81"/>
    <w:rsid w:val="00AD474E"/>
    <w:rsid w:val="00B9490F"/>
    <w:rsid w:val="00BC1837"/>
    <w:rsid w:val="00BD5C7B"/>
    <w:rsid w:val="00C8701C"/>
    <w:rsid w:val="00CD1532"/>
    <w:rsid w:val="00CD6E2D"/>
    <w:rsid w:val="00DB47E3"/>
    <w:rsid w:val="00DC5571"/>
    <w:rsid w:val="00F3008E"/>
    <w:rsid w:val="00FD2776"/>
    <w:rsid w:val="024212C1"/>
    <w:rsid w:val="024F00AA"/>
    <w:rsid w:val="04414228"/>
    <w:rsid w:val="058B5995"/>
    <w:rsid w:val="06981557"/>
    <w:rsid w:val="096D1D5A"/>
    <w:rsid w:val="09C7431A"/>
    <w:rsid w:val="0B183F48"/>
    <w:rsid w:val="0BCC0AE8"/>
    <w:rsid w:val="0C3E79DE"/>
    <w:rsid w:val="0C5837A6"/>
    <w:rsid w:val="0D187F42"/>
    <w:rsid w:val="0F583E3E"/>
    <w:rsid w:val="11812847"/>
    <w:rsid w:val="12026A19"/>
    <w:rsid w:val="16C7225C"/>
    <w:rsid w:val="18A8690B"/>
    <w:rsid w:val="18D222F9"/>
    <w:rsid w:val="192D5062"/>
    <w:rsid w:val="1976071E"/>
    <w:rsid w:val="1CB82E95"/>
    <w:rsid w:val="1D6B4069"/>
    <w:rsid w:val="1DC87107"/>
    <w:rsid w:val="21771570"/>
    <w:rsid w:val="2339488C"/>
    <w:rsid w:val="24A175E7"/>
    <w:rsid w:val="24F527AD"/>
    <w:rsid w:val="2C1905BB"/>
    <w:rsid w:val="2D871B5F"/>
    <w:rsid w:val="2E0302D5"/>
    <w:rsid w:val="2FDD2EE6"/>
    <w:rsid w:val="310821E5"/>
    <w:rsid w:val="31A83831"/>
    <w:rsid w:val="32D25B5E"/>
    <w:rsid w:val="341C4668"/>
    <w:rsid w:val="355A59CF"/>
    <w:rsid w:val="369A4A73"/>
    <w:rsid w:val="37AC1890"/>
    <w:rsid w:val="38454D46"/>
    <w:rsid w:val="3929719C"/>
    <w:rsid w:val="3AA04EF3"/>
    <w:rsid w:val="3CA92239"/>
    <w:rsid w:val="3EE53B65"/>
    <w:rsid w:val="407C678B"/>
    <w:rsid w:val="41390685"/>
    <w:rsid w:val="462C48DA"/>
    <w:rsid w:val="46B42E79"/>
    <w:rsid w:val="482515E9"/>
    <w:rsid w:val="4A2E1323"/>
    <w:rsid w:val="4B390BF7"/>
    <w:rsid w:val="4D4F3B65"/>
    <w:rsid w:val="4DD802BF"/>
    <w:rsid w:val="4E1C1427"/>
    <w:rsid w:val="50350CDD"/>
    <w:rsid w:val="51337A67"/>
    <w:rsid w:val="562E6171"/>
    <w:rsid w:val="5712138D"/>
    <w:rsid w:val="58F130E8"/>
    <w:rsid w:val="59A57A22"/>
    <w:rsid w:val="604942B6"/>
    <w:rsid w:val="623E51B7"/>
    <w:rsid w:val="624A590A"/>
    <w:rsid w:val="658A40FF"/>
    <w:rsid w:val="69EA5DD9"/>
    <w:rsid w:val="6B2F24E3"/>
    <w:rsid w:val="6B705AE9"/>
    <w:rsid w:val="6D714D8F"/>
    <w:rsid w:val="6DE03A44"/>
    <w:rsid w:val="71097A18"/>
    <w:rsid w:val="744C6EF2"/>
    <w:rsid w:val="75433313"/>
    <w:rsid w:val="767F6D61"/>
    <w:rsid w:val="77CF1D1D"/>
    <w:rsid w:val="782C0AC3"/>
    <w:rsid w:val="783A38D3"/>
    <w:rsid w:val="790A575E"/>
    <w:rsid w:val="7B1D5512"/>
    <w:rsid w:val="7C0105DA"/>
    <w:rsid w:val="7C4B60B7"/>
    <w:rsid w:val="7D064979"/>
    <w:rsid w:val="7D07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9"/>
    <w:link w:val="4"/>
    <w:qFormat/>
    <w:uiPriority w:val="0"/>
    <w:rPr>
      <w:rFonts w:ascii="Calibri" w:hAnsi="Calibri"/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13">
    <w:name w:val="标题 2 字符"/>
    <w:basedOn w:val="9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1859</Words>
  <Characters>1900</Characters>
  <Lines>29</Lines>
  <Paragraphs>8</Paragraphs>
  <TotalTime>2</TotalTime>
  <ScaleCrop>false</ScaleCrop>
  <LinksUpToDate>false</LinksUpToDate>
  <CharactersWithSpaces>1907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2025-09-12T06:24:00Z</dcterms:created>
  <dc:creator>Administrator</dc:creator>
  <cp:lastModifiedBy>微信用户</cp:lastModifiedBy>
  <cp:lastPrinted>2025-06-22T06:29:00Z</cp:lastPrinted>
  <dcterms:modified xsi:type="dcterms:W3CDTF">2026-07-24T13:03:44Z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eyJoZGlkIjoiZTRiNjVhYTllYWUwMDIyODUxNzkzMTBjY2I5MDk3ZmUiLCJ1c2VySWQiOiIxMjczMDI1NTE1In0=</vt:lpwstr>
  </property>
  <property fmtid="{D5CDD505-2E9C-101B-9397-08002B2CF9AE}" pid="4" name="ICV">
    <vt:lpwstr>85D3C8C410DB43079937B71FD7BD3973_13</vt:lpwstr>
  </property>
</Properties>
</file>