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彩虹小标宋" w:hAnsi="宋体" w:eastAsia="彩虹小标宋"/>
          <w:snapToGrid w:val="0"/>
          <w:kern w:val="0"/>
          <w:sz w:val="44"/>
          <w:szCs w:val="44"/>
        </w:rPr>
      </w:pPr>
      <w:r>
        <w:rPr>
          <w:rFonts w:hint="eastAsia" w:ascii="彩虹小标宋" w:hAnsi="宋体" w:eastAsia="彩虹小标宋"/>
          <w:snapToGrid w:val="0"/>
          <w:kern w:val="0"/>
          <w:sz w:val="44"/>
          <w:szCs w:val="44"/>
        </w:rPr>
        <w:t>桂林医保移动支付信息化建设项目</w:t>
      </w:r>
    </w:p>
    <w:p>
      <w:pPr>
        <w:spacing w:line="360" w:lineRule="auto"/>
        <w:jc w:val="center"/>
        <w:rPr>
          <w:rFonts w:ascii="彩虹小标宋" w:hAnsi="宋体" w:eastAsia="彩虹小标宋"/>
          <w:snapToGrid w:val="0"/>
          <w:kern w:val="0"/>
          <w:sz w:val="44"/>
          <w:szCs w:val="44"/>
        </w:rPr>
      </w:pPr>
      <w:r>
        <w:rPr>
          <w:rFonts w:hint="eastAsia" w:ascii="彩虹小标宋" w:hAnsi="宋体" w:eastAsia="彩虹小标宋"/>
          <w:snapToGrid w:val="0"/>
          <w:kern w:val="0"/>
          <w:sz w:val="44"/>
          <w:szCs w:val="44"/>
        </w:rPr>
        <w:t>医院HIS系统采购需求</w:t>
      </w:r>
    </w:p>
    <w:p>
      <w:pPr>
        <w:adjustRightInd w:val="0"/>
        <w:snapToGrid w:val="0"/>
        <w:spacing w:line="360" w:lineRule="auto"/>
        <w:rPr>
          <w:rFonts w:hint="eastAsia" w:ascii="彩虹小标宋" w:hAnsi="宋体" w:eastAsia="彩虹小标宋"/>
          <w:snapToGrid w:val="0"/>
          <w:kern w:val="0"/>
          <w:sz w:val="30"/>
          <w:szCs w:val="30"/>
          <w:lang w:val="en-US" w:eastAsia="zh-CN"/>
        </w:rPr>
      </w:pPr>
      <w:r>
        <w:rPr>
          <w:rFonts w:hint="eastAsia" w:ascii="彩虹小标宋" w:hAnsi="宋体" w:eastAsia="彩虹小标宋"/>
          <w:snapToGrid w:val="0"/>
          <w:kern w:val="0"/>
          <w:sz w:val="30"/>
          <w:szCs w:val="30"/>
          <w:lang w:val="en-US" w:eastAsia="zh-CN"/>
        </w:rPr>
        <w:t>--桂林市人民医院、桂林市社会福利医院、灵川县人民医院</w:t>
      </w:r>
    </w:p>
    <w:p>
      <w:pPr>
        <w:adjustRightInd w:val="0"/>
        <w:snapToGrid w:val="0"/>
        <w:spacing w:line="360" w:lineRule="auto"/>
        <w:rPr>
          <w:rFonts w:hint="eastAsia" w:ascii="彩虹小标宋" w:hAnsi="宋体" w:eastAsia="彩虹小标宋"/>
          <w:snapToGrid w:val="0"/>
          <w:kern w:val="0"/>
          <w:sz w:val="30"/>
          <w:szCs w:val="30"/>
          <w:lang w:val="en-US" w:eastAsia="zh-CN"/>
        </w:rPr>
      </w:pPr>
    </w:p>
    <w:p>
      <w:pPr>
        <w:numPr>
          <w:ilvl w:val="0"/>
          <w:numId w:val="1"/>
        </w:numPr>
        <w:spacing w:line="360" w:lineRule="auto"/>
        <w:ind w:firstLine="642" w:firstLineChars="200"/>
        <w:rPr>
          <w:rFonts w:hint="eastAsia" w:ascii="彩虹粗仿宋" w:hAnsi="宋体" w:eastAsia="彩虹粗仿宋"/>
          <w:color w:val="FF0000"/>
          <w:sz w:val="32"/>
          <w:szCs w:val="32"/>
        </w:rPr>
      </w:pPr>
      <w:r>
        <w:rPr>
          <w:rFonts w:hint="eastAsia" w:ascii="彩虹粗仿宋" w:hAnsi="宋体" w:eastAsia="彩虹粗仿宋"/>
          <w:b/>
          <w:sz w:val="32"/>
          <w:szCs w:val="32"/>
        </w:rPr>
        <w:t>采购内容及功能要求</w:t>
      </w:r>
    </w:p>
    <w:p>
      <w:pPr>
        <w:widowControl w:val="0"/>
        <w:numPr>
          <w:ilvl w:val="0"/>
          <w:numId w:val="0"/>
        </w:numPr>
        <w:spacing w:line="360" w:lineRule="auto"/>
        <w:ind w:firstLine="640" w:firstLineChars="200"/>
        <w:jc w:val="both"/>
        <w:rPr>
          <w:rFonts w:hint="eastAsia" w:ascii="彩虹粗仿宋" w:hAnsi="宋体" w:eastAsia="彩虹粗仿宋"/>
          <w:sz w:val="32"/>
          <w:szCs w:val="32"/>
          <w:lang w:eastAsia="zh-CN"/>
        </w:rPr>
      </w:pPr>
      <w:r>
        <w:rPr>
          <w:rFonts w:hint="eastAsia" w:ascii="彩虹粗仿宋" w:hAnsi="宋体" w:eastAsia="彩虹粗仿宋"/>
          <w:sz w:val="32"/>
          <w:szCs w:val="32"/>
        </w:rPr>
        <w:t>本次我行拟采购的桂林医保移动支付信息化建设项目</w:t>
      </w:r>
      <w:r>
        <w:rPr>
          <w:rFonts w:hint="eastAsia" w:ascii="彩虹粗仿宋" w:hAnsi="宋体" w:eastAsia="彩虹粗仿宋"/>
          <w:sz w:val="32"/>
          <w:szCs w:val="32"/>
          <w:lang w:val="en-US" w:eastAsia="zh-CN"/>
        </w:rPr>
        <w:t>--</w:t>
      </w:r>
      <w:r>
        <w:rPr>
          <w:rFonts w:hint="eastAsia" w:ascii="彩虹粗仿宋" w:eastAsia="彩虹粗仿宋" w:hAnsiTheme="minorHAnsi" w:cstheme="minorBidi"/>
          <w:b w:val="0"/>
          <w:kern w:val="0"/>
          <w:sz w:val="32"/>
          <w:szCs w:val="32"/>
          <w:lang w:val="en-US" w:eastAsia="zh-CN" w:bidi="ar-SA"/>
        </w:rPr>
        <w:t>医院HIS系统（桂林市人民医院、桂林市社会福利医院、灵川县人民医院）</w:t>
      </w:r>
      <w:r>
        <w:rPr>
          <w:rFonts w:hint="eastAsia" w:ascii="彩虹粗仿宋" w:hAnsi="宋体" w:eastAsia="彩虹粗仿宋"/>
          <w:sz w:val="32"/>
          <w:szCs w:val="32"/>
        </w:rPr>
        <w:t>，该系统是指在医院</w:t>
      </w:r>
      <w:r>
        <w:rPr>
          <w:rFonts w:hint="eastAsia" w:ascii="彩虹粗仿宋" w:hAnsi="宋体" w:eastAsia="彩虹粗仿宋"/>
          <w:color w:val="000000" w:themeColor="text1"/>
          <w:sz w:val="32"/>
          <w:szCs w:val="32"/>
          <w14:textFill>
            <w14:solidFill>
              <w14:schemeClr w14:val="tx1"/>
            </w14:solidFill>
          </w14:textFill>
        </w:rPr>
        <w:t>原有</w:t>
      </w:r>
      <w:r>
        <w:rPr>
          <w:rFonts w:hint="eastAsia" w:ascii="彩虹粗仿宋" w:hAnsi="宋体" w:eastAsia="彩虹粗仿宋"/>
          <w:sz w:val="32"/>
          <w:szCs w:val="32"/>
        </w:rPr>
        <w:t>系统基础上搭建能与医保局端医保移动支付系统进行数据交换和处理的软件系统。本次采购涉及</w:t>
      </w:r>
      <w:r>
        <w:rPr>
          <w:rFonts w:hint="eastAsia" w:ascii="彩虹粗仿宋" w:hAnsi="宋体" w:eastAsia="彩虹粗仿宋"/>
          <w:sz w:val="32"/>
          <w:szCs w:val="32"/>
          <w:lang w:val="en-US" w:eastAsia="zh-CN"/>
        </w:rPr>
        <w:t>3</w:t>
      </w:r>
      <w:r>
        <w:rPr>
          <w:rFonts w:hint="eastAsia" w:ascii="彩虹粗仿宋" w:hAnsi="宋体" w:eastAsia="彩虹粗仿宋"/>
          <w:sz w:val="32"/>
          <w:szCs w:val="32"/>
        </w:rPr>
        <w:t>家医院</w:t>
      </w:r>
      <w:r>
        <w:rPr>
          <w:rFonts w:hint="eastAsia" w:ascii="彩虹粗仿宋" w:hAnsi="宋体" w:eastAsia="彩虹粗仿宋"/>
          <w:sz w:val="32"/>
          <w:szCs w:val="32"/>
          <w:lang w:eastAsia="zh-CN"/>
        </w:rPr>
        <w:t>，</w:t>
      </w:r>
      <w:r>
        <w:rPr>
          <w:rFonts w:hint="eastAsia" w:ascii="彩虹粗仿宋" w:hAnsi="宋体" w:eastAsia="彩虹粗仿宋"/>
          <w:sz w:val="32"/>
          <w:szCs w:val="32"/>
        </w:rPr>
        <w:t>具体采购项目明细如下表</w:t>
      </w:r>
      <w:r>
        <w:rPr>
          <w:rFonts w:hint="eastAsia" w:ascii="彩虹粗仿宋" w:hAnsi="宋体" w:eastAsia="彩虹粗仿宋"/>
          <w:sz w:val="32"/>
          <w:szCs w:val="32"/>
          <w:lang w:eastAsia="zh-CN"/>
        </w:rPr>
        <w:t>：</w:t>
      </w:r>
    </w:p>
    <w:tbl>
      <w:tblPr>
        <w:tblStyle w:val="4"/>
        <w:tblW w:w="8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148"/>
        <w:gridCol w:w="936"/>
        <w:gridCol w:w="3595"/>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56" w:type="dxa"/>
            <w:noWrap w:val="0"/>
            <w:vAlign w:val="center"/>
          </w:tcPr>
          <w:p>
            <w:pPr>
              <w:widowControl/>
              <w:jc w:val="center"/>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序号</w:t>
            </w:r>
          </w:p>
        </w:tc>
        <w:tc>
          <w:tcPr>
            <w:tcW w:w="2148" w:type="dxa"/>
            <w:noWrap w:val="0"/>
            <w:vAlign w:val="center"/>
          </w:tcPr>
          <w:p>
            <w:pPr>
              <w:widowControl/>
              <w:jc w:val="center"/>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商品名称</w:t>
            </w:r>
          </w:p>
        </w:tc>
        <w:tc>
          <w:tcPr>
            <w:tcW w:w="936" w:type="dxa"/>
            <w:noWrap w:val="0"/>
            <w:vAlign w:val="center"/>
          </w:tcPr>
          <w:p>
            <w:pPr>
              <w:widowControl/>
              <w:jc w:val="center"/>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数量（套）</w:t>
            </w:r>
          </w:p>
        </w:tc>
        <w:tc>
          <w:tcPr>
            <w:tcW w:w="3595" w:type="dxa"/>
            <w:noWrap w:val="0"/>
            <w:vAlign w:val="center"/>
          </w:tcPr>
          <w:p>
            <w:pPr>
              <w:widowControl/>
              <w:jc w:val="center"/>
              <w:rPr>
                <w:rFonts w:hint="eastAsia" w:ascii="彩虹粗仿宋" w:hAnsi="宋体" w:eastAsia="彩虹粗仿宋" w:cs="宋体"/>
                <w:color w:val="000000"/>
                <w:kern w:val="0"/>
                <w:sz w:val="22"/>
                <w:lang w:val="en-US" w:eastAsia="zh-CN"/>
              </w:rPr>
            </w:pPr>
            <w:r>
              <w:rPr>
                <w:rFonts w:hint="eastAsia" w:ascii="彩虹粗仿宋" w:hAnsi="宋体" w:eastAsia="彩虹粗仿宋" w:cs="宋体"/>
                <w:color w:val="000000"/>
                <w:kern w:val="0"/>
                <w:sz w:val="22"/>
              </w:rPr>
              <w:t>功能要求</w:t>
            </w:r>
          </w:p>
        </w:tc>
        <w:tc>
          <w:tcPr>
            <w:tcW w:w="727" w:type="dxa"/>
            <w:noWrap w:val="0"/>
            <w:vAlign w:val="center"/>
          </w:tcPr>
          <w:p>
            <w:pPr>
              <w:widowControl/>
              <w:jc w:val="center"/>
              <w:rPr>
                <w:rFonts w:hint="eastAsia" w:ascii="彩虹粗仿宋" w:hAnsi="宋体" w:eastAsia="彩虹粗仿宋" w:cs="宋体"/>
                <w:color w:val="000000"/>
                <w:kern w:val="0"/>
                <w:sz w:val="22"/>
                <w:lang w:val="en-US" w:eastAsia="zh-CN"/>
              </w:rPr>
            </w:pPr>
            <w:r>
              <w:rPr>
                <w:rFonts w:hint="eastAsia" w:ascii="彩虹粗仿宋" w:hAnsi="宋体" w:eastAsia="彩虹粗仿宋" w:cs="宋体"/>
                <w:color w:val="000000"/>
                <w:kern w:val="0"/>
                <w:sz w:val="2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656" w:type="dxa"/>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2148" w:type="dxa"/>
            <w:noWrap/>
            <w:vAlign w:val="center"/>
          </w:tcPr>
          <w:p>
            <w:pPr>
              <w:widowControl/>
              <w:jc w:val="left"/>
              <w:rPr>
                <w:rFonts w:ascii="宋体" w:hAnsi="宋体" w:cs="宋体"/>
                <w:color w:val="000000"/>
                <w:kern w:val="0"/>
                <w:sz w:val="22"/>
              </w:rPr>
            </w:pPr>
            <w:r>
              <w:rPr>
                <w:rFonts w:hint="eastAsia" w:ascii="彩虹粗仿宋" w:hAnsi="宋体" w:eastAsia="彩虹粗仿宋" w:cs="宋体"/>
                <w:color w:val="000000"/>
                <w:kern w:val="0"/>
                <w:sz w:val="24"/>
                <w:szCs w:val="24"/>
              </w:rPr>
              <w:t>医保移动支付-医院HIS系统（</w:t>
            </w:r>
            <w:r>
              <w:rPr>
                <w:rFonts w:hint="eastAsia" w:ascii="彩虹粗仿宋" w:hAnsi="宋体" w:eastAsia="彩虹粗仿宋" w:cs="宋体"/>
                <w:color w:val="000000"/>
                <w:kern w:val="0"/>
                <w:sz w:val="24"/>
                <w:szCs w:val="24"/>
                <w:lang w:eastAsia="zh-CN"/>
              </w:rPr>
              <w:t>桂林市</w:t>
            </w:r>
            <w:r>
              <w:rPr>
                <w:rFonts w:hint="eastAsia" w:ascii="彩虹粗仿宋" w:hAnsi="宋体" w:eastAsia="彩虹粗仿宋" w:cs="宋体"/>
                <w:color w:val="000000"/>
                <w:kern w:val="0"/>
                <w:sz w:val="24"/>
                <w:szCs w:val="24"/>
              </w:rPr>
              <w:t>人民医院）</w:t>
            </w:r>
          </w:p>
        </w:tc>
        <w:tc>
          <w:tcPr>
            <w:tcW w:w="936" w:type="dxa"/>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3595" w:type="dxa"/>
            <w:vMerge w:val="restart"/>
            <w:noWrap/>
            <w:vAlign w:val="center"/>
          </w:tcPr>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【6201】费用明细上传</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【6202】支付下单</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【6203】医保退费</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【6204】医保订单信息同步</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【6205】银行卡支付下单</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【6301】医保订单结算结果查询</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【6302】医保结算结果通知</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【H6303】获取费用明细</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【H6305】医院结算信息查询</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【6401】费用明细上传撤销</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【H6501】费用明细上传通知</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【H6503】医保退费通知</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【H6504】明细上传撤销通知</w:t>
            </w:r>
          </w:p>
          <w:p>
            <w:pPr>
              <w:widowControl/>
              <w:jc w:val="left"/>
              <w:rPr>
                <w:rFonts w:hint="eastAsia" w:ascii="彩虹粗仿宋" w:hAnsi="宋体" w:eastAsia="彩虹粗仿宋" w:cs="宋体"/>
                <w:color w:val="000000"/>
                <w:kern w:val="0"/>
                <w:sz w:val="24"/>
                <w:szCs w:val="24"/>
              </w:rPr>
            </w:pPr>
            <w:r>
              <w:rPr>
                <w:rFonts w:hint="eastAsia" w:ascii="彩虹粗仿宋" w:hAnsi="宋体" w:eastAsia="彩虹粗仿宋" w:cs="宋体"/>
                <w:color w:val="000000"/>
                <w:kern w:val="0"/>
                <w:sz w:val="24"/>
                <w:szCs w:val="24"/>
              </w:rPr>
              <w:t>【H6505】住院押金缴纳通知</w:t>
            </w:r>
          </w:p>
          <w:p>
            <w:pPr>
              <w:widowControl/>
              <w:jc w:val="left"/>
              <w:rPr>
                <w:rFonts w:hint="eastAsia" w:ascii="宋体" w:hAnsi="宋体" w:cs="宋体"/>
                <w:color w:val="000000"/>
                <w:kern w:val="0"/>
                <w:sz w:val="22"/>
              </w:rPr>
            </w:pPr>
            <w:r>
              <w:rPr>
                <w:rFonts w:hint="eastAsia" w:ascii="彩虹粗仿宋" w:hAnsi="宋体" w:eastAsia="彩虹粗仿宋" w:cs="宋体"/>
                <w:color w:val="000000"/>
                <w:kern w:val="0"/>
                <w:sz w:val="24"/>
                <w:szCs w:val="24"/>
              </w:rPr>
              <w:t>【H6506】机构支付下单通知</w:t>
            </w:r>
          </w:p>
        </w:tc>
        <w:tc>
          <w:tcPr>
            <w:tcW w:w="727" w:type="dxa"/>
            <w:vMerge w:val="restart"/>
            <w:noWrap/>
            <w:vAlign w:val="center"/>
          </w:tcPr>
          <w:p>
            <w:pPr>
              <w:widowControl/>
              <w:jc w:val="left"/>
              <w:rPr>
                <w:rFonts w:hint="eastAsia" w:ascii="彩虹粗仿宋" w:hAnsi="宋体" w:eastAsia="彩虹粗仿宋" w:cs="宋体"/>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656" w:type="dxa"/>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2148" w:type="dxa"/>
            <w:noWrap/>
            <w:vAlign w:val="center"/>
          </w:tcPr>
          <w:p>
            <w:pPr>
              <w:widowControl/>
              <w:jc w:val="left"/>
              <w:rPr>
                <w:rFonts w:hint="eastAsia" w:ascii="宋体" w:hAnsi="宋体" w:cs="宋体"/>
                <w:color w:val="000000"/>
                <w:kern w:val="0"/>
                <w:sz w:val="22"/>
              </w:rPr>
            </w:pPr>
            <w:r>
              <w:rPr>
                <w:rFonts w:hint="eastAsia" w:ascii="彩虹粗仿宋" w:hAnsi="宋体" w:eastAsia="彩虹粗仿宋" w:cs="宋体"/>
                <w:color w:val="000000"/>
                <w:kern w:val="0"/>
                <w:sz w:val="24"/>
                <w:szCs w:val="24"/>
              </w:rPr>
              <w:t>医保移动支付-医院HIS系统</w:t>
            </w:r>
            <w:r>
              <w:rPr>
                <w:rFonts w:hint="eastAsia" w:ascii="彩虹粗仿宋" w:hAnsi="宋体" w:eastAsia="彩虹粗仿宋" w:cs="宋体"/>
                <w:color w:val="000000"/>
                <w:kern w:val="0"/>
                <w:sz w:val="24"/>
                <w:szCs w:val="24"/>
                <w:lang w:eastAsia="zh-CN"/>
              </w:rPr>
              <w:t>（桂林市社会福利医院）</w:t>
            </w:r>
          </w:p>
        </w:tc>
        <w:tc>
          <w:tcPr>
            <w:tcW w:w="936" w:type="dxa"/>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3595" w:type="dxa"/>
            <w:vMerge w:val="continue"/>
            <w:noWrap/>
            <w:vAlign w:val="center"/>
          </w:tcPr>
          <w:p>
            <w:pPr>
              <w:widowControl/>
              <w:jc w:val="center"/>
              <w:rPr>
                <w:rFonts w:hint="eastAsia" w:ascii="宋体" w:hAnsi="宋体" w:cs="宋体"/>
                <w:color w:val="000000"/>
                <w:kern w:val="0"/>
                <w:sz w:val="22"/>
                <w:lang w:val="en-US" w:eastAsia="zh-CN"/>
              </w:rPr>
            </w:pPr>
          </w:p>
        </w:tc>
        <w:tc>
          <w:tcPr>
            <w:tcW w:w="727" w:type="dxa"/>
            <w:vMerge w:val="continue"/>
            <w:noWrap/>
            <w:vAlign w:val="center"/>
          </w:tcPr>
          <w:p>
            <w:pPr>
              <w:widowControl/>
              <w:jc w:val="left"/>
              <w:rPr>
                <w:rFonts w:hint="eastAsia" w:ascii="彩虹粗仿宋" w:hAnsi="宋体" w:eastAsia="彩虹粗仿宋" w:cs="宋体"/>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56" w:type="dxa"/>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2148" w:type="dxa"/>
            <w:noWrap/>
            <w:vAlign w:val="center"/>
          </w:tcPr>
          <w:p>
            <w:pPr>
              <w:widowControl/>
              <w:jc w:val="left"/>
              <w:rPr>
                <w:rFonts w:hint="eastAsia" w:ascii="宋体" w:hAnsi="宋体" w:cs="宋体"/>
                <w:color w:val="000000"/>
                <w:kern w:val="0"/>
                <w:sz w:val="22"/>
              </w:rPr>
            </w:pPr>
            <w:r>
              <w:rPr>
                <w:rFonts w:hint="eastAsia" w:ascii="彩虹粗仿宋" w:hAnsi="宋体" w:eastAsia="彩虹粗仿宋" w:cs="宋体"/>
                <w:color w:val="000000"/>
                <w:kern w:val="0"/>
                <w:sz w:val="24"/>
                <w:szCs w:val="24"/>
              </w:rPr>
              <w:t>医保移动支付-医院HIS系统</w:t>
            </w:r>
            <w:r>
              <w:rPr>
                <w:rFonts w:hint="eastAsia" w:ascii="彩虹粗仿宋" w:hAnsi="宋体" w:eastAsia="彩虹粗仿宋" w:cs="宋体"/>
                <w:color w:val="000000"/>
                <w:kern w:val="0"/>
                <w:sz w:val="24"/>
                <w:szCs w:val="24"/>
                <w:lang w:eastAsia="zh-CN"/>
              </w:rPr>
              <w:t>（</w:t>
            </w:r>
            <w:r>
              <w:rPr>
                <w:rFonts w:hint="eastAsia" w:ascii="彩虹粗仿宋" w:hAnsi="宋体" w:eastAsia="彩虹粗仿宋" w:cs="宋体"/>
                <w:color w:val="000000"/>
                <w:kern w:val="0"/>
                <w:sz w:val="24"/>
                <w:szCs w:val="24"/>
                <w:lang w:val="en-US" w:eastAsia="zh-CN"/>
              </w:rPr>
              <w:t>灵川县人民医院</w:t>
            </w:r>
            <w:r>
              <w:rPr>
                <w:rFonts w:hint="eastAsia" w:ascii="彩虹粗仿宋" w:hAnsi="宋体" w:eastAsia="彩虹粗仿宋" w:cs="宋体"/>
                <w:color w:val="000000"/>
                <w:kern w:val="0"/>
                <w:sz w:val="24"/>
                <w:szCs w:val="24"/>
                <w:lang w:eastAsia="zh-CN"/>
              </w:rPr>
              <w:t>）</w:t>
            </w:r>
          </w:p>
        </w:tc>
        <w:tc>
          <w:tcPr>
            <w:tcW w:w="936" w:type="dxa"/>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3595" w:type="dxa"/>
            <w:vMerge w:val="continue"/>
            <w:noWrap/>
            <w:vAlign w:val="center"/>
          </w:tcPr>
          <w:p>
            <w:pPr>
              <w:widowControl/>
              <w:jc w:val="center"/>
              <w:rPr>
                <w:rFonts w:hint="eastAsia" w:ascii="宋体" w:hAnsi="宋体" w:cs="宋体"/>
                <w:color w:val="000000"/>
                <w:kern w:val="0"/>
                <w:sz w:val="22"/>
                <w:lang w:val="en-US" w:eastAsia="zh-CN"/>
              </w:rPr>
            </w:pPr>
          </w:p>
        </w:tc>
        <w:tc>
          <w:tcPr>
            <w:tcW w:w="727" w:type="dxa"/>
            <w:vMerge w:val="continue"/>
            <w:noWrap/>
            <w:vAlign w:val="center"/>
          </w:tcPr>
          <w:p>
            <w:pPr>
              <w:widowControl/>
              <w:jc w:val="left"/>
              <w:rPr>
                <w:rFonts w:hint="eastAsia" w:ascii="彩虹粗仿宋" w:hAnsi="宋体" w:eastAsia="彩虹粗仿宋" w:cs="宋体"/>
                <w:color w:val="000000"/>
                <w:kern w:val="0"/>
                <w:sz w:val="24"/>
                <w:szCs w:val="24"/>
                <w:lang w:val="en-US" w:eastAsia="zh-CN"/>
              </w:rPr>
            </w:pPr>
          </w:p>
        </w:tc>
      </w:tr>
    </w:tbl>
    <w:p>
      <w:pPr>
        <w:numPr>
          <w:ilvl w:val="0"/>
          <w:numId w:val="1"/>
        </w:numPr>
        <w:ind w:left="0" w:leftChars="0" w:firstLine="642" w:firstLineChars="200"/>
        <w:rPr>
          <w:rFonts w:hint="default" w:ascii="彩虹粗仿宋" w:hAnsi="宋体" w:eastAsia="彩虹粗仿宋"/>
          <w:b/>
          <w:sz w:val="32"/>
          <w:szCs w:val="32"/>
          <w:lang w:val="en-US" w:eastAsia="zh-CN"/>
        </w:rPr>
      </w:pPr>
      <w:r>
        <w:rPr>
          <w:rFonts w:hint="eastAsia" w:ascii="彩虹粗仿宋" w:hAnsi="宋体" w:eastAsia="彩虹粗仿宋"/>
          <w:b/>
          <w:sz w:val="32"/>
          <w:szCs w:val="32"/>
          <w:lang w:val="en-US" w:eastAsia="zh-CN"/>
        </w:rPr>
        <w:t>供应商资质要求</w:t>
      </w:r>
    </w:p>
    <w:p>
      <w:pPr>
        <w:ind w:firstLine="600" w:firstLineChars="200"/>
        <w:rPr>
          <w:rFonts w:hint="eastAsia" w:ascii="彩虹粗仿宋" w:hAnsi="宋体" w:eastAsia="彩虹粗仿宋"/>
          <w:b/>
          <w:color w:val="auto"/>
          <w:sz w:val="32"/>
          <w:szCs w:val="32"/>
          <w:highlight w:val="yellow"/>
          <w:lang w:val="en-US" w:eastAsia="zh-CN"/>
        </w:rPr>
      </w:pPr>
      <w:r>
        <w:rPr>
          <w:rFonts w:hint="eastAsia" w:ascii="彩虹粗仿宋" w:eastAsia="彩虹粗仿宋"/>
          <w:color w:val="auto"/>
          <w:sz w:val="30"/>
          <w:szCs w:val="30"/>
          <w:highlight w:val="yellow"/>
          <w:lang w:val="en-US" w:eastAsia="zh-CN"/>
        </w:rPr>
        <w:t>1.</w:t>
      </w:r>
      <w:bookmarkStart w:id="0" w:name="_GoBack"/>
      <w:r>
        <w:rPr>
          <w:rFonts w:hint="eastAsia" w:ascii="彩虹粗仿宋" w:eastAsia="彩虹粗仿宋"/>
          <w:color w:val="auto"/>
          <w:sz w:val="30"/>
          <w:szCs w:val="30"/>
          <w:highlight w:val="yellow"/>
          <w:lang w:val="en-US" w:eastAsia="zh-CN"/>
        </w:rPr>
        <w:t>本项目需由原厂或其正式授权服务商负责实施，若为授权服务商，供应商须提供</w:t>
      </w:r>
      <w:r>
        <w:rPr>
          <w:rFonts w:hint="eastAsia" w:ascii="彩虹粗仿宋" w:hAnsi="Times New Roman" w:eastAsia="彩虹粗仿宋"/>
          <w:color w:val="auto"/>
          <w:kern w:val="0"/>
          <w:sz w:val="32"/>
          <w:szCs w:val="32"/>
          <w:highlight w:val="yellow"/>
        </w:rPr>
        <w:t>东软集团(广州)有限公司</w:t>
      </w:r>
      <w:r>
        <w:rPr>
          <w:rFonts w:hint="eastAsia" w:ascii="彩虹粗仿宋" w:eastAsia="彩虹粗仿宋"/>
          <w:color w:val="auto"/>
          <w:sz w:val="30"/>
          <w:szCs w:val="30"/>
          <w:highlight w:val="yellow"/>
          <w:lang w:val="en-US" w:eastAsia="zh-CN"/>
        </w:rPr>
        <w:t>出具的本项目软件正式授权书。授权文件须加盖原厂公章，内容完整清晰，明确授予软件使用、系统对接、数据双向同步全权限；通用、过期、授权范围不符及无原厂公章均为无效授权。本项目需提供原厂或原厂授权服务商进行的售后运维及产品升级服务，若为原厂授权服务商提供，授权文件需明确包含本项目后期运维、系统迭代升级、故障排查、技术支持等全部售后服务权限，确保项目全周期稳定运行。</w:t>
      </w:r>
      <w:bookmarkEnd w:id="0"/>
    </w:p>
    <w:p>
      <w:pPr>
        <w:ind w:firstLine="642" w:firstLineChars="200"/>
        <w:rPr>
          <w:rFonts w:ascii="彩虹粗仿宋" w:hAnsi="宋体" w:eastAsia="彩虹粗仿宋"/>
          <w:b/>
          <w:sz w:val="32"/>
          <w:szCs w:val="32"/>
        </w:rPr>
      </w:pPr>
      <w:r>
        <w:rPr>
          <w:rFonts w:hint="eastAsia" w:ascii="彩虹粗仿宋" w:hAnsi="宋体" w:eastAsia="彩虹粗仿宋"/>
          <w:b/>
          <w:sz w:val="32"/>
          <w:szCs w:val="32"/>
          <w:lang w:val="en-US" w:eastAsia="zh-CN"/>
        </w:rPr>
        <w:t>三、</w:t>
      </w:r>
      <w:r>
        <w:rPr>
          <w:rFonts w:hint="eastAsia" w:ascii="彩虹粗仿宋" w:hAnsi="宋体" w:eastAsia="彩虹粗仿宋"/>
          <w:b/>
          <w:sz w:val="32"/>
          <w:szCs w:val="32"/>
        </w:rPr>
        <w:t>基本要求：</w:t>
      </w:r>
    </w:p>
    <w:p>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1.软件产品必须具有在中国境内的正式合法使用权和销售权；</w:t>
      </w:r>
    </w:p>
    <w:p>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2.软件产品在国内有可靠的技术支持力量；</w:t>
      </w:r>
    </w:p>
    <w:p>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3.软件产品必须为正式版本；</w:t>
      </w:r>
    </w:p>
    <w:p>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4.软件产品必须具有完整的技术资料。</w:t>
      </w:r>
    </w:p>
    <w:p>
      <w:pPr>
        <w:spacing w:line="360" w:lineRule="auto"/>
        <w:ind w:firstLine="642" w:firstLineChars="200"/>
        <w:rPr>
          <w:rFonts w:hint="eastAsia" w:ascii="彩虹粗仿宋" w:hAnsi="宋体" w:eastAsia="彩虹粗仿宋"/>
          <w:b/>
          <w:sz w:val="32"/>
          <w:szCs w:val="32"/>
        </w:rPr>
      </w:pPr>
      <w:r>
        <w:rPr>
          <w:rFonts w:hint="eastAsia" w:ascii="彩虹粗仿宋" w:hAnsi="宋体" w:eastAsia="彩虹粗仿宋"/>
          <w:b/>
          <w:sz w:val="32"/>
          <w:szCs w:val="32"/>
          <w:lang w:val="en-US" w:eastAsia="zh-CN"/>
        </w:rPr>
        <w:t>四</w:t>
      </w:r>
      <w:r>
        <w:rPr>
          <w:rFonts w:hint="eastAsia" w:ascii="彩虹粗仿宋" w:hAnsi="宋体" w:eastAsia="彩虹粗仿宋"/>
          <w:b/>
          <w:sz w:val="32"/>
          <w:szCs w:val="32"/>
        </w:rPr>
        <w:t>、技术要求</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供应商需提供桂林医保移动支付信息化建设项目--</w:t>
      </w:r>
      <w:r>
        <w:rPr>
          <w:rFonts w:hint="eastAsia" w:ascii="彩虹粗仿宋" w:eastAsia="彩虹粗仿宋" w:hAnsiTheme="minorHAnsi" w:cstheme="minorBidi"/>
          <w:b w:val="0"/>
          <w:kern w:val="0"/>
          <w:sz w:val="32"/>
          <w:szCs w:val="32"/>
          <w:lang w:val="en-US" w:eastAsia="zh-CN" w:bidi="ar-SA"/>
        </w:rPr>
        <w:t>桂林市人民医院、桂林市社会福利医院、灵川县人民医院</w:t>
      </w:r>
      <w:r>
        <w:rPr>
          <w:rFonts w:hint="eastAsia" w:ascii="彩虹粗仿宋" w:eastAsia="彩虹粗仿宋" w:cstheme="minorBidi"/>
          <w:b w:val="0"/>
          <w:kern w:val="0"/>
          <w:sz w:val="32"/>
          <w:szCs w:val="32"/>
          <w:lang w:val="en-US" w:eastAsia="zh-CN" w:bidi="ar-SA"/>
        </w:rPr>
        <w:t>的</w:t>
      </w:r>
      <w:r>
        <w:rPr>
          <w:rFonts w:hint="eastAsia" w:ascii="彩虹粗仿宋" w:eastAsia="彩虹粗仿宋" w:hAnsiTheme="minorHAnsi" w:cstheme="minorBidi"/>
          <w:b w:val="0"/>
          <w:kern w:val="0"/>
          <w:sz w:val="32"/>
          <w:szCs w:val="32"/>
          <w:lang w:val="en-US" w:eastAsia="zh-CN" w:bidi="ar-SA"/>
        </w:rPr>
        <w:t>医院HIS系统</w:t>
      </w:r>
      <w:r>
        <w:rPr>
          <w:rFonts w:hint="eastAsia" w:ascii="彩虹粗仿宋" w:hAnsi="宋体" w:eastAsia="彩虹粗仿宋"/>
          <w:sz w:val="32"/>
          <w:szCs w:val="32"/>
        </w:rPr>
        <w:t>建设，医保移动支付定点医疗机构基础环境配置以及各方工作组织、协调、汇报，医保移动支付日常使用运维，确保系统的正常运行。</w:t>
      </w:r>
    </w:p>
    <w:p>
      <w:pPr>
        <w:numPr>
          <w:ilvl w:val="0"/>
          <w:numId w:val="0"/>
        </w:numPr>
        <w:spacing w:line="360" w:lineRule="auto"/>
        <w:ind w:firstLine="642" w:firstLineChars="200"/>
        <w:rPr>
          <w:rFonts w:hint="eastAsia" w:ascii="彩虹粗仿宋" w:hAnsi="宋体" w:eastAsia="彩虹粗仿宋"/>
          <w:b/>
          <w:sz w:val="32"/>
          <w:szCs w:val="32"/>
        </w:rPr>
      </w:pPr>
      <w:r>
        <w:rPr>
          <w:rFonts w:hint="eastAsia" w:ascii="彩虹粗仿宋" w:hAnsi="宋体" w:eastAsia="彩虹粗仿宋"/>
          <w:b/>
          <w:sz w:val="32"/>
          <w:szCs w:val="32"/>
          <w:lang w:val="en-US" w:eastAsia="zh-CN"/>
        </w:rPr>
        <w:t>五、</w:t>
      </w:r>
      <w:r>
        <w:rPr>
          <w:rFonts w:hint="eastAsia" w:ascii="彩虹粗仿宋" w:hAnsi="宋体" w:eastAsia="彩虹粗仿宋"/>
          <w:b/>
          <w:sz w:val="32"/>
          <w:szCs w:val="32"/>
        </w:rPr>
        <w:t>交付日期及验收标准等</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项目完成时间：供应商需根据医院方及我行要求完成，在签订合同后六个月内完成系统搭建并实现交付使用。</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验收标准：供应商派技术人员到医院进行软件实施、培训等工作。按照《院端医保移动支付平台接口文档V2.3》的标准和要求，完成系统的各项功能要求，实施结果只有得到医院、建行、供应商三方验收签字，项目才算验收合格。</w:t>
      </w:r>
    </w:p>
    <w:p>
      <w:pPr>
        <w:numPr>
          <w:ilvl w:val="0"/>
          <w:numId w:val="0"/>
        </w:numPr>
        <w:adjustRightInd w:val="0"/>
        <w:snapToGrid w:val="0"/>
        <w:spacing w:line="360" w:lineRule="auto"/>
        <w:ind w:firstLine="642"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lang w:val="en-US" w:eastAsia="zh-CN"/>
        </w:rPr>
        <w:t>六、</w:t>
      </w:r>
      <w:r>
        <w:rPr>
          <w:rFonts w:hint="eastAsia" w:ascii="彩虹粗仿宋" w:hAnsi="宋体" w:eastAsia="彩虹粗仿宋" w:cs="Times New Roman"/>
          <w:b/>
          <w:snapToGrid w:val="0"/>
          <w:kern w:val="0"/>
          <w:sz w:val="32"/>
          <w:szCs w:val="32"/>
        </w:rPr>
        <w:t>款项支付要求</w:t>
      </w:r>
    </w:p>
    <w:p>
      <w:pPr>
        <w:numPr>
          <w:ilvl w:val="0"/>
          <w:numId w:val="0"/>
        </w:numPr>
        <w:adjustRightInd w:val="0"/>
        <w:snapToGrid w:val="0"/>
        <w:spacing w:line="360" w:lineRule="auto"/>
        <w:rPr>
          <w:rFonts w:hint="default" w:ascii="彩虹粗仿宋" w:hAnsi="宋体" w:eastAsia="彩虹粗仿宋" w:cs="Times New Roman"/>
          <w:b/>
          <w:snapToGrid w:val="0"/>
          <w:color w:val="558ED5" w:themeColor="text2" w:themeTint="99"/>
          <w:kern w:val="0"/>
          <w:sz w:val="32"/>
          <w:szCs w:val="32"/>
          <w:lang w:val="en-US" w:eastAsia="zh-CN"/>
          <w14:textFill>
            <w14:solidFill>
              <w14:schemeClr w14:val="tx2">
                <w14:lumMod w14:val="60000"/>
                <w14:lumOff w14:val="40000"/>
              </w14:schemeClr>
            </w14:solidFill>
          </w14:textFill>
        </w:rPr>
      </w:pPr>
      <w:r>
        <w:rPr>
          <w:rFonts w:hint="eastAsia" w:ascii="彩虹粗仿宋" w:hAnsi="宋体" w:eastAsia="彩虹粗仿宋" w:cs="Times New Roman"/>
          <w:b/>
          <w:snapToGrid w:val="0"/>
          <w:color w:val="558ED5" w:themeColor="text2" w:themeTint="99"/>
          <w:kern w:val="0"/>
          <w:sz w:val="32"/>
          <w:szCs w:val="32"/>
          <w:lang w:val="en-US" w:eastAsia="zh-CN"/>
          <w14:textFill>
            <w14:solidFill>
              <w14:schemeClr w14:val="tx2">
                <w14:lumMod w14:val="60000"/>
                <w14:lumOff w14:val="40000"/>
              </w14:schemeClr>
            </w14:solidFill>
          </w14:textFill>
        </w:rPr>
        <w:t xml:space="preserve">    </w:t>
      </w:r>
      <w:r>
        <w:rPr>
          <w:rFonts w:hint="eastAsia" w:ascii="彩虹粗仿宋" w:eastAsia="彩虹粗仿宋"/>
          <w:sz w:val="32"/>
          <w:szCs w:val="32"/>
        </w:rPr>
        <w:t>供应商必须开具符合规定的增值税专用发票，合同签订后，待项目系统成功上线使用，经建行、医院、供应商三方验收合格后，根据《付款确认书》、《验收报告》及供应商开具的符合规定的增值税专用发票（</w:t>
      </w:r>
      <w:r>
        <w:rPr>
          <w:rFonts w:hint="eastAsia" w:ascii="彩虹粗仿宋" w:hAnsi="宋体" w:eastAsia="彩虹粗仿宋" w:cs="Times New Roman"/>
          <w:snapToGrid w:val="0"/>
          <w:kern w:val="0"/>
          <w:sz w:val="32"/>
          <w:szCs w:val="32"/>
        </w:rPr>
        <w:t>供应商所开具的本项目软件系统增值税专用发票须为系统或软件产品销售发票，我行不接受开票内容为软件开发服务的增值税专用发票</w:t>
      </w:r>
      <w:r>
        <w:rPr>
          <w:rFonts w:hint="eastAsia" w:ascii="彩虹粗仿宋" w:eastAsia="彩虹粗仿宋"/>
          <w:sz w:val="32"/>
          <w:szCs w:val="32"/>
        </w:rPr>
        <w:t>）支付合同金额的95%；剩余合同金额的5%，作为质量保证金，待项目质保期届满，根据《付款确认书》，扣除已发生的因供应商责任造成的维修款项后支付，不计利息；以上付款根据国家规定开具符合要求的增值税专用发票，我行在收到发票二十个工作日内完成付款（如遇政策调整等不可抗因素，付款时间自动顺延）。</w:t>
      </w:r>
    </w:p>
    <w:p>
      <w:pPr>
        <w:numPr>
          <w:ilvl w:val="0"/>
          <w:numId w:val="0"/>
        </w:numPr>
        <w:adjustRightInd w:val="0"/>
        <w:snapToGrid w:val="0"/>
        <w:spacing w:line="360" w:lineRule="auto"/>
        <w:ind w:firstLine="642" w:firstLineChars="200"/>
        <w:rPr>
          <w:rFonts w:hint="eastAsia"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lang w:val="en-US" w:eastAsia="zh-CN"/>
        </w:rPr>
        <w:t>七、</w:t>
      </w:r>
      <w:r>
        <w:rPr>
          <w:rFonts w:hint="eastAsia" w:ascii="彩虹粗仿宋" w:hAnsi="宋体" w:eastAsia="彩虹粗仿宋" w:cs="Times New Roman"/>
          <w:b/>
          <w:snapToGrid w:val="0"/>
          <w:kern w:val="0"/>
          <w:sz w:val="32"/>
          <w:szCs w:val="32"/>
        </w:rPr>
        <w:t>报价要求</w:t>
      </w:r>
    </w:p>
    <w:p>
      <w:pPr>
        <w:adjustRightInd w:val="0"/>
        <w:snapToGrid w:val="0"/>
        <w:spacing w:line="360" w:lineRule="auto"/>
        <w:ind w:firstLine="640" w:firstLineChars="200"/>
        <w:rPr>
          <w:rFonts w:hint="eastAsia" w:ascii="彩虹粗仿宋" w:hAnsi="宋体" w:eastAsia="彩虹粗仿宋" w:cs="Times New Roman"/>
          <w:b/>
          <w:snapToGrid w:val="0"/>
          <w:color w:val="FF0000"/>
          <w:kern w:val="0"/>
          <w:sz w:val="32"/>
          <w:szCs w:val="32"/>
        </w:rPr>
      </w:pPr>
      <w:r>
        <w:rPr>
          <w:rFonts w:hint="eastAsia" w:ascii="彩虹粗仿宋" w:eastAsia="彩虹粗仿宋"/>
          <w:sz w:val="32"/>
          <w:szCs w:val="32"/>
        </w:rPr>
        <w:t>在龙集采系统报价</w:t>
      </w:r>
    </w:p>
    <w:p>
      <w:pPr>
        <w:numPr>
          <w:ilvl w:val="0"/>
          <w:numId w:val="0"/>
        </w:numPr>
        <w:adjustRightInd w:val="0"/>
        <w:snapToGrid w:val="0"/>
        <w:spacing w:line="360" w:lineRule="auto"/>
        <w:ind w:leftChars="200" w:firstLine="321" w:firstLineChars="1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lang w:val="en-US" w:eastAsia="zh-CN"/>
        </w:rPr>
        <w:t>八、</w:t>
      </w:r>
      <w:r>
        <w:rPr>
          <w:rFonts w:hint="eastAsia" w:ascii="彩虹粗仿宋" w:hAnsi="宋体" w:eastAsia="彩虹粗仿宋" w:cs="Times New Roman"/>
          <w:b/>
          <w:snapToGrid w:val="0"/>
          <w:kern w:val="0"/>
          <w:sz w:val="32"/>
          <w:szCs w:val="32"/>
        </w:rPr>
        <w:t>售后服务要求</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1.项目验收合格后，供应商至少免费提供一期培训服务。</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2.确保系统正常运行。</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3.</w:t>
      </w:r>
      <w:r>
        <w:rPr>
          <w:rFonts w:hint="eastAsia" w:ascii="彩虹粗仿宋" w:eastAsia="彩虹粗仿宋"/>
          <w:sz w:val="32"/>
          <w:szCs w:val="32"/>
          <w:highlight w:val="yellow"/>
        </w:rPr>
        <w:t>质保期不低于一年，质保期内免维保费。项目验收合格后，需提供至少一年免费的系统维保服务，</w:t>
      </w:r>
      <w:r>
        <w:rPr>
          <w:rFonts w:hint="eastAsia" w:ascii="彩虹粗仿宋" w:eastAsia="彩虹粗仿宋"/>
          <w:color w:val="FF0000"/>
          <w:sz w:val="32"/>
          <w:szCs w:val="32"/>
          <w:highlight w:val="yellow"/>
        </w:rPr>
        <w:t>本项目需提供原厂或原厂授权服务商进行的售后运维及产品升级服务。</w:t>
      </w:r>
      <w:r>
        <w:rPr>
          <w:rFonts w:hint="eastAsia" w:ascii="彩虹粗仿宋" w:eastAsia="彩虹粗仿宋"/>
          <w:sz w:val="32"/>
          <w:szCs w:val="32"/>
          <w:highlight w:val="yellow"/>
        </w:rPr>
        <w:t>维护支持服务期内，维护支持服务提供方应提供7×24小时电话、网络等远程支持服务。</w:t>
      </w:r>
    </w:p>
    <w:p>
      <w:pPr>
        <w:adjustRightInd w:val="0"/>
        <w:snapToGrid w:val="0"/>
        <w:spacing w:line="360" w:lineRule="auto"/>
        <w:ind w:firstLine="640" w:firstLineChars="200"/>
        <w:rPr>
          <w:rFonts w:ascii="彩虹粗仿宋" w:eastAsia="彩虹粗仿宋"/>
          <w:sz w:val="32"/>
          <w:szCs w:val="32"/>
          <w:highlight w:val="yellow"/>
        </w:rPr>
      </w:pPr>
      <w:r>
        <w:rPr>
          <w:rFonts w:hint="eastAsia" w:ascii="彩虹粗仿宋" w:eastAsia="彩虹粗仿宋"/>
          <w:sz w:val="32"/>
          <w:szCs w:val="32"/>
          <w:highlight w:val="yellow"/>
        </w:rPr>
        <w:t>软件产品故障分为严重、一般、轻微三个等级，</w:t>
      </w:r>
      <w:r>
        <w:rPr>
          <w:rFonts w:hint="eastAsia" w:ascii="彩虹粗仿宋" w:eastAsia="彩虹粗仿宋"/>
          <w:sz w:val="32"/>
          <w:szCs w:val="32"/>
          <w:highlight w:val="yellow"/>
          <w:lang w:eastAsia="zh-CN"/>
        </w:rPr>
        <w:t>维护支持服务提供方</w:t>
      </w:r>
      <w:r>
        <w:rPr>
          <w:rFonts w:hint="eastAsia" w:ascii="彩虹粗仿宋" w:eastAsia="彩虹粗仿宋"/>
          <w:sz w:val="32"/>
          <w:szCs w:val="32"/>
          <w:highlight w:val="yellow"/>
        </w:rPr>
        <w:t>应根据软件故障的不同级别，提供不同的故障响应及服务。</w:t>
      </w:r>
    </w:p>
    <w:p>
      <w:pPr>
        <w:adjustRightInd w:val="0"/>
        <w:snapToGrid w:val="0"/>
        <w:spacing w:line="360" w:lineRule="auto"/>
        <w:ind w:firstLine="640" w:firstLineChars="200"/>
        <w:rPr>
          <w:rFonts w:ascii="彩虹粗仿宋" w:eastAsia="彩虹粗仿宋"/>
          <w:color w:val="000000" w:themeColor="text1"/>
          <w:sz w:val="32"/>
          <w:szCs w:val="32"/>
          <w:highlight w:val="yellow"/>
          <w14:textFill>
            <w14:solidFill>
              <w14:schemeClr w14:val="tx1"/>
            </w14:solidFill>
          </w14:textFill>
        </w:rPr>
      </w:pPr>
      <w:r>
        <w:rPr>
          <w:rFonts w:hint="eastAsia" w:ascii="彩虹粗仿宋" w:eastAsia="彩虹粗仿宋"/>
          <w:color w:val="000000" w:themeColor="text1"/>
          <w:sz w:val="32"/>
          <w:szCs w:val="32"/>
          <w:highlight w:val="yellow"/>
          <w14:textFill>
            <w14:solidFill>
              <w14:schemeClr w14:val="tx1"/>
            </w14:solidFill>
          </w14:textFill>
        </w:rPr>
        <w:t>对于严重级别故障：</w:t>
      </w:r>
      <w:r>
        <w:rPr>
          <w:rFonts w:hint="eastAsia" w:ascii="彩虹粗仿宋" w:eastAsia="彩虹粗仿宋"/>
          <w:color w:val="000000" w:themeColor="text1"/>
          <w:sz w:val="30"/>
          <w:szCs w:val="30"/>
          <w:highlight w:val="yellow"/>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应立即派出高级技术人员到现场进行维修，</w:t>
      </w:r>
      <w:r>
        <w:rPr>
          <w:rFonts w:hint="eastAsia" w:ascii="彩虹粗仿宋" w:eastAsia="彩虹粗仿宋"/>
          <w:color w:val="000000" w:themeColor="text1"/>
          <w:sz w:val="30"/>
          <w:szCs w:val="30"/>
          <w:highlight w:val="yellow"/>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需派出的高级技术人员应当在 4 小时内到达故障现场，</w:t>
      </w:r>
      <w:r>
        <w:rPr>
          <w:rFonts w:hint="eastAsia" w:ascii="彩虹粗仿宋" w:eastAsia="彩虹粗仿宋"/>
          <w:color w:val="000000" w:themeColor="text1"/>
          <w:sz w:val="30"/>
          <w:szCs w:val="30"/>
          <w:highlight w:val="yellow"/>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承诺在收到故障报告后 24 小时内恢复软件产品正常运行。</w:t>
      </w:r>
    </w:p>
    <w:p>
      <w:pPr>
        <w:adjustRightInd w:val="0"/>
        <w:snapToGrid w:val="0"/>
        <w:spacing w:line="360" w:lineRule="auto"/>
        <w:ind w:firstLine="640" w:firstLineChars="200"/>
        <w:rPr>
          <w:rFonts w:ascii="彩虹粗仿宋" w:eastAsia="彩虹粗仿宋"/>
          <w:color w:val="000000" w:themeColor="text1"/>
          <w:sz w:val="32"/>
          <w:szCs w:val="32"/>
          <w:highlight w:val="yellow"/>
          <w14:textFill>
            <w14:solidFill>
              <w14:schemeClr w14:val="tx1"/>
            </w14:solidFill>
          </w14:textFill>
        </w:rPr>
      </w:pPr>
      <w:r>
        <w:rPr>
          <w:rFonts w:hint="eastAsia" w:ascii="彩虹粗仿宋" w:eastAsia="彩虹粗仿宋"/>
          <w:color w:val="000000" w:themeColor="text1"/>
          <w:sz w:val="32"/>
          <w:szCs w:val="32"/>
          <w:highlight w:val="yellow"/>
          <w14:textFill>
            <w14:solidFill>
              <w14:schemeClr w14:val="tx1"/>
            </w14:solidFill>
          </w14:textFill>
        </w:rPr>
        <w:t>对于一般级别故障：</w:t>
      </w:r>
      <w:r>
        <w:rPr>
          <w:rFonts w:hint="eastAsia" w:ascii="彩虹粗仿宋" w:eastAsia="彩虹粗仿宋"/>
          <w:color w:val="000000" w:themeColor="text1"/>
          <w:sz w:val="30"/>
          <w:szCs w:val="30"/>
          <w:highlight w:val="yellow"/>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应立即通过电话、网络等方式尝试排除故障，如故障在 2 小时内无法排除，</w:t>
      </w:r>
      <w:r>
        <w:rPr>
          <w:rFonts w:hint="eastAsia" w:ascii="彩虹粗仿宋" w:eastAsia="彩虹粗仿宋"/>
          <w:color w:val="000000" w:themeColor="text1"/>
          <w:sz w:val="32"/>
          <w:szCs w:val="32"/>
          <w:highlight w:val="yellow"/>
          <w:lang w:eastAsia="zh-CN"/>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应立即派出高级技术人员在 8 小时内到达故障现场进行维修，</w:t>
      </w:r>
      <w:r>
        <w:rPr>
          <w:rFonts w:hint="eastAsia" w:ascii="彩虹粗仿宋" w:eastAsia="彩虹粗仿宋"/>
          <w:color w:val="000000" w:themeColor="text1"/>
          <w:sz w:val="32"/>
          <w:szCs w:val="32"/>
          <w:highlight w:val="yellow"/>
          <w:lang w:eastAsia="zh-CN"/>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承诺在收到故障报告后 24 小时内恢复软件产品正常运行。</w:t>
      </w:r>
    </w:p>
    <w:p>
      <w:pPr>
        <w:numPr>
          <w:ilvl w:val="0"/>
          <w:numId w:val="0"/>
        </w:numPr>
        <w:adjustRightInd w:val="0"/>
        <w:snapToGrid w:val="0"/>
        <w:spacing w:line="360" w:lineRule="auto"/>
        <w:ind w:leftChars="200"/>
        <w:rPr>
          <w:rFonts w:hint="eastAsia" w:ascii="彩虹粗仿宋" w:hAnsi="宋体" w:eastAsia="彩虹粗仿宋" w:cs="Times New Roman"/>
          <w:b/>
          <w:snapToGrid w:val="0"/>
          <w:color w:val="000000" w:themeColor="text1"/>
          <w:kern w:val="0"/>
          <w:sz w:val="32"/>
          <w:szCs w:val="32"/>
          <w:highlight w:val="yellow"/>
          <w14:textFill>
            <w14:solidFill>
              <w14:schemeClr w14:val="tx1"/>
            </w14:solidFill>
          </w14:textFill>
        </w:rPr>
      </w:pPr>
      <w:r>
        <w:rPr>
          <w:rFonts w:hint="eastAsia" w:ascii="彩虹粗仿宋" w:eastAsia="彩虹粗仿宋"/>
          <w:color w:val="000000" w:themeColor="text1"/>
          <w:sz w:val="32"/>
          <w:szCs w:val="32"/>
          <w:highlight w:val="yellow"/>
          <w14:textFill>
            <w14:solidFill>
              <w14:schemeClr w14:val="tx1"/>
            </w14:solidFill>
          </w14:textFill>
        </w:rPr>
        <w:t>对于轻微级别故障：</w:t>
      </w:r>
      <w:r>
        <w:rPr>
          <w:rFonts w:hint="eastAsia" w:ascii="彩虹粗仿宋" w:eastAsia="彩虹粗仿宋"/>
          <w:color w:val="000000" w:themeColor="text1"/>
          <w:sz w:val="32"/>
          <w:szCs w:val="32"/>
          <w:highlight w:val="yellow"/>
          <w:lang w:eastAsia="zh-CN"/>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应立即通过电话、网络等方式尝试排除故障，如故障在 4 小时内无法排除，</w:t>
      </w:r>
      <w:r>
        <w:rPr>
          <w:rFonts w:hint="eastAsia" w:ascii="彩虹粗仿宋" w:eastAsia="彩虹粗仿宋"/>
          <w:color w:val="000000" w:themeColor="text1"/>
          <w:sz w:val="32"/>
          <w:szCs w:val="32"/>
          <w:highlight w:val="yellow"/>
          <w:lang w:eastAsia="zh-CN"/>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应立即派出高级技术人员在 24 小时内到达故障现场进行维修，</w:t>
      </w:r>
      <w:r>
        <w:rPr>
          <w:rFonts w:hint="eastAsia" w:ascii="彩虹粗仿宋" w:eastAsia="彩虹粗仿宋"/>
          <w:color w:val="000000" w:themeColor="text1"/>
          <w:sz w:val="32"/>
          <w:szCs w:val="32"/>
          <w:highlight w:val="yellow"/>
          <w:lang w:eastAsia="zh-CN"/>
          <w14:textFill>
            <w14:solidFill>
              <w14:schemeClr w14:val="tx1"/>
            </w14:solidFill>
          </w14:textFill>
        </w:rPr>
        <w:t>维护支持服务提供方</w:t>
      </w:r>
      <w:r>
        <w:rPr>
          <w:rFonts w:hint="eastAsia" w:ascii="彩虹粗仿宋" w:eastAsia="彩虹粗仿宋"/>
          <w:color w:val="000000" w:themeColor="text1"/>
          <w:sz w:val="32"/>
          <w:szCs w:val="32"/>
          <w:highlight w:val="yellow"/>
          <w14:textFill>
            <w14:solidFill>
              <w14:schemeClr w14:val="tx1"/>
            </w14:solidFill>
          </w14:textFill>
        </w:rPr>
        <w:t>承诺在收到故障报告后 48 小时内恢复软件产品正常运行。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22996"/>
    <w:multiLevelType w:val="singleLevel"/>
    <w:tmpl w:val="4D722996"/>
    <w:lvl w:ilvl="0" w:tentative="0">
      <w:start w:val="1"/>
      <w:numFmt w:val="chineseCounting"/>
      <w:suff w:val="nothing"/>
      <w:lvlText w:val="%1、"/>
      <w:lvlJc w:val="left"/>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6322DD"/>
    <w:rsid w:val="00266FDA"/>
    <w:rsid w:val="00373423"/>
    <w:rsid w:val="005A216C"/>
    <w:rsid w:val="006322DD"/>
    <w:rsid w:val="00665BF6"/>
    <w:rsid w:val="007C3A6F"/>
    <w:rsid w:val="00BE2CDD"/>
    <w:rsid w:val="00DE6DFD"/>
    <w:rsid w:val="00F616E5"/>
    <w:rsid w:val="03B51956"/>
    <w:rsid w:val="07A45EC2"/>
    <w:rsid w:val="0F293D6D"/>
    <w:rsid w:val="114901BA"/>
    <w:rsid w:val="1B566A66"/>
    <w:rsid w:val="1C6941B7"/>
    <w:rsid w:val="23E53872"/>
    <w:rsid w:val="2A030B45"/>
    <w:rsid w:val="32A72194"/>
    <w:rsid w:val="48B22A5A"/>
    <w:rsid w:val="68B172D0"/>
    <w:rsid w:val="7996176F"/>
    <w:rsid w:val="79985388"/>
    <w:rsid w:val="7F5A4BB0"/>
    <w:rsid w:val="F7E91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400</Words>
  <Characters>404</Characters>
  <Lines>23</Lines>
  <Paragraphs>23</Paragraphs>
  <TotalTime>46</TotalTime>
  <ScaleCrop>false</ScaleCrop>
  <LinksUpToDate>false</LinksUpToDate>
  <CharactersWithSpaces>781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2019-04-01T16:13:00Z</dcterms:created>
  <dc:creator>Apache POI</dc:creator>
  <cp:lastModifiedBy>ccb</cp:lastModifiedBy>
  <dcterms:modified xsi:type="dcterms:W3CDTF">2026-07-27T11:48:47Z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A33B76F7E1334E041FD5666AF736EE9E_43</vt:lpwstr>
  </property>
</Properties>
</file>