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CE21D">
      <w:pPr>
        <w:spacing w:line="320" w:lineRule="exact"/>
        <w:jc w:val="center"/>
        <w:rPr>
          <w:rFonts w:hint="eastAsia" w:ascii="宋体" w:hAnsi="宋体"/>
          <w:b/>
          <w:color w:val="auto"/>
          <w:szCs w:val="21"/>
          <w:highlight w:val="none"/>
          <w:lang w:val="en-US" w:eastAsia="zh-CN"/>
        </w:rPr>
      </w:pPr>
      <w:bookmarkStart w:id="185" w:name="_GoBack"/>
      <w:r>
        <w:rPr>
          <w:rFonts w:hint="eastAsia" w:ascii="宋体" w:hAnsi="宋体"/>
          <w:b/>
          <w:color w:val="auto"/>
          <w:sz w:val="32"/>
          <w:szCs w:val="32"/>
          <w:highlight w:val="none"/>
          <w:lang w:val="en-US" w:eastAsia="zh-CN"/>
        </w:rPr>
        <w:t>项目需求参数</w:t>
      </w:r>
      <w:r>
        <w:rPr>
          <w:rFonts w:hint="eastAsia" w:ascii="宋体" w:hAnsi="宋体"/>
          <w:b/>
          <w:color w:val="auto"/>
          <w:sz w:val="32"/>
          <w:szCs w:val="32"/>
          <w:highlight w:val="none"/>
          <w:lang w:val="en-US" w:eastAsia="zh-CN"/>
        </w:rPr>
        <w:br w:type="textWrapping"/>
      </w:r>
    </w:p>
    <w:p w14:paraId="6C51B442">
      <w:pPr>
        <w:spacing w:line="320" w:lineRule="exact"/>
        <w:ind w:firstLine="426" w:firstLineChars="202"/>
        <w:jc w:val="left"/>
        <w:rPr>
          <w:rFonts w:ascii="宋体" w:hAnsi="宋体" w:cs="方正仿宋_GBK"/>
          <w:b/>
          <w:bCs/>
          <w:color w:val="auto"/>
          <w:szCs w:val="21"/>
        </w:rPr>
      </w:pPr>
      <w:r>
        <w:rPr>
          <w:rFonts w:hint="eastAsia" w:ascii="宋体" w:hAnsi="宋体"/>
          <w:b/>
          <w:color w:val="auto"/>
          <w:szCs w:val="21"/>
          <w:highlight w:val="none"/>
          <w:lang w:val="en-US" w:eastAsia="zh-CN"/>
        </w:rPr>
        <w:br w:type="textWrapping"/>
      </w:r>
      <w:r>
        <w:rPr>
          <w:rFonts w:hint="eastAsia" w:ascii="宋体" w:hAnsi="宋体" w:cs="方正仿宋_GBK"/>
          <w:b/>
          <w:bCs/>
          <w:color w:val="auto"/>
          <w:szCs w:val="21"/>
        </w:rPr>
        <w:t>一</w:t>
      </w:r>
      <w:r>
        <w:rPr>
          <w:rFonts w:ascii="宋体" w:hAnsi="宋体" w:cs="方正仿宋_GBK"/>
          <w:b/>
          <w:bCs/>
          <w:color w:val="auto"/>
          <w:szCs w:val="21"/>
        </w:rPr>
        <w:t>、</w:t>
      </w:r>
      <w:r>
        <w:rPr>
          <w:rFonts w:hint="eastAsia" w:ascii="宋体" w:hAnsi="宋体" w:cs="方正仿宋_GBK"/>
          <w:b/>
          <w:bCs/>
          <w:color w:val="auto"/>
          <w:szCs w:val="21"/>
        </w:rPr>
        <w:t>服务要求</w:t>
      </w:r>
    </w:p>
    <w:p w14:paraId="0394CCC7">
      <w:pPr>
        <w:wordWrap w:val="0"/>
        <w:autoSpaceDE w:val="0"/>
        <w:autoSpaceDN w:val="0"/>
        <w:adjustRightInd w:val="0"/>
        <w:spacing w:line="560" w:lineRule="exact"/>
        <w:ind w:firstLine="422" w:firstLineChars="200"/>
        <w:rPr>
          <w:rFonts w:ascii="宋体" w:hAnsi="宋体" w:cs="方正仿宋_GBK"/>
          <w:b/>
          <w:bCs/>
          <w:color w:val="auto"/>
          <w:szCs w:val="21"/>
        </w:rPr>
      </w:pPr>
      <w:r>
        <w:rPr>
          <w:rFonts w:hint="eastAsia" w:ascii="宋体" w:hAnsi="宋体" w:cs="方正仿宋_GBK"/>
          <w:b/>
          <w:bCs/>
          <w:color w:val="auto"/>
          <w:szCs w:val="21"/>
        </w:rPr>
        <w:t>1.服务内容</w:t>
      </w:r>
    </w:p>
    <w:p w14:paraId="73B0C7E0">
      <w:pPr>
        <w:wordWrap w:val="0"/>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确保本项目系统均能满足电子病历系统功能应用水平分级评价5级以上相关要求、满足互联互通标准化成熟度四级甲等以上标准相关要求、满足医院智慧服务分级评估3级以上相关要求。</w:t>
      </w:r>
    </w:p>
    <w:p w14:paraId="38819204">
      <w:pPr>
        <w:wordWrap w:val="0"/>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提供本项目系统免费与医院相关系统无缝对接服务具体以医院实际需求为准。</w:t>
      </w:r>
    </w:p>
    <w:p w14:paraId="31898699">
      <w:pPr>
        <w:wordWrap w:val="0"/>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本项目所有软件、系统和平台必须安装在院内运行，且满足全院所有科室和人员使用，不限点数，且实现多院区使用。</w:t>
      </w:r>
    </w:p>
    <w:p w14:paraId="5FCDA560">
      <w:pPr>
        <w:wordWrap w:val="0"/>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以上提供本地化开发服务，功能或需求以医院实际需要为准。提供his系统和电子病历应用级系统源代码、所有系统的数据库权限、结构和相关技术文档。</w:t>
      </w:r>
    </w:p>
    <w:p w14:paraId="6E2B9E0E">
      <w:pPr>
        <w:autoSpaceDE w:val="0"/>
        <w:autoSpaceDN w:val="0"/>
        <w:adjustRightInd w:val="0"/>
        <w:spacing w:line="560" w:lineRule="exact"/>
        <w:ind w:firstLine="422" w:firstLineChars="200"/>
        <w:rPr>
          <w:rFonts w:ascii="宋体" w:hAnsi="宋体" w:cs="方正仿宋_GBK"/>
          <w:b/>
          <w:bCs/>
          <w:color w:val="auto"/>
          <w:szCs w:val="21"/>
        </w:rPr>
      </w:pPr>
      <w:r>
        <w:rPr>
          <w:rFonts w:hint="eastAsia" w:ascii="宋体" w:hAnsi="宋体" w:cs="方正仿宋_GBK"/>
          <w:b/>
          <w:bCs/>
          <w:color w:val="auto"/>
          <w:szCs w:val="21"/>
        </w:rPr>
        <w:t>2.服务要求</w:t>
      </w:r>
    </w:p>
    <w:p w14:paraId="057E3FF2">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交货期：合同签订后一周内，中标人应派实施人员和研发人员入场实施。合同签订日起3个月内完成集成平台部署并完成现有系统的接口对接；合同签订日起6个月内完成电子病历系统、HIS系统、LIS系统验收上线，15个月内完成本项目所有系统上线，5年内完成本项目实施与验收，完成相关评级工作。</w:t>
      </w:r>
    </w:p>
    <w:p w14:paraId="19887548">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交货地点：广西壮族自治区江滨医院</w:t>
      </w:r>
    </w:p>
    <w:p w14:paraId="119B75EA">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实施团队的工作地点和工作内容由</w:t>
      </w:r>
      <w:r>
        <w:rPr>
          <w:rFonts w:hint="eastAsia" w:ascii="宋体" w:hAnsi="宋体" w:cs="方正仿宋_GBK"/>
          <w:color w:val="auto"/>
          <w:szCs w:val="21"/>
          <w:u w:val="single"/>
        </w:rPr>
        <w:t>医院</w:t>
      </w:r>
      <w:r>
        <w:rPr>
          <w:rFonts w:hint="eastAsia" w:ascii="宋体" w:hAnsi="宋体" w:cs="方正仿宋_GBK"/>
          <w:color w:val="auto"/>
          <w:szCs w:val="21"/>
        </w:rPr>
        <w:t>安排并提供办公场地。项目组成员需严格遵守医院有关管理制度，包括考勤制度、着装要求等。</w:t>
      </w:r>
    </w:p>
    <w:p w14:paraId="59E3602E">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 xml:space="preserve">不得擅自变动团队成员，如遇特殊情况须变动须征得采购人同意。 </w:t>
      </w:r>
    </w:p>
    <w:p w14:paraId="741326A1">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提供电子病历五级测评技术支撑服务，要求提供以下咨询服务：项目差距调研分析评估、网上申报过程指导、实证材料准备与指导、现场测评支撑服务。</w:t>
      </w:r>
    </w:p>
    <w:p w14:paraId="2EE04C3A">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提供互联互通四甲测评技术支撑服务，要求提供以下咨询服务：项目差距调研分析评估服务、申报材料整理的指导和准备、网上申报支持、实验室测评支持、文审答辩支持、现场测评支撑服务。</w:t>
      </w:r>
    </w:p>
    <w:p w14:paraId="7CB31845">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提供智慧服务3级测评技术支撑服务，要求提供以下咨询服务：项目差距调研分析评估服务、申报材料整理的指导和准备、网上申报支持、实验室测评支持、文审答辩支持、现场测评支撑服务。</w:t>
      </w:r>
    </w:p>
    <w:p w14:paraId="506EF1EA">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必须确保在整个项目过程中遵守国家及行业相关法规、标准和规范，如果已有产品或工作模式在标准和规范方面存在缺陷，中标人必须在本项目实施过程中予以改正。</w:t>
      </w:r>
    </w:p>
    <w:p w14:paraId="3131E098">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中标人承诺本次</w:t>
      </w:r>
      <w:r>
        <w:rPr>
          <w:rFonts w:hint="eastAsia" w:ascii="宋体" w:hAnsi="宋体" w:cs="方正仿宋_GBK"/>
          <w:color w:val="auto"/>
          <w:szCs w:val="21"/>
          <w:u w:val="single"/>
        </w:rPr>
        <w:t>提</w:t>
      </w:r>
      <w:r>
        <w:rPr>
          <w:rFonts w:hint="eastAsia" w:ascii="宋体" w:hAnsi="宋体" w:cs="方正仿宋_GBK"/>
          <w:color w:val="auto"/>
          <w:szCs w:val="21"/>
        </w:rPr>
        <w:t>供软件产品为公司最新产品，实施阶段如有新版本产生，需免费帮升级到最新版本。承诺软件产品没有侵权问题。如有，中标人承担相应法律责任。提供承诺书。</w:t>
      </w:r>
    </w:p>
    <w:p w14:paraId="7C479A09">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投标人在投标文件中，应针对项目制定合理的实施步骤，包含需求调研、客户化改造、测试、数据准备、培训考核等。</w:t>
      </w:r>
    </w:p>
    <w:p w14:paraId="55E58573">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投标人在投标文件中应提供切实可行的实施工作进度保障方案及控制措施，以确保项目质量和进度。</w:t>
      </w:r>
    </w:p>
    <w:p w14:paraId="280EC24D">
      <w:pPr>
        <w:autoSpaceDE w:val="0"/>
        <w:autoSpaceDN w:val="0"/>
        <w:adjustRightInd w:val="0"/>
        <w:spacing w:line="560" w:lineRule="exact"/>
        <w:ind w:firstLine="420" w:firstLineChars="200"/>
        <w:rPr>
          <w:rFonts w:ascii="宋体" w:hAnsi="宋体" w:cs="方正仿宋_GBK"/>
          <w:color w:val="auto"/>
          <w:szCs w:val="21"/>
        </w:rPr>
      </w:pPr>
      <w:r>
        <w:rPr>
          <w:rFonts w:hint="eastAsia" w:ascii="宋体" w:hAnsi="宋体" w:cs="方正仿宋_GBK"/>
          <w:color w:val="auto"/>
          <w:szCs w:val="21"/>
        </w:rPr>
        <w:t>如在项目实施过程中需要调整内容、进度等，需</w:t>
      </w:r>
      <w:r>
        <w:rPr>
          <w:rFonts w:hint="eastAsia" w:ascii="宋体" w:hAnsi="宋体" w:cs="方正仿宋_GBK"/>
          <w:color w:val="auto"/>
          <w:szCs w:val="21"/>
          <w:u w:val="single"/>
        </w:rPr>
        <w:t>经双</w:t>
      </w:r>
      <w:r>
        <w:rPr>
          <w:rFonts w:hint="eastAsia" w:ascii="宋体" w:hAnsi="宋体" w:cs="方正仿宋_GBK"/>
          <w:color w:val="auto"/>
          <w:szCs w:val="21"/>
        </w:rPr>
        <w:t>方共同同意，按合同变更程序办理。</w:t>
      </w:r>
    </w:p>
    <w:p w14:paraId="61DA6052">
      <w:pPr>
        <w:autoSpaceDE w:val="0"/>
        <w:autoSpaceDN w:val="0"/>
        <w:adjustRightInd w:val="0"/>
        <w:spacing w:line="560" w:lineRule="exact"/>
        <w:ind w:firstLine="420" w:firstLineChars="200"/>
        <w:rPr>
          <w:rFonts w:ascii="宋体" w:hAnsi="宋体"/>
          <w:color w:val="auto"/>
          <w:szCs w:val="21"/>
        </w:rPr>
      </w:pPr>
      <w:r>
        <w:rPr>
          <w:rFonts w:hint="eastAsia" w:ascii="宋体" w:hAnsi="宋体" w:cs="方正仿宋_GBK"/>
          <w:color w:val="auto"/>
          <w:szCs w:val="21"/>
        </w:rPr>
        <w:t>在项目实施过程中需提供相关系统的数据库支撑服务。</w:t>
      </w:r>
    </w:p>
    <w:p w14:paraId="7EA7E335">
      <w:pPr>
        <w:autoSpaceDE w:val="0"/>
        <w:autoSpaceDN w:val="0"/>
        <w:adjustRightInd w:val="0"/>
        <w:spacing w:line="440" w:lineRule="exact"/>
        <w:ind w:firstLine="422" w:firstLineChars="200"/>
        <w:rPr>
          <w:rFonts w:cs="宋体" w:asciiTheme="majorEastAsia" w:hAnsiTheme="majorEastAsia" w:eastAsiaTheme="majorEastAsia"/>
          <w:b/>
          <w:color w:val="auto"/>
          <w:szCs w:val="21"/>
        </w:rPr>
      </w:pPr>
      <w:bookmarkStart w:id="0" w:name="_Toc393058576"/>
      <w:r>
        <w:rPr>
          <w:rFonts w:hint="eastAsia" w:cs="宋体" w:asciiTheme="majorEastAsia" w:hAnsiTheme="majorEastAsia" w:eastAsiaTheme="majorEastAsia"/>
          <w:b/>
          <w:color w:val="auto"/>
          <w:szCs w:val="21"/>
        </w:rPr>
        <w:t>二、建设要求</w:t>
      </w:r>
    </w:p>
    <w:p w14:paraId="7DAF19F5">
      <w:pPr>
        <w:autoSpaceDE w:val="0"/>
        <w:autoSpaceDN w:val="0"/>
        <w:adjustRightInd w:val="0"/>
        <w:spacing w:line="440" w:lineRule="exact"/>
        <w:ind w:firstLine="422" w:firstLineChars="200"/>
        <w:rPr>
          <w:rFonts w:cs="宋体" w:asciiTheme="majorEastAsia" w:hAnsiTheme="majorEastAsia" w:eastAsiaTheme="majorEastAsia"/>
          <w:b/>
          <w:color w:val="auto"/>
          <w:szCs w:val="21"/>
        </w:rPr>
      </w:pPr>
      <w:r>
        <w:rPr>
          <w:rFonts w:hint="eastAsia" w:cs="宋体" w:asciiTheme="majorEastAsia" w:hAnsiTheme="majorEastAsia" w:eastAsiaTheme="majorEastAsia"/>
          <w:b/>
          <w:color w:val="auto"/>
          <w:szCs w:val="21"/>
        </w:rPr>
        <w:t>1</w:t>
      </w:r>
      <w:r>
        <w:rPr>
          <w:rFonts w:cs="宋体" w:asciiTheme="majorEastAsia" w:hAnsiTheme="majorEastAsia" w:eastAsiaTheme="majorEastAsia"/>
          <w:b/>
          <w:color w:val="auto"/>
          <w:szCs w:val="21"/>
        </w:rPr>
        <w:t>.</w:t>
      </w:r>
      <w:r>
        <w:rPr>
          <w:rFonts w:hint="eastAsia" w:cs="宋体" w:asciiTheme="majorEastAsia" w:hAnsiTheme="majorEastAsia" w:eastAsiaTheme="majorEastAsia"/>
          <w:b/>
          <w:color w:val="auto"/>
          <w:szCs w:val="21"/>
        </w:rPr>
        <w:t>建设清单</w:t>
      </w:r>
    </w:p>
    <w:tbl>
      <w:tblPr>
        <w:tblStyle w:val="9"/>
        <w:tblW w:w="4971"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5"/>
        <w:gridCol w:w="2956"/>
        <w:gridCol w:w="3983"/>
        <w:gridCol w:w="769"/>
      </w:tblGrid>
      <w:tr w14:paraId="011212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bottom w:val="single" w:color="auto" w:sz="4" w:space="0"/>
              <w:right w:val="single" w:color="auto" w:sz="4" w:space="0"/>
            </w:tcBorders>
            <w:vAlign w:val="center"/>
          </w:tcPr>
          <w:p w14:paraId="0A0E874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项目号</w:t>
            </w:r>
          </w:p>
        </w:tc>
        <w:tc>
          <w:tcPr>
            <w:tcW w:w="1743" w:type="pct"/>
            <w:tcBorders>
              <w:top w:val="single" w:color="auto" w:sz="4" w:space="0"/>
              <w:left w:val="single" w:color="auto" w:sz="4" w:space="0"/>
              <w:bottom w:val="single" w:color="auto" w:sz="4" w:space="0"/>
              <w:right w:val="single" w:color="auto" w:sz="4" w:space="0"/>
            </w:tcBorders>
            <w:vAlign w:val="center"/>
          </w:tcPr>
          <w:p w14:paraId="33F9296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大项名称</w:t>
            </w:r>
          </w:p>
        </w:tc>
        <w:tc>
          <w:tcPr>
            <w:tcW w:w="2349" w:type="pct"/>
            <w:tcBorders>
              <w:top w:val="single" w:color="auto" w:sz="4" w:space="0"/>
              <w:left w:val="single" w:color="auto" w:sz="4" w:space="0"/>
              <w:bottom w:val="single" w:color="auto" w:sz="4" w:space="0"/>
              <w:right w:val="single" w:color="auto" w:sz="4" w:space="0"/>
            </w:tcBorders>
            <w:vAlign w:val="center"/>
          </w:tcPr>
          <w:p w14:paraId="274D64C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子项名称</w:t>
            </w:r>
          </w:p>
        </w:tc>
        <w:tc>
          <w:tcPr>
            <w:tcW w:w="454" w:type="pct"/>
            <w:tcBorders>
              <w:top w:val="single" w:color="auto" w:sz="4" w:space="0"/>
              <w:left w:val="single" w:color="auto" w:sz="4" w:space="0"/>
              <w:bottom w:val="single" w:color="auto" w:sz="4" w:space="0"/>
              <w:right w:val="single" w:color="auto" w:sz="4" w:space="0"/>
            </w:tcBorders>
            <w:vAlign w:val="center"/>
          </w:tcPr>
          <w:p w14:paraId="00BA7D3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总数量</w:t>
            </w:r>
          </w:p>
        </w:tc>
      </w:tr>
      <w:tr w14:paraId="19C3E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restart"/>
            <w:tcBorders>
              <w:top w:val="single" w:color="auto" w:sz="4" w:space="0"/>
              <w:left w:val="single" w:color="auto" w:sz="4" w:space="0"/>
              <w:bottom w:val="single" w:color="auto" w:sz="4" w:space="0"/>
              <w:right w:val="single" w:color="auto" w:sz="4" w:space="0"/>
            </w:tcBorders>
            <w:vAlign w:val="center"/>
          </w:tcPr>
          <w:p w14:paraId="70BC98E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79EA880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★HIS</w:t>
            </w:r>
          </w:p>
          <w:p w14:paraId="0690DD1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（医院信息系统）</w:t>
            </w:r>
          </w:p>
        </w:tc>
        <w:tc>
          <w:tcPr>
            <w:tcW w:w="2349" w:type="pct"/>
            <w:tcBorders>
              <w:top w:val="single" w:color="auto" w:sz="4" w:space="0"/>
              <w:left w:val="single" w:color="auto" w:sz="4" w:space="0"/>
              <w:bottom w:val="single" w:color="auto" w:sz="4" w:space="0"/>
              <w:right w:val="single" w:color="auto" w:sz="4" w:space="0"/>
            </w:tcBorders>
            <w:vAlign w:val="center"/>
          </w:tcPr>
          <w:p w14:paraId="64F4CC6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门急诊挂号收费系统</w:t>
            </w:r>
          </w:p>
        </w:tc>
        <w:tc>
          <w:tcPr>
            <w:tcW w:w="454" w:type="pct"/>
            <w:tcBorders>
              <w:top w:val="single" w:color="auto" w:sz="4" w:space="0"/>
              <w:left w:val="single" w:color="auto" w:sz="4" w:space="0"/>
              <w:bottom w:val="single" w:color="auto" w:sz="4" w:space="0"/>
              <w:right w:val="single" w:color="auto" w:sz="4" w:space="0"/>
            </w:tcBorders>
            <w:vAlign w:val="center"/>
          </w:tcPr>
          <w:p w14:paraId="114CE34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D6DAC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E5FEED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75023FF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A36618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门诊医生工作站</w:t>
            </w:r>
          </w:p>
        </w:tc>
        <w:tc>
          <w:tcPr>
            <w:tcW w:w="454" w:type="pct"/>
            <w:tcBorders>
              <w:top w:val="single" w:color="auto" w:sz="4" w:space="0"/>
              <w:left w:val="single" w:color="auto" w:sz="4" w:space="0"/>
              <w:bottom w:val="single" w:color="auto" w:sz="4" w:space="0"/>
              <w:right w:val="single" w:color="auto" w:sz="4" w:space="0"/>
            </w:tcBorders>
            <w:vAlign w:val="center"/>
          </w:tcPr>
          <w:p w14:paraId="2F7F050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19B15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713F96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7470FE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192A2A3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门诊护士工作站</w:t>
            </w:r>
          </w:p>
        </w:tc>
        <w:tc>
          <w:tcPr>
            <w:tcW w:w="454" w:type="pct"/>
            <w:tcBorders>
              <w:top w:val="single" w:color="auto" w:sz="4" w:space="0"/>
              <w:left w:val="single" w:color="auto" w:sz="4" w:space="0"/>
              <w:bottom w:val="single" w:color="auto" w:sz="4" w:space="0"/>
              <w:right w:val="single" w:color="auto" w:sz="4" w:space="0"/>
            </w:tcBorders>
            <w:vAlign w:val="center"/>
          </w:tcPr>
          <w:p w14:paraId="7431753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887F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870DD3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F1E55B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1B19BD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门急诊输液管理</w:t>
            </w:r>
          </w:p>
        </w:tc>
        <w:tc>
          <w:tcPr>
            <w:tcW w:w="454" w:type="pct"/>
            <w:tcBorders>
              <w:top w:val="single" w:color="auto" w:sz="4" w:space="0"/>
              <w:left w:val="single" w:color="auto" w:sz="4" w:space="0"/>
              <w:bottom w:val="single" w:color="auto" w:sz="4" w:space="0"/>
              <w:right w:val="single" w:color="auto" w:sz="4" w:space="0"/>
            </w:tcBorders>
            <w:vAlign w:val="center"/>
          </w:tcPr>
          <w:p w14:paraId="438BCCF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2C346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1AD985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6880D7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6C8295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门急诊应急管理系统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42B1252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1套</w:t>
            </w:r>
          </w:p>
        </w:tc>
      </w:tr>
      <w:tr w14:paraId="680B4F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1816B5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B74C1A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9A272A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住院收费系统</w:t>
            </w:r>
          </w:p>
        </w:tc>
        <w:tc>
          <w:tcPr>
            <w:tcW w:w="454" w:type="pct"/>
            <w:tcBorders>
              <w:top w:val="single" w:color="auto" w:sz="4" w:space="0"/>
              <w:left w:val="single" w:color="auto" w:sz="4" w:space="0"/>
              <w:bottom w:val="single" w:color="auto" w:sz="4" w:space="0"/>
              <w:right w:val="single" w:color="auto" w:sz="4" w:space="0"/>
            </w:tcBorders>
            <w:vAlign w:val="center"/>
          </w:tcPr>
          <w:p w14:paraId="7CF9F38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D554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BE3E59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5C175CA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44BB16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住院出入转管理</w:t>
            </w:r>
          </w:p>
        </w:tc>
        <w:tc>
          <w:tcPr>
            <w:tcW w:w="454" w:type="pct"/>
            <w:tcBorders>
              <w:top w:val="single" w:color="auto" w:sz="4" w:space="0"/>
              <w:left w:val="single" w:color="auto" w:sz="4" w:space="0"/>
              <w:bottom w:val="single" w:color="auto" w:sz="4" w:space="0"/>
              <w:right w:val="single" w:color="auto" w:sz="4" w:space="0"/>
            </w:tcBorders>
            <w:vAlign w:val="center"/>
          </w:tcPr>
          <w:p w14:paraId="115EC6A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5DDB2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A48C51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F0B404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7CA48F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住院医生工作站</w:t>
            </w:r>
          </w:p>
        </w:tc>
        <w:tc>
          <w:tcPr>
            <w:tcW w:w="454" w:type="pct"/>
            <w:tcBorders>
              <w:top w:val="single" w:color="auto" w:sz="4" w:space="0"/>
              <w:left w:val="single" w:color="auto" w:sz="4" w:space="0"/>
              <w:bottom w:val="single" w:color="auto" w:sz="4" w:space="0"/>
              <w:right w:val="single" w:color="auto" w:sz="4" w:space="0"/>
            </w:tcBorders>
            <w:vAlign w:val="center"/>
          </w:tcPr>
          <w:p w14:paraId="2877AF4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35794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2A1C70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3043EB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8DEA36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住院护士工作站</w:t>
            </w:r>
          </w:p>
        </w:tc>
        <w:tc>
          <w:tcPr>
            <w:tcW w:w="454" w:type="pct"/>
            <w:tcBorders>
              <w:top w:val="single" w:color="auto" w:sz="4" w:space="0"/>
              <w:left w:val="single" w:color="auto" w:sz="4" w:space="0"/>
              <w:bottom w:val="single" w:color="auto" w:sz="4" w:space="0"/>
              <w:right w:val="single" w:color="auto" w:sz="4" w:space="0"/>
            </w:tcBorders>
            <w:vAlign w:val="center"/>
          </w:tcPr>
          <w:p w14:paraId="5F08B24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F486F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C5FBC5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ABA3C0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6E391E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医技计费管理系统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494A4D6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872E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55DA59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9D7DBE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9B5FE4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医技电子申请单系统</w:t>
            </w:r>
          </w:p>
        </w:tc>
        <w:tc>
          <w:tcPr>
            <w:tcW w:w="454" w:type="pct"/>
            <w:tcBorders>
              <w:top w:val="single" w:color="auto" w:sz="4" w:space="0"/>
              <w:left w:val="single" w:color="auto" w:sz="4" w:space="0"/>
              <w:bottom w:val="single" w:color="auto" w:sz="4" w:space="0"/>
              <w:right w:val="single" w:color="auto" w:sz="4" w:space="0"/>
            </w:tcBorders>
            <w:vAlign w:val="center"/>
          </w:tcPr>
          <w:p w14:paraId="5FE6B53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DEB5F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9D971C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67A673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19FBA5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手术计费管理系统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5E63614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270F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3EE570B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8071BF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D793D5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危急值管理系统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7E13B86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2EFA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86C73B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A0B734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7A2055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治疗信息系统</w:t>
            </w:r>
          </w:p>
        </w:tc>
        <w:tc>
          <w:tcPr>
            <w:tcW w:w="454" w:type="pct"/>
            <w:tcBorders>
              <w:top w:val="single" w:color="auto" w:sz="4" w:space="0"/>
              <w:left w:val="single" w:color="auto" w:sz="4" w:space="0"/>
              <w:bottom w:val="single" w:color="auto" w:sz="4" w:space="0"/>
              <w:right w:val="single" w:color="auto" w:sz="4" w:space="0"/>
            </w:tcBorders>
            <w:vAlign w:val="center"/>
          </w:tcPr>
          <w:p w14:paraId="293BECB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D9774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8790D2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EF14D9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B25FD5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门诊发药管理系统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0419C3E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DEA9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BF9678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3BDDAF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EF0286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住院配药管理系统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5FE21AC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83E4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CDA38D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A1D8A2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ABF7EB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药库管理系统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25C8F8E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7F7E9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198290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85CDE5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D10446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门急诊药房管理系统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6E58212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B839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D84B58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302A3A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3D4407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住院药房管理系统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081DB9F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F996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438A987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FF9D24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1541BC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静配中心系统</w:t>
            </w:r>
          </w:p>
        </w:tc>
        <w:tc>
          <w:tcPr>
            <w:tcW w:w="454" w:type="pct"/>
            <w:tcBorders>
              <w:top w:val="single" w:color="auto" w:sz="4" w:space="0"/>
              <w:left w:val="single" w:color="auto" w:sz="4" w:space="0"/>
              <w:bottom w:val="single" w:color="auto" w:sz="4" w:space="0"/>
              <w:right w:val="single" w:color="auto" w:sz="4" w:space="0"/>
            </w:tcBorders>
            <w:vAlign w:val="center"/>
          </w:tcPr>
          <w:p w14:paraId="15F127D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43C501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BF72DE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817A6A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7CB98B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临床药学系统</w:t>
            </w:r>
          </w:p>
        </w:tc>
        <w:tc>
          <w:tcPr>
            <w:tcW w:w="454" w:type="pct"/>
            <w:tcBorders>
              <w:top w:val="single" w:color="auto" w:sz="4" w:space="0"/>
              <w:left w:val="single" w:color="auto" w:sz="4" w:space="0"/>
              <w:bottom w:val="single" w:color="auto" w:sz="4" w:space="0"/>
              <w:right w:val="single" w:color="auto" w:sz="4" w:space="0"/>
            </w:tcBorders>
            <w:vAlign w:val="center"/>
          </w:tcPr>
          <w:p w14:paraId="59ED1A1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4D7C3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BA2A1E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06F27C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69C823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医保对账管理系统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6270809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1F76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DB70A1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95367F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7F10C44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临床路径管理系统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5EFE1D6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1980A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957BD4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E43006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BC9C56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手术分级管理系统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773C8EC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181DE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F0AEAE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B6D2CE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07CA19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抗生素分级管理系统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5F89B58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8CA6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477DBC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B00409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D0A3B5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物价管理系统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2DB7DDD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E24C0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69D8D8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515BCC5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1822F8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实施管理系统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5274AF7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77E4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4B188D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CD8834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FF226C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配置管理系统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3ACC135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CFCBF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F73B45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3C63D8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B0C3F5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个性化门户</w:t>
            </w:r>
          </w:p>
        </w:tc>
        <w:tc>
          <w:tcPr>
            <w:tcW w:w="454" w:type="pct"/>
            <w:tcBorders>
              <w:top w:val="single" w:color="auto" w:sz="4" w:space="0"/>
              <w:left w:val="single" w:color="auto" w:sz="4" w:space="0"/>
              <w:bottom w:val="single" w:color="auto" w:sz="4" w:space="0"/>
              <w:right w:val="single" w:color="auto" w:sz="4" w:space="0"/>
            </w:tcBorders>
            <w:vAlign w:val="center"/>
          </w:tcPr>
          <w:p w14:paraId="5AC0B89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D5D2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E6E488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7668CA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6D6F79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统一身份认证及单点登录</w:t>
            </w:r>
          </w:p>
        </w:tc>
        <w:tc>
          <w:tcPr>
            <w:tcW w:w="454" w:type="pct"/>
            <w:tcBorders>
              <w:top w:val="single" w:color="auto" w:sz="4" w:space="0"/>
              <w:left w:val="single" w:color="auto" w:sz="4" w:space="0"/>
              <w:bottom w:val="single" w:color="auto" w:sz="4" w:space="0"/>
              <w:right w:val="single" w:color="auto" w:sz="4" w:space="0"/>
            </w:tcBorders>
            <w:vAlign w:val="center"/>
          </w:tcPr>
          <w:p w14:paraId="02AEEED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DCC9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4ECB7B8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767BB8B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★EMR（电子病历系统）</w:t>
            </w:r>
          </w:p>
        </w:tc>
        <w:tc>
          <w:tcPr>
            <w:tcW w:w="2349" w:type="pct"/>
            <w:tcBorders>
              <w:top w:val="single" w:color="auto" w:sz="4" w:space="0"/>
              <w:left w:val="single" w:color="auto" w:sz="4" w:space="0"/>
              <w:bottom w:val="single" w:color="auto" w:sz="4" w:space="0"/>
              <w:right w:val="single" w:color="auto" w:sz="4" w:space="0"/>
            </w:tcBorders>
            <w:vAlign w:val="center"/>
          </w:tcPr>
          <w:p w14:paraId="276B654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门诊电子病历系统</w:t>
            </w:r>
          </w:p>
        </w:tc>
        <w:tc>
          <w:tcPr>
            <w:tcW w:w="454" w:type="pct"/>
            <w:tcBorders>
              <w:top w:val="single" w:color="auto" w:sz="4" w:space="0"/>
              <w:left w:val="single" w:color="auto" w:sz="4" w:space="0"/>
              <w:bottom w:val="single" w:color="auto" w:sz="4" w:space="0"/>
              <w:right w:val="single" w:color="auto" w:sz="4" w:space="0"/>
            </w:tcBorders>
            <w:vAlign w:val="center"/>
          </w:tcPr>
          <w:p w14:paraId="2EC3749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EE5B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D077C8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3184DAD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3F1CC6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住院电子病历系统</w:t>
            </w:r>
          </w:p>
        </w:tc>
        <w:tc>
          <w:tcPr>
            <w:tcW w:w="454" w:type="pct"/>
            <w:tcBorders>
              <w:top w:val="single" w:color="auto" w:sz="4" w:space="0"/>
              <w:left w:val="single" w:color="auto" w:sz="4" w:space="0"/>
              <w:bottom w:val="single" w:color="auto" w:sz="4" w:space="0"/>
              <w:right w:val="single" w:color="auto" w:sz="4" w:space="0"/>
            </w:tcBorders>
            <w:vAlign w:val="center"/>
          </w:tcPr>
          <w:p w14:paraId="785DF82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6730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1A0641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7D43542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EC466B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护理电子病历系统</w:t>
            </w:r>
          </w:p>
        </w:tc>
        <w:tc>
          <w:tcPr>
            <w:tcW w:w="454" w:type="pct"/>
            <w:tcBorders>
              <w:top w:val="single" w:color="auto" w:sz="4" w:space="0"/>
              <w:left w:val="single" w:color="auto" w:sz="4" w:space="0"/>
              <w:bottom w:val="single" w:color="auto" w:sz="4" w:space="0"/>
              <w:right w:val="single" w:color="auto" w:sz="4" w:space="0"/>
            </w:tcBorders>
            <w:vAlign w:val="center"/>
          </w:tcPr>
          <w:p w14:paraId="3081797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79FC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C6D288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16AE12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1B8CAD4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临床信息全文检索</w:t>
            </w:r>
          </w:p>
        </w:tc>
        <w:tc>
          <w:tcPr>
            <w:tcW w:w="454" w:type="pct"/>
            <w:tcBorders>
              <w:top w:val="single" w:color="auto" w:sz="4" w:space="0"/>
              <w:left w:val="single" w:color="auto" w:sz="4" w:space="0"/>
              <w:bottom w:val="single" w:color="auto" w:sz="4" w:space="0"/>
              <w:right w:val="single" w:color="auto" w:sz="4" w:space="0"/>
            </w:tcBorders>
            <w:vAlign w:val="center"/>
          </w:tcPr>
          <w:p w14:paraId="0A14295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4D514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391EA8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3AC22C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DC5E2D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护理决策支持系统</w:t>
            </w:r>
          </w:p>
        </w:tc>
        <w:tc>
          <w:tcPr>
            <w:tcW w:w="454" w:type="pct"/>
            <w:tcBorders>
              <w:top w:val="single" w:color="auto" w:sz="4" w:space="0"/>
              <w:left w:val="single" w:color="auto" w:sz="4" w:space="0"/>
              <w:bottom w:val="single" w:color="auto" w:sz="4" w:space="0"/>
              <w:right w:val="single" w:color="auto" w:sz="4" w:space="0"/>
            </w:tcBorders>
            <w:vAlign w:val="center"/>
          </w:tcPr>
          <w:p w14:paraId="299D290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2B62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2FB037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4EDC02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2D40C6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病案管理与统计系统</w:t>
            </w:r>
          </w:p>
        </w:tc>
        <w:tc>
          <w:tcPr>
            <w:tcW w:w="454" w:type="pct"/>
            <w:tcBorders>
              <w:top w:val="single" w:color="auto" w:sz="4" w:space="0"/>
              <w:left w:val="single" w:color="auto" w:sz="4" w:space="0"/>
              <w:bottom w:val="single" w:color="auto" w:sz="4" w:space="0"/>
              <w:right w:val="single" w:color="auto" w:sz="4" w:space="0"/>
            </w:tcBorders>
            <w:vAlign w:val="center"/>
          </w:tcPr>
          <w:p w14:paraId="6F5BC8C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573C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B0E526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D06901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9A8D49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电子病历质量管理系统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6412F1D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B818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EFC574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AC7137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8F236B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院内会诊</w:t>
            </w:r>
          </w:p>
        </w:tc>
        <w:tc>
          <w:tcPr>
            <w:tcW w:w="454" w:type="pct"/>
            <w:tcBorders>
              <w:top w:val="single" w:color="auto" w:sz="4" w:space="0"/>
              <w:left w:val="single" w:color="auto" w:sz="4" w:space="0"/>
              <w:bottom w:val="single" w:color="auto" w:sz="4" w:space="0"/>
              <w:right w:val="single" w:color="auto" w:sz="4" w:space="0"/>
            </w:tcBorders>
            <w:vAlign w:val="center"/>
          </w:tcPr>
          <w:p w14:paraId="45DEDC5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7920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66C5F1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20E0B3A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★集成平台</w:t>
            </w:r>
          </w:p>
        </w:tc>
        <w:tc>
          <w:tcPr>
            <w:tcW w:w="2349" w:type="pct"/>
            <w:tcBorders>
              <w:top w:val="single" w:color="auto" w:sz="4" w:space="0"/>
              <w:left w:val="single" w:color="auto" w:sz="4" w:space="0"/>
              <w:bottom w:val="single" w:color="auto" w:sz="4" w:space="0"/>
              <w:right w:val="single" w:color="auto" w:sz="4" w:space="0"/>
            </w:tcBorders>
            <w:vAlign w:val="center"/>
          </w:tcPr>
          <w:p w14:paraId="7C821D8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企业服务总线平台</w:t>
            </w:r>
          </w:p>
        </w:tc>
        <w:tc>
          <w:tcPr>
            <w:tcW w:w="454" w:type="pct"/>
            <w:tcBorders>
              <w:top w:val="single" w:color="auto" w:sz="4" w:space="0"/>
              <w:left w:val="single" w:color="auto" w:sz="4" w:space="0"/>
              <w:bottom w:val="single" w:color="auto" w:sz="4" w:space="0"/>
              <w:right w:val="single" w:color="auto" w:sz="4" w:space="0"/>
            </w:tcBorders>
            <w:vAlign w:val="center"/>
          </w:tcPr>
          <w:p w14:paraId="522E76A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5AB0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3FB3906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7A1E8E8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7D374D2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数据中心</w:t>
            </w:r>
          </w:p>
        </w:tc>
        <w:tc>
          <w:tcPr>
            <w:tcW w:w="454" w:type="pct"/>
            <w:tcBorders>
              <w:top w:val="single" w:color="auto" w:sz="4" w:space="0"/>
              <w:left w:val="single" w:color="auto" w:sz="4" w:space="0"/>
              <w:bottom w:val="single" w:color="auto" w:sz="4" w:space="0"/>
              <w:right w:val="single" w:color="auto" w:sz="4" w:space="0"/>
            </w:tcBorders>
            <w:vAlign w:val="center"/>
          </w:tcPr>
          <w:p w14:paraId="27989B6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2679D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42C3DAA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97B953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1CB0BC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业务应用</w:t>
            </w:r>
          </w:p>
        </w:tc>
        <w:tc>
          <w:tcPr>
            <w:tcW w:w="454" w:type="pct"/>
            <w:tcBorders>
              <w:top w:val="single" w:color="auto" w:sz="4" w:space="0"/>
              <w:left w:val="single" w:color="auto" w:sz="4" w:space="0"/>
              <w:bottom w:val="single" w:color="auto" w:sz="4" w:space="0"/>
              <w:right w:val="single" w:color="auto" w:sz="4" w:space="0"/>
            </w:tcBorders>
            <w:vAlign w:val="center"/>
          </w:tcPr>
          <w:p w14:paraId="0B4E346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9B46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46D7C4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C15C80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17580FA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闭环管理</w:t>
            </w:r>
          </w:p>
        </w:tc>
        <w:tc>
          <w:tcPr>
            <w:tcW w:w="454" w:type="pct"/>
            <w:tcBorders>
              <w:top w:val="single" w:color="auto" w:sz="4" w:space="0"/>
              <w:left w:val="single" w:color="auto" w:sz="4" w:space="0"/>
              <w:bottom w:val="single" w:color="auto" w:sz="4" w:space="0"/>
              <w:right w:val="single" w:color="auto" w:sz="4" w:space="0"/>
            </w:tcBorders>
            <w:vAlign w:val="center"/>
          </w:tcPr>
          <w:p w14:paraId="54D8061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127F3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41CCB2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BC2D1E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6ABA88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数据上报</w:t>
            </w:r>
          </w:p>
        </w:tc>
        <w:tc>
          <w:tcPr>
            <w:tcW w:w="454" w:type="pct"/>
            <w:tcBorders>
              <w:top w:val="single" w:color="auto" w:sz="4" w:space="0"/>
              <w:left w:val="single" w:color="auto" w:sz="4" w:space="0"/>
              <w:bottom w:val="single" w:color="auto" w:sz="4" w:space="0"/>
              <w:right w:val="single" w:color="auto" w:sz="4" w:space="0"/>
            </w:tcBorders>
            <w:vAlign w:val="center"/>
          </w:tcPr>
          <w:p w14:paraId="417E36C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8FCC2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4796D0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7350A6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4F6EC5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医院决策支持系统</w:t>
            </w:r>
          </w:p>
        </w:tc>
        <w:tc>
          <w:tcPr>
            <w:tcW w:w="454" w:type="pct"/>
            <w:tcBorders>
              <w:top w:val="single" w:color="auto" w:sz="4" w:space="0"/>
              <w:left w:val="single" w:color="auto" w:sz="4" w:space="0"/>
              <w:bottom w:val="single" w:color="auto" w:sz="4" w:space="0"/>
              <w:right w:val="single" w:color="auto" w:sz="4" w:space="0"/>
            </w:tcBorders>
            <w:vAlign w:val="center"/>
          </w:tcPr>
          <w:p w14:paraId="4890520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042F8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035CF75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2E7F501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临床决策支持系统（CDSS）</w:t>
            </w:r>
          </w:p>
        </w:tc>
        <w:tc>
          <w:tcPr>
            <w:tcW w:w="2349" w:type="pct"/>
            <w:tcBorders>
              <w:top w:val="single" w:color="auto" w:sz="4" w:space="0"/>
              <w:left w:val="single" w:color="auto" w:sz="4" w:space="0"/>
              <w:bottom w:val="single" w:color="auto" w:sz="4" w:space="0"/>
              <w:right w:val="single" w:color="auto" w:sz="4" w:space="0"/>
            </w:tcBorders>
            <w:vAlign w:val="center"/>
          </w:tcPr>
          <w:p w14:paraId="307B07B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静态医学知识</w:t>
            </w:r>
          </w:p>
        </w:tc>
        <w:tc>
          <w:tcPr>
            <w:tcW w:w="454" w:type="pct"/>
            <w:tcBorders>
              <w:top w:val="single" w:color="auto" w:sz="4" w:space="0"/>
              <w:left w:val="single" w:color="auto" w:sz="4" w:space="0"/>
              <w:bottom w:val="single" w:color="auto" w:sz="4" w:space="0"/>
              <w:right w:val="single" w:color="auto" w:sz="4" w:space="0"/>
            </w:tcBorders>
            <w:vAlign w:val="center"/>
          </w:tcPr>
          <w:p w14:paraId="1D85F74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425C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473FF4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B30CB0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A98DD7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检验质控提醒</w:t>
            </w:r>
          </w:p>
        </w:tc>
        <w:tc>
          <w:tcPr>
            <w:tcW w:w="454" w:type="pct"/>
            <w:tcBorders>
              <w:top w:val="single" w:color="auto" w:sz="4" w:space="0"/>
              <w:left w:val="single" w:color="auto" w:sz="4" w:space="0"/>
              <w:bottom w:val="single" w:color="auto" w:sz="4" w:space="0"/>
              <w:right w:val="single" w:color="auto" w:sz="4" w:space="0"/>
            </w:tcBorders>
            <w:vAlign w:val="center"/>
          </w:tcPr>
          <w:p w14:paraId="6730BC3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62D3F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32E5510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0E9DD9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1A6E3F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检查质控提醒</w:t>
            </w:r>
          </w:p>
        </w:tc>
        <w:tc>
          <w:tcPr>
            <w:tcW w:w="454" w:type="pct"/>
            <w:tcBorders>
              <w:top w:val="single" w:color="auto" w:sz="4" w:space="0"/>
              <w:left w:val="single" w:color="auto" w:sz="4" w:space="0"/>
              <w:bottom w:val="single" w:color="auto" w:sz="4" w:space="0"/>
              <w:right w:val="single" w:color="auto" w:sz="4" w:space="0"/>
            </w:tcBorders>
            <w:vAlign w:val="center"/>
          </w:tcPr>
          <w:p w14:paraId="46A2884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68C4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3E3399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587B78F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00C0B15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用药质控提醒</w:t>
            </w:r>
          </w:p>
        </w:tc>
        <w:tc>
          <w:tcPr>
            <w:tcW w:w="454" w:type="pct"/>
            <w:tcBorders>
              <w:top w:val="single" w:color="auto" w:sz="4" w:space="0"/>
              <w:left w:val="single" w:color="auto" w:sz="4" w:space="0"/>
              <w:bottom w:val="single" w:color="auto" w:sz="4" w:space="0"/>
              <w:right w:val="single" w:color="auto" w:sz="4" w:space="0"/>
            </w:tcBorders>
            <w:vAlign w:val="center"/>
          </w:tcPr>
          <w:p w14:paraId="61C7458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DD500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1A2C588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8005D0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17143F8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诊断质控提醒</w:t>
            </w:r>
          </w:p>
        </w:tc>
        <w:tc>
          <w:tcPr>
            <w:tcW w:w="454" w:type="pct"/>
            <w:tcBorders>
              <w:top w:val="single" w:color="auto" w:sz="4" w:space="0"/>
              <w:left w:val="single" w:color="auto" w:sz="4" w:space="0"/>
              <w:bottom w:val="single" w:color="auto" w:sz="4" w:space="0"/>
              <w:right w:val="single" w:color="auto" w:sz="4" w:space="0"/>
            </w:tcBorders>
            <w:vAlign w:val="center"/>
          </w:tcPr>
          <w:p w14:paraId="25EE104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E39A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39D79A0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1654BAD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7BFD9A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手术质控提醒</w:t>
            </w:r>
          </w:p>
        </w:tc>
        <w:tc>
          <w:tcPr>
            <w:tcW w:w="454" w:type="pct"/>
            <w:tcBorders>
              <w:top w:val="single" w:color="auto" w:sz="4" w:space="0"/>
              <w:left w:val="single" w:color="auto" w:sz="4" w:space="0"/>
              <w:bottom w:val="single" w:color="auto" w:sz="4" w:space="0"/>
              <w:right w:val="single" w:color="auto" w:sz="4" w:space="0"/>
            </w:tcBorders>
            <w:vAlign w:val="center"/>
          </w:tcPr>
          <w:p w14:paraId="3281BF7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B9520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4AB3B51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2F28F22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统一预约服务平台</w:t>
            </w:r>
          </w:p>
        </w:tc>
        <w:tc>
          <w:tcPr>
            <w:tcW w:w="2349" w:type="pct"/>
            <w:tcBorders>
              <w:top w:val="single" w:color="auto" w:sz="4" w:space="0"/>
              <w:left w:val="single" w:color="auto" w:sz="4" w:space="0"/>
              <w:bottom w:val="single" w:color="auto" w:sz="4" w:space="0"/>
              <w:right w:val="single" w:color="auto" w:sz="4" w:space="0"/>
            </w:tcBorders>
            <w:vAlign w:val="center"/>
          </w:tcPr>
          <w:p w14:paraId="2D8B1F1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门诊预约系统</w:t>
            </w:r>
          </w:p>
        </w:tc>
        <w:tc>
          <w:tcPr>
            <w:tcW w:w="454" w:type="pct"/>
            <w:tcBorders>
              <w:top w:val="single" w:color="auto" w:sz="4" w:space="0"/>
              <w:left w:val="single" w:color="auto" w:sz="4" w:space="0"/>
              <w:bottom w:val="single" w:color="auto" w:sz="4" w:space="0"/>
              <w:right w:val="single" w:color="auto" w:sz="4" w:space="0"/>
            </w:tcBorders>
            <w:vAlign w:val="center"/>
          </w:tcPr>
          <w:p w14:paraId="5D09B72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0CFFA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B54B9D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29A797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1D6BCEF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检查预约系统</w:t>
            </w:r>
          </w:p>
        </w:tc>
        <w:tc>
          <w:tcPr>
            <w:tcW w:w="454" w:type="pct"/>
            <w:tcBorders>
              <w:top w:val="single" w:color="auto" w:sz="4" w:space="0"/>
              <w:left w:val="single" w:color="auto" w:sz="4" w:space="0"/>
              <w:bottom w:val="single" w:color="auto" w:sz="4" w:space="0"/>
              <w:right w:val="single" w:color="auto" w:sz="4" w:space="0"/>
            </w:tcBorders>
            <w:vAlign w:val="center"/>
          </w:tcPr>
          <w:p w14:paraId="5FD2AFB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E92D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0F51EB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0AC997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20115BB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治疗预约系统</w:t>
            </w:r>
          </w:p>
        </w:tc>
        <w:tc>
          <w:tcPr>
            <w:tcW w:w="454" w:type="pct"/>
            <w:tcBorders>
              <w:top w:val="single" w:color="auto" w:sz="4" w:space="0"/>
              <w:left w:val="single" w:color="auto" w:sz="4" w:space="0"/>
              <w:bottom w:val="single" w:color="auto" w:sz="4" w:space="0"/>
              <w:right w:val="single" w:color="auto" w:sz="4" w:space="0"/>
            </w:tcBorders>
            <w:vAlign w:val="center"/>
          </w:tcPr>
          <w:p w14:paraId="0FC181E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4B3C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3DFA706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tcBorders>
              <w:top w:val="single" w:color="auto" w:sz="4" w:space="0"/>
              <w:left w:val="single" w:color="auto" w:sz="4" w:space="0"/>
              <w:bottom w:val="single" w:color="auto" w:sz="4" w:space="0"/>
              <w:right w:val="single" w:color="auto" w:sz="4" w:space="0"/>
            </w:tcBorders>
            <w:vAlign w:val="center"/>
          </w:tcPr>
          <w:p w14:paraId="7AC89B9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现有系统接口改造</w:t>
            </w:r>
          </w:p>
        </w:tc>
        <w:tc>
          <w:tcPr>
            <w:tcW w:w="2349" w:type="pct"/>
            <w:tcBorders>
              <w:top w:val="single" w:color="auto" w:sz="4" w:space="0"/>
              <w:left w:val="single" w:color="auto" w:sz="4" w:space="0"/>
              <w:bottom w:val="single" w:color="auto" w:sz="4" w:space="0"/>
              <w:right w:val="single" w:color="auto" w:sz="4" w:space="0"/>
            </w:tcBorders>
            <w:vAlign w:val="center"/>
          </w:tcPr>
          <w:p w14:paraId="4F1326F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现有系统接口改造</w:t>
            </w:r>
          </w:p>
        </w:tc>
        <w:tc>
          <w:tcPr>
            <w:tcW w:w="454" w:type="pct"/>
            <w:tcBorders>
              <w:top w:val="single" w:color="auto" w:sz="4" w:space="0"/>
              <w:left w:val="single" w:color="auto" w:sz="4" w:space="0"/>
              <w:bottom w:val="single" w:color="auto" w:sz="4" w:space="0"/>
              <w:right w:val="single" w:color="auto" w:sz="4" w:space="0"/>
            </w:tcBorders>
            <w:vAlign w:val="center"/>
          </w:tcPr>
          <w:p w14:paraId="2854EE6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389CA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CC7037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tcBorders>
              <w:top w:val="single" w:color="auto" w:sz="4" w:space="0"/>
              <w:left w:val="single" w:color="auto" w:sz="4" w:space="0"/>
              <w:bottom w:val="single" w:color="auto" w:sz="4" w:space="0"/>
              <w:right w:val="single" w:color="auto" w:sz="4" w:space="0"/>
            </w:tcBorders>
            <w:vAlign w:val="center"/>
          </w:tcPr>
          <w:p w14:paraId="39C0B78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核心系统信息安全等级保护三级测评</w:t>
            </w:r>
          </w:p>
        </w:tc>
        <w:tc>
          <w:tcPr>
            <w:tcW w:w="2349" w:type="pct"/>
            <w:tcBorders>
              <w:top w:val="single" w:color="auto" w:sz="4" w:space="0"/>
              <w:left w:val="single" w:color="auto" w:sz="4" w:space="0"/>
              <w:bottom w:val="single" w:color="auto" w:sz="4" w:space="0"/>
              <w:right w:val="single" w:color="auto" w:sz="4" w:space="0"/>
            </w:tcBorders>
            <w:vAlign w:val="center"/>
          </w:tcPr>
          <w:p w14:paraId="6F5A0D8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核心系统验收后1年内提供核心系统第一次信息安全等级保护三级测评报告</w:t>
            </w:r>
          </w:p>
        </w:tc>
        <w:tc>
          <w:tcPr>
            <w:tcW w:w="454" w:type="pct"/>
            <w:tcBorders>
              <w:top w:val="single" w:color="auto" w:sz="4" w:space="0"/>
              <w:left w:val="single" w:color="auto" w:sz="4" w:space="0"/>
              <w:bottom w:val="single" w:color="auto" w:sz="4" w:space="0"/>
              <w:right w:val="single" w:color="auto" w:sz="4" w:space="0"/>
            </w:tcBorders>
            <w:vAlign w:val="center"/>
          </w:tcPr>
          <w:p w14:paraId="3217D7A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0C2FD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544BF9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tcBorders>
              <w:top w:val="single" w:color="auto" w:sz="4" w:space="0"/>
              <w:left w:val="single" w:color="auto" w:sz="4" w:space="0"/>
              <w:bottom w:val="single" w:color="auto" w:sz="4" w:space="0"/>
              <w:right w:val="single" w:color="auto" w:sz="4" w:space="0"/>
            </w:tcBorders>
            <w:vAlign w:val="center"/>
          </w:tcPr>
          <w:p w14:paraId="47A1145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本地化开发服务</w:t>
            </w:r>
          </w:p>
        </w:tc>
        <w:tc>
          <w:tcPr>
            <w:tcW w:w="2349" w:type="pct"/>
            <w:tcBorders>
              <w:top w:val="single" w:color="auto" w:sz="4" w:space="0"/>
              <w:left w:val="single" w:color="auto" w:sz="4" w:space="0"/>
              <w:bottom w:val="single" w:color="auto" w:sz="4" w:space="0"/>
              <w:right w:val="single" w:color="auto" w:sz="4" w:space="0"/>
            </w:tcBorders>
            <w:vAlign w:val="center"/>
          </w:tcPr>
          <w:p w14:paraId="76E5DA7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本地化开发服务</w:t>
            </w:r>
          </w:p>
        </w:tc>
        <w:tc>
          <w:tcPr>
            <w:tcW w:w="454" w:type="pct"/>
            <w:tcBorders>
              <w:top w:val="single" w:color="auto" w:sz="4" w:space="0"/>
              <w:left w:val="single" w:color="auto" w:sz="4" w:space="0"/>
              <w:bottom w:val="single" w:color="auto" w:sz="4" w:space="0"/>
              <w:right w:val="single" w:color="auto" w:sz="4" w:space="0"/>
            </w:tcBorders>
            <w:vAlign w:val="center"/>
          </w:tcPr>
          <w:p w14:paraId="2828935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59C05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restart"/>
            <w:tcBorders>
              <w:top w:val="single" w:color="auto" w:sz="4" w:space="0"/>
              <w:left w:val="single" w:color="auto" w:sz="4" w:space="0"/>
              <w:bottom w:val="single" w:color="auto" w:sz="4" w:space="0"/>
              <w:right w:val="single" w:color="auto" w:sz="4" w:space="0"/>
            </w:tcBorders>
            <w:vAlign w:val="center"/>
          </w:tcPr>
          <w:p w14:paraId="4345DF0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p>
        </w:tc>
        <w:tc>
          <w:tcPr>
            <w:tcW w:w="1743" w:type="pct"/>
            <w:vMerge w:val="restart"/>
            <w:tcBorders>
              <w:top w:val="single" w:color="auto" w:sz="4" w:space="0"/>
              <w:left w:val="single" w:color="auto" w:sz="4" w:space="0"/>
              <w:bottom w:val="single" w:color="auto" w:sz="4" w:space="0"/>
              <w:right w:val="single" w:color="auto" w:sz="4" w:space="0"/>
            </w:tcBorders>
            <w:vAlign w:val="center"/>
          </w:tcPr>
          <w:p w14:paraId="24D10AB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智慧病房</w:t>
            </w:r>
          </w:p>
        </w:tc>
        <w:tc>
          <w:tcPr>
            <w:tcW w:w="2349" w:type="pct"/>
            <w:tcBorders>
              <w:top w:val="single" w:color="auto" w:sz="4" w:space="0"/>
              <w:left w:val="single" w:color="auto" w:sz="4" w:space="0"/>
              <w:bottom w:val="single" w:color="auto" w:sz="4" w:space="0"/>
              <w:right w:val="single" w:color="auto" w:sz="4" w:space="0"/>
            </w:tcBorders>
            <w:vAlign w:val="center"/>
          </w:tcPr>
          <w:p w14:paraId="57C709C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智慧病房交互平台</w:t>
            </w:r>
          </w:p>
        </w:tc>
        <w:tc>
          <w:tcPr>
            <w:tcW w:w="454" w:type="pct"/>
            <w:tcBorders>
              <w:top w:val="single" w:color="auto" w:sz="4" w:space="0"/>
              <w:left w:val="single" w:color="auto" w:sz="4" w:space="0"/>
              <w:bottom w:val="single" w:color="auto" w:sz="4" w:space="0"/>
              <w:right w:val="single" w:color="auto" w:sz="4" w:space="0"/>
            </w:tcBorders>
            <w:vAlign w:val="center"/>
          </w:tcPr>
          <w:p w14:paraId="033BDEA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1套</w:t>
            </w:r>
          </w:p>
        </w:tc>
      </w:tr>
      <w:tr w14:paraId="7FB006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7FAACD5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682675A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342C678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智慧病房交互大屏</w:t>
            </w:r>
          </w:p>
        </w:tc>
        <w:tc>
          <w:tcPr>
            <w:tcW w:w="454" w:type="pct"/>
            <w:tcBorders>
              <w:top w:val="single" w:color="auto" w:sz="4" w:space="0"/>
              <w:left w:val="single" w:color="auto" w:sz="4" w:space="0"/>
              <w:bottom w:val="single" w:color="auto" w:sz="4" w:space="0"/>
              <w:right w:val="single" w:color="auto" w:sz="4" w:space="0"/>
            </w:tcBorders>
            <w:vAlign w:val="center"/>
          </w:tcPr>
          <w:p w14:paraId="133D64A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25台</w:t>
            </w:r>
          </w:p>
        </w:tc>
      </w:tr>
      <w:tr w14:paraId="53E94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697595B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CDAE34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5359F9E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移动护理信息系统</w:t>
            </w:r>
          </w:p>
        </w:tc>
        <w:tc>
          <w:tcPr>
            <w:tcW w:w="454" w:type="pct"/>
            <w:tcBorders>
              <w:top w:val="single" w:color="auto" w:sz="4" w:space="0"/>
              <w:left w:val="single" w:color="auto" w:sz="4" w:space="0"/>
              <w:bottom w:val="single" w:color="auto" w:sz="4" w:space="0"/>
              <w:right w:val="single" w:color="auto" w:sz="4" w:space="0"/>
            </w:tcBorders>
            <w:vAlign w:val="center"/>
          </w:tcPr>
          <w:p w14:paraId="4B737E9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1套</w:t>
            </w:r>
          </w:p>
        </w:tc>
      </w:tr>
      <w:tr w14:paraId="754A1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4EDABD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0A32FBD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8621F0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移动查房系统</w:t>
            </w:r>
          </w:p>
        </w:tc>
        <w:tc>
          <w:tcPr>
            <w:tcW w:w="454" w:type="pct"/>
            <w:tcBorders>
              <w:top w:val="single" w:color="auto" w:sz="4" w:space="0"/>
              <w:left w:val="single" w:color="auto" w:sz="4" w:space="0"/>
              <w:bottom w:val="single" w:color="auto" w:sz="4" w:space="0"/>
              <w:right w:val="single" w:color="auto" w:sz="4" w:space="0"/>
            </w:tcBorders>
            <w:vAlign w:val="center"/>
          </w:tcPr>
          <w:p w14:paraId="0D4CE5D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1套</w:t>
            </w:r>
          </w:p>
        </w:tc>
      </w:tr>
      <w:tr w14:paraId="0C8F5F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5917829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4183CCA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4EF49441">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移动护理PDA</w:t>
            </w:r>
          </w:p>
        </w:tc>
        <w:tc>
          <w:tcPr>
            <w:tcW w:w="454" w:type="pct"/>
            <w:tcBorders>
              <w:top w:val="single" w:color="auto" w:sz="4" w:space="0"/>
              <w:left w:val="single" w:color="auto" w:sz="4" w:space="0"/>
              <w:bottom w:val="single" w:color="auto" w:sz="4" w:space="0"/>
              <w:right w:val="single" w:color="auto" w:sz="4" w:space="0"/>
            </w:tcBorders>
            <w:vAlign w:val="center"/>
          </w:tcPr>
          <w:p w14:paraId="543758B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140台</w:t>
            </w:r>
          </w:p>
        </w:tc>
      </w:tr>
      <w:tr w14:paraId="5CD4C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27FBCDD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2E42426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674B301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腕带打印机</w:t>
            </w:r>
          </w:p>
        </w:tc>
        <w:tc>
          <w:tcPr>
            <w:tcW w:w="454" w:type="pct"/>
            <w:tcBorders>
              <w:top w:val="single" w:color="auto" w:sz="4" w:space="0"/>
              <w:left w:val="single" w:color="auto" w:sz="4" w:space="0"/>
              <w:bottom w:val="single" w:color="auto" w:sz="4" w:space="0"/>
              <w:right w:val="single" w:color="auto" w:sz="4" w:space="0"/>
            </w:tcBorders>
            <w:vAlign w:val="center"/>
          </w:tcPr>
          <w:p w14:paraId="58487BF7">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52台</w:t>
            </w:r>
          </w:p>
        </w:tc>
      </w:tr>
      <w:tr w14:paraId="3B0D6D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vMerge w:val="continue"/>
            <w:tcBorders>
              <w:top w:val="single" w:color="auto" w:sz="4" w:space="0"/>
              <w:left w:val="single" w:color="auto" w:sz="4" w:space="0"/>
              <w:bottom w:val="single" w:color="auto" w:sz="4" w:space="0"/>
              <w:right w:val="single" w:color="auto" w:sz="4" w:space="0"/>
            </w:tcBorders>
            <w:vAlign w:val="center"/>
          </w:tcPr>
          <w:p w14:paraId="422C056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1743" w:type="pct"/>
            <w:vMerge w:val="continue"/>
            <w:tcBorders>
              <w:top w:val="single" w:color="auto" w:sz="4" w:space="0"/>
              <w:left w:val="single" w:color="auto" w:sz="4" w:space="0"/>
              <w:bottom w:val="single" w:color="auto" w:sz="4" w:space="0"/>
              <w:right w:val="single" w:color="auto" w:sz="4" w:space="0"/>
            </w:tcBorders>
            <w:vAlign w:val="center"/>
          </w:tcPr>
          <w:p w14:paraId="7C790C2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p>
        </w:tc>
        <w:tc>
          <w:tcPr>
            <w:tcW w:w="2349" w:type="pct"/>
            <w:tcBorders>
              <w:top w:val="single" w:color="auto" w:sz="4" w:space="0"/>
              <w:left w:val="single" w:color="auto" w:sz="4" w:space="0"/>
              <w:bottom w:val="single" w:color="auto" w:sz="4" w:space="0"/>
              <w:right w:val="single" w:color="auto" w:sz="4" w:space="0"/>
            </w:tcBorders>
            <w:vAlign w:val="center"/>
          </w:tcPr>
          <w:p w14:paraId="721CC22C">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7</w:t>
            </w:r>
            <w:r>
              <w:rPr>
                <w:rFonts w:hint="eastAsia" w:cs="宋体" w:asciiTheme="majorEastAsia" w:hAnsiTheme="majorEastAsia" w:eastAsiaTheme="majorEastAsia"/>
                <w:color w:val="auto"/>
                <w:szCs w:val="21"/>
              </w:rPr>
              <w:t>移动平板</w:t>
            </w:r>
          </w:p>
        </w:tc>
        <w:tc>
          <w:tcPr>
            <w:tcW w:w="454" w:type="pct"/>
            <w:tcBorders>
              <w:top w:val="single" w:color="auto" w:sz="4" w:space="0"/>
              <w:left w:val="single" w:color="auto" w:sz="4" w:space="0"/>
              <w:bottom w:val="single" w:color="auto" w:sz="4" w:space="0"/>
              <w:right w:val="single" w:color="auto" w:sz="4" w:space="0"/>
            </w:tcBorders>
            <w:vAlign w:val="center"/>
          </w:tcPr>
          <w:p w14:paraId="13251DF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100台</w:t>
            </w:r>
          </w:p>
        </w:tc>
      </w:tr>
      <w:tr w14:paraId="08D236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bottom w:val="single" w:color="auto" w:sz="4" w:space="0"/>
              <w:right w:val="single" w:color="auto" w:sz="4" w:space="0"/>
            </w:tcBorders>
            <w:vAlign w:val="center"/>
          </w:tcPr>
          <w:p w14:paraId="3024887E">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p>
        </w:tc>
        <w:tc>
          <w:tcPr>
            <w:tcW w:w="1743" w:type="pct"/>
            <w:tcBorders>
              <w:top w:val="single" w:color="auto" w:sz="4" w:space="0"/>
              <w:left w:val="single" w:color="auto" w:sz="4" w:space="0"/>
              <w:bottom w:val="single" w:color="auto" w:sz="4" w:space="0"/>
              <w:right w:val="single" w:color="auto" w:sz="4" w:space="0"/>
            </w:tcBorders>
            <w:vAlign w:val="center"/>
          </w:tcPr>
          <w:p w14:paraId="2A70D84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检验信息管理系统（lis系统）</w:t>
            </w:r>
          </w:p>
        </w:tc>
        <w:tc>
          <w:tcPr>
            <w:tcW w:w="2349" w:type="pct"/>
            <w:tcBorders>
              <w:top w:val="single" w:color="auto" w:sz="4" w:space="0"/>
              <w:left w:val="single" w:color="auto" w:sz="4" w:space="0"/>
              <w:bottom w:val="single" w:color="auto" w:sz="4" w:space="0"/>
              <w:right w:val="single" w:color="auto" w:sz="4" w:space="0"/>
            </w:tcBorders>
            <w:vAlign w:val="center"/>
          </w:tcPr>
          <w:p w14:paraId="6E33C07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检验信息管理系统（lis系统）</w:t>
            </w:r>
          </w:p>
        </w:tc>
        <w:tc>
          <w:tcPr>
            <w:tcW w:w="454" w:type="pct"/>
            <w:tcBorders>
              <w:top w:val="single" w:color="auto" w:sz="4" w:space="0"/>
              <w:left w:val="single" w:color="auto" w:sz="4" w:space="0"/>
              <w:bottom w:val="single" w:color="auto" w:sz="4" w:space="0"/>
              <w:right w:val="single" w:color="auto" w:sz="4" w:space="0"/>
            </w:tcBorders>
            <w:vAlign w:val="center"/>
          </w:tcPr>
          <w:p w14:paraId="2E072E4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套</w:t>
            </w:r>
          </w:p>
        </w:tc>
      </w:tr>
      <w:tr w14:paraId="1BFD2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451" w:type="pct"/>
            <w:tcBorders>
              <w:top w:val="single" w:color="auto" w:sz="4" w:space="0"/>
              <w:left w:val="single" w:color="auto" w:sz="4" w:space="0"/>
              <w:bottom w:val="single" w:color="auto" w:sz="4" w:space="0"/>
              <w:right w:val="single" w:color="auto" w:sz="4" w:space="0"/>
            </w:tcBorders>
            <w:vAlign w:val="center"/>
          </w:tcPr>
          <w:p w14:paraId="7AB11CB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p>
        </w:tc>
        <w:tc>
          <w:tcPr>
            <w:tcW w:w="1743" w:type="pct"/>
            <w:tcBorders>
              <w:top w:val="single" w:color="auto" w:sz="4" w:space="0"/>
              <w:left w:val="single" w:color="auto" w:sz="4" w:space="0"/>
              <w:bottom w:val="single" w:color="auto" w:sz="4" w:space="0"/>
              <w:right w:val="single" w:color="auto" w:sz="4" w:space="0"/>
            </w:tcBorders>
            <w:vAlign w:val="center"/>
          </w:tcPr>
          <w:p w14:paraId="093E2F53">
            <w:pPr>
              <w:kinsoku w:val="0"/>
              <w:overflowPunct w:val="0"/>
              <w:autoSpaceDE w:val="0"/>
              <w:autoSpaceDN w:val="0"/>
              <w:adjustRightInd w:val="0"/>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医疗急诊医学临床信息系统</w:t>
            </w:r>
          </w:p>
        </w:tc>
        <w:tc>
          <w:tcPr>
            <w:tcW w:w="2349" w:type="pct"/>
            <w:tcBorders>
              <w:top w:val="single" w:color="auto" w:sz="4" w:space="0"/>
              <w:left w:val="single" w:color="auto" w:sz="4" w:space="0"/>
              <w:bottom w:val="single" w:color="auto" w:sz="4" w:space="0"/>
              <w:right w:val="single" w:color="auto" w:sz="4" w:space="0"/>
            </w:tcBorders>
            <w:vAlign w:val="center"/>
          </w:tcPr>
          <w:p w14:paraId="56DB166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医疗急诊医学临床信息系统</w:t>
            </w:r>
          </w:p>
        </w:tc>
        <w:tc>
          <w:tcPr>
            <w:tcW w:w="454" w:type="pct"/>
            <w:tcBorders>
              <w:top w:val="single" w:color="auto" w:sz="4" w:space="0"/>
              <w:left w:val="single" w:color="auto" w:sz="4" w:space="0"/>
              <w:bottom w:val="single" w:color="auto" w:sz="4" w:space="0"/>
              <w:right w:val="single" w:color="auto" w:sz="4" w:space="0"/>
            </w:tcBorders>
            <w:vAlign w:val="center"/>
          </w:tcPr>
          <w:p w14:paraId="357207D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套</w:t>
            </w:r>
          </w:p>
        </w:tc>
      </w:tr>
      <w:tr w14:paraId="0B3BD4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bottom w:val="single" w:color="auto" w:sz="4" w:space="0"/>
              <w:right w:val="single" w:color="auto" w:sz="4" w:space="0"/>
            </w:tcBorders>
            <w:vAlign w:val="center"/>
          </w:tcPr>
          <w:p w14:paraId="1AD9E20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p>
        </w:tc>
        <w:tc>
          <w:tcPr>
            <w:tcW w:w="1743" w:type="pct"/>
            <w:tcBorders>
              <w:top w:val="single" w:color="auto" w:sz="4" w:space="0"/>
              <w:left w:val="single" w:color="auto" w:sz="4" w:space="0"/>
              <w:bottom w:val="single" w:color="auto" w:sz="4" w:space="0"/>
              <w:right w:val="single" w:color="auto" w:sz="4" w:space="0"/>
            </w:tcBorders>
            <w:vAlign w:val="center"/>
          </w:tcPr>
          <w:p w14:paraId="456F34E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医院DRG精细化管理平台</w:t>
            </w:r>
          </w:p>
        </w:tc>
        <w:tc>
          <w:tcPr>
            <w:tcW w:w="2349" w:type="pct"/>
            <w:tcBorders>
              <w:top w:val="single" w:color="auto" w:sz="4" w:space="0"/>
              <w:left w:val="single" w:color="auto" w:sz="4" w:space="0"/>
              <w:bottom w:val="single" w:color="auto" w:sz="4" w:space="0"/>
              <w:right w:val="single" w:color="auto" w:sz="4" w:space="0"/>
            </w:tcBorders>
            <w:vAlign w:val="center"/>
          </w:tcPr>
          <w:p w14:paraId="2561E1D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医院DRG精细化管理平台</w:t>
            </w:r>
          </w:p>
        </w:tc>
        <w:tc>
          <w:tcPr>
            <w:tcW w:w="454" w:type="pct"/>
            <w:tcBorders>
              <w:top w:val="single" w:color="auto" w:sz="4" w:space="0"/>
              <w:left w:val="single" w:color="auto" w:sz="4" w:space="0"/>
              <w:bottom w:val="single" w:color="auto" w:sz="4" w:space="0"/>
              <w:right w:val="single" w:color="auto" w:sz="4" w:space="0"/>
            </w:tcBorders>
            <w:vAlign w:val="center"/>
          </w:tcPr>
          <w:p w14:paraId="1F41370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套</w:t>
            </w:r>
          </w:p>
        </w:tc>
      </w:tr>
      <w:tr w14:paraId="34A8CD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1" w:type="pct"/>
            <w:tcBorders>
              <w:top w:val="single" w:color="auto" w:sz="4" w:space="0"/>
              <w:left w:val="single" w:color="auto" w:sz="4" w:space="0"/>
              <w:bottom w:val="single" w:color="auto" w:sz="4" w:space="0"/>
              <w:right w:val="single" w:color="auto" w:sz="4" w:space="0"/>
            </w:tcBorders>
            <w:vAlign w:val="center"/>
          </w:tcPr>
          <w:p w14:paraId="6500618A">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p>
        </w:tc>
        <w:tc>
          <w:tcPr>
            <w:tcW w:w="1743" w:type="pct"/>
            <w:tcBorders>
              <w:top w:val="single" w:color="auto" w:sz="4" w:space="0"/>
              <w:left w:val="single" w:color="auto" w:sz="4" w:space="0"/>
              <w:bottom w:val="single" w:color="auto" w:sz="4" w:space="0"/>
              <w:right w:val="single" w:color="auto" w:sz="4" w:space="0"/>
            </w:tcBorders>
            <w:vAlign w:val="center"/>
          </w:tcPr>
          <w:p w14:paraId="40E03CAB">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互联网医院</w:t>
            </w:r>
          </w:p>
        </w:tc>
        <w:tc>
          <w:tcPr>
            <w:tcW w:w="2349" w:type="pct"/>
            <w:tcBorders>
              <w:top w:val="single" w:color="auto" w:sz="4" w:space="0"/>
              <w:left w:val="single" w:color="auto" w:sz="4" w:space="0"/>
              <w:bottom w:val="single" w:color="auto" w:sz="4" w:space="0"/>
              <w:right w:val="single" w:color="auto" w:sz="4" w:space="0"/>
            </w:tcBorders>
            <w:vAlign w:val="center"/>
          </w:tcPr>
          <w:p w14:paraId="5CD7A926">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互联网医院</w:t>
            </w:r>
          </w:p>
        </w:tc>
        <w:tc>
          <w:tcPr>
            <w:tcW w:w="454" w:type="pct"/>
            <w:tcBorders>
              <w:top w:val="single" w:color="auto" w:sz="4" w:space="0"/>
              <w:left w:val="single" w:color="auto" w:sz="4" w:space="0"/>
              <w:bottom w:val="single" w:color="auto" w:sz="4" w:space="0"/>
              <w:right w:val="single" w:color="auto" w:sz="4" w:space="0"/>
            </w:tcBorders>
            <w:vAlign w:val="center"/>
          </w:tcPr>
          <w:p w14:paraId="36DC4024">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套</w:t>
            </w:r>
          </w:p>
        </w:tc>
      </w:tr>
      <w:tr w14:paraId="02DAF3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bottom w:val="single" w:color="auto" w:sz="4" w:space="0"/>
              <w:right w:val="single" w:color="auto" w:sz="4" w:space="0"/>
            </w:tcBorders>
            <w:vAlign w:val="center"/>
          </w:tcPr>
          <w:p w14:paraId="1A753682">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p>
        </w:tc>
        <w:tc>
          <w:tcPr>
            <w:tcW w:w="1743" w:type="pct"/>
            <w:tcBorders>
              <w:top w:val="single" w:color="auto" w:sz="4" w:space="0"/>
              <w:left w:val="single" w:color="auto" w:sz="4" w:space="0"/>
              <w:bottom w:val="single" w:color="auto" w:sz="4" w:space="0"/>
              <w:right w:val="single" w:color="auto" w:sz="4" w:space="0"/>
            </w:tcBorders>
            <w:vAlign w:val="center"/>
          </w:tcPr>
          <w:p w14:paraId="57B6147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消毒供应室追溯管理系统</w:t>
            </w:r>
          </w:p>
        </w:tc>
        <w:tc>
          <w:tcPr>
            <w:tcW w:w="2349" w:type="pct"/>
            <w:tcBorders>
              <w:top w:val="single" w:color="auto" w:sz="4" w:space="0"/>
              <w:left w:val="single" w:color="auto" w:sz="4" w:space="0"/>
              <w:bottom w:val="single" w:color="auto" w:sz="4" w:space="0"/>
              <w:right w:val="single" w:color="auto" w:sz="4" w:space="0"/>
            </w:tcBorders>
            <w:vAlign w:val="center"/>
          </w:tcPr>
          <w:p w14:paraId="170FBE03">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消毒供应室追溯管理系统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0E2302FD">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52207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bottom w:val="single" w:color="auto" w:sz="4" w:space="0"/>
              <w:right w:val="single" w:color="auto" w:sz="4" w:space="0"/>
            </w:tcBorders>
            <w:vAlign w:val="center"/>
          </w:tcPr>
          <w:p w14:paraId="77BD17E0">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p>
        </w:tc>
        <w:tc>
          <w:tcPr>
            <w:tcW w:w="1743" w:type="pct"/>
            <w:tcBorders>
              <w:top w:val="single" w:color="auto" w:sz="4" w:space="0"/>
              <w:left w:val="single" w:color="auto" w:sz="4" w:space="0"/>
              <w:bottom w:val="single" w:color="auto" w:sz="4" w:space="0"/>
              <w:right w:val="single" w:color="auto" w:sz="4" w:space="0"/>
            </w:tcBorders>
            <w:vAlign w:val="center"/>
          </w:tcPr>
          <w:p w14:paraId="65466796">
            <w:pPr>
              <w:kinsoku w:val="0"/>
              <w:overflowPunct w:val="0"/>
              <w:autoSpaceDE w:val="0"/>
              <w:autoSpaceDN w:val="0"/>
              <w:adjustRightInd w:val="0"/>
              <w:spacing w:line="440" w:lineRule="exact"/>
              <w:jc w:val="center"/>
              <w:rPr>
                <w:rFonts w:cs="pingfang sc" w:asciiTheme="majorEastAsia" w:hAnsiTheme="majorEastAsia" w:eastAsiaTheme="majorEastAsia"/>
                <w:color w:val="auto"/>
                <w:szCs w:val="21"/>
              </w:rPr>
            </w:pPr>
            <w:r>
              <w:rPr>
                <w:rFonts w:hint="eastAsia" w:cs="宋体" w:asciiTheme="majorEastAsia" w:hAnsiTheme="majorEastAsia" w:eastAsiaTheme="majorEastAsia"/>
                <w:color w:val="auto"/>
                <w:szCs w:val="21"/>
              </w:rPr>
              <w:t>血液透析智能管理系统</w:t>
            </w:r>
          </w:p>
        </w:tc>
        <w:tc>
          <w:tcPr>
            <w:tcW w:w="2349" w:type="pct"/>
            <w:tcBorders>
              <w:top w:val="single" w:color="auto" w:sz="4" w:space="0"/>
              <w:left w:val="single" w:color="auto" w:sz="4" w:space="0"/>
              <w:bottom w:val="single" w:color="auto" w:sz="4" w:space="0"/>
              <w:right w:val="single" w:color="auto" w:sz="4" w:space="0"/>
            </w:tcBorders>
            <w:vAlign w:val="center"/>
          </w:tcPr>
          <w:p w14:paraId="6AE37434">
            <w:pPr>
              <w:kinsoku w:val="0"/>
              <w:overflowPunct w:val="0"/>
              <w:autoSpaceDE w:val="0"/>
              <w:autoSpaceDN w:val="0"/>
              <w:adjustRightInd w:val="0"/>
              <w:spacing w:line="440" w:lineRule="exact"/>
              <w:jc w:val="center"/>
              <w:rPr>
                <w:rFonts w:cs="pingfang sc" w:asciiTheme="majorEastAsia" w:hAnsiTheme="majorEastAsia" w:eastAsiaTheme="majorEastAsia"/>
                <w:color w:val="auto"/>
                <w:szCs w:val="21"/>
              </w:rPr>
            </w:pPr>
            <w:r>
              <w:rPr>
                <w:rFonts w:hint="eastAsia" w:cs="宋体" w:asciiTheme="majorEastAsia" w:hAnsiTheme="majorEastAsia" w:eastAsiaTheme="majorEastAsia"/>
                <w:color w:val="auto"/>
                <w:szCs w:val="21"/>
              </w:rPr>
              <w:t>血液透析智能管理系统</w:t>
            </w:r>
          </w:p>
        </w:tc>
        <w:tc>
          <w:tcPr>
            <w:tcW w:w="454" w:type="pct"/>
            <w:tcBorders>
              <w:top w:val="single" w:color="auto" w:sz="4" w:space="0"/>
              <w:left w:val="single" w:color="auto" w:sz="4" w:space="0"/>
              <w:bottom w:val="single" w:color="auto" w:sz="4" w:space="0"/>
              <w:right w:val="single" w:color="auto" w:sz="4" w:space="0"/>
            </w:tcBorders>
            <w:vAlign w:val="center"/>
          </w:tcPr>
          <w:p w14:paraId="4A90412F">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3F07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1" w:type="pct"/>
            <w:tcBorders>
              <w:top w:val="single" w:color="auto" w:sz="4" w:space="0"/>
              <w:left w:val="single" w:color="auto" w:sz="4" w:space="0"/>
              <w:right w:val="single" w:color="auto" w:sz="4" w:space="0"/>
            </w:tcBorders>
            <w:vAlign w:val="center"/>
          </w:tcPr>
          <w:p w14:paraId="5C05E08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w:t>
            </w:r>
          </w:p>
        </w:tc>
        <w:tc>
          <w:tcPr>
            <w:tcW w:w="1743" w:type="pct"/>
            <w:tcBorders>
              <w:top w:val="single" w:color="auto" w:sz="4" w:space="0"/>
              <w:left w:val="single" w:color="auto" w:sz="4" w:space="0"/>
              <w:right w:val="single" w:color="auto" w:sz="4" w:space="0"/>
            </w:tcBorders>
            <w:vAlign w:val="center"/>
          </w:tcPr>
          <w:p w14:paraId="1824DE19">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整体项目实施服务</w:t>
            </w:r>
          </w:p>
        </w:tc>
        <w:tc>
          <w:tcPr>
            <w:tcW w:w="2349" w:type="pct"/>
            <w:tcBorders>
              <w:top w:val="single" w:color="auto" w:sz="4" w:space="0"/>
              <w:left w:val="single" w:color="auto" w:sz="4" w:space="0"/>
              <w:bottom w:val="single" w:color="auto" w:sz="4" w:space="0"/>
              <w:right w:val="single" w:color="auto" w:sz="4" w:space="0"/>
            </w:tcBorders>
            <w:vAlign w:val="center"/>
          </w:tcPr>
          <w:p w14:paraId="063BAB38">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整体项目实施服务</w:t>
            </w:r>
          </w:p>
        </w:tc>
        <w:tc>
          <w:tcPr>
            <w:tcW w:w="454" w:type="pct"/>
            <w:tcBorders>
              <w:top w:val="single" w:color="auto" w:sz="4" w:space="0"/>
              <w:left w:val="single" w:color="auto" w:sz="4" w:space="0"/>
              <w:bottom w:val="single" w:color="auto" w:sz="4" w:space="0"/>
              <w:right w:val="single" w:color="auto" w:sz="4" w:space="0"/>
            </w:tcBorders>
            <w:vAlign w:val="center"/>
          </w:tcPr>
          <w:p w14:paraId="07E1E975">
            <w:pPr>
              <w:kinsoku w:val="0"/>
              <w:overflowPunct w:val="0"/>
              <w:autoSpaceDE w:val="0"/>
              <w:autoSpaceDN w:val="0"/>
              <w:adjustRightInd w:val="0"/>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bl>
    <w:p w14:paraId="2DCAA637">
      <w:pPr>
        <w:spacing w:line="380" w:lineRule="exact"/>
        <w:rPr>
          <w:rFonts w:ascii="宋体" w:hAnsi="宋体"/>
          <w:b/>
          <w:color w:val="auto"/>
          <w:kern w:val="0"/>
          <w:szCs w:val="21"/>
        </w:rPr>
      </w:pPr>
    </w:p>
    <w:p w14:paraId="7778C054">
      <w:pPr>
        <w:spacing w:line="380" w:lineRule="exact"/>
        <w:rPr>
          <w:rFonts w:ascii="宋体" w:hAnsi="宋体"/>
          <w:b/>
          <w:color w:val="auto"/>
          <w:kern w:val="0"/>
          <w:szCs w:val="21"/>
        </w:rPr>
      </w:pPr>
      <w:r>
        <w:rPr>
          <w:rFonts w:hint="eastAsia" w:ascii="宋体" w:hAnsi="宋体"/>
          <w:b/>
          <w:color w:val="auto"/>
          <w:kern w:val="0"/>
          <w:szCs w:val="21"/>
        </w:rPr>
        <w:t>2</w:t>
      </w:r>
      <w:r>
        <w:rPr>
          <w:rFonts w:ascii="宋体" w:hAnsi="宋体"/>
          <w:b/>
          <w:color w:val="auto"/>
          <w:kern w:val="0"/>
          <w:szCs w:val="21"/>
        </w:rPr>
        <w:t>.</w:t>
      </w:r>
      <w:r>
        <w:rPr>
          <w:rFonts w:hint="eastAsia" w:ascii="宋体" w:hAnsi="宋体"/>
          <w:b/>
          <w:color w:val="auto"/>
          <w:kern w:val="0"/>
          <w:szCs w:val="21"/>
        </w:rPr>
        <w:t>功能需求</w:t>
      </w:r>
    </w:p>
    <w:tbl>
      <w:tblPr>
        <w:tblStyle w:val="9"/>
        <w:tblW w:w="4971"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6"/>
        <w:gridCol w:w="644"/>
        <w:gridCol w:w="6419"/>
        <w:gridCol w:w="644"/>
      </w:tblGrid>
      <w:tr w14:paraId="7625A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452" w:type="pct"/>
            <w:tcBorders>
              <w:top w:val="single" w:color="auto" w:sz="4" w:space="0"/>
              <w:left w:val="single" w:color="auto" w:sz="4" w:space="0"/>
              <w:bottom w:val="single" w:color="auto" w:sz="4" w:space="0"/>
              <w:right w:val="single" w:color="auto" w:sz="4" w:space="0"/>
            </w:tcBorders>
            <w:vAlign w:val="center"/>
          </w:tcPr>
          <w:p w14:paraId="26AD2E48">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大项名称</w:t>
            </w:r>
          </w:p>
        </w:tc>
        <w:tc>
          <w:tcPr>
            <w:tcW w:w="380" w:type="pct"/>
            <w:tcBorders>
              <w:top w:val="single" w:color="auto" w:sz="4" w:space="0"/>
              <w:left w:val="single" w:color="auto" w:sz="4" w:space="0"/>
              <w:bottom w:val="single" w:color="auto" w:sz="4" w:space="0"/>
              <w:right w:val="single" w:color="auto" w:sz="4" w:space="0"/>
            </w:tcBorders>
            <w:vAlign w:val="center"/>
          </w:tcPr>
          <w:p w14:paraId="1B0FACF0">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子项名称</w:t>
            </w:r>
          </w:p>
        </w:tc>
        <w:tc>
          <w:tcPr>
            <w:tcW w:w="3788" w:type="pct"/>
            <w:tcBorders>
              <w:top w:val="single" w:color="auto" w:sz="4" w:space="0"/>
              <w:left w:val="single" w:color="auto" w:sz="4" w:space="0"/>
              <w:bottom w:val="single" w:color="auto" w:sz="4" w:space="0"/>
              <w:right w:val="single" w:color="auto" w:sz="4" w:space="0"/>
            </w:tcBorders>
            <w:vAlign w:val="center"/>
          </w:tcPr>
          <w:p w14:paraId="5AD0FB32">
            <w:pPr>
              <w:spacing w:line="440" w:lineRule="exact"/>
              <w:ind w:firstLine="108"/>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技术参数及性能（配置）要求</w:t>
            </w:r>
          </w:p>
        </w:tc>
        <w:tc>
          <w:tcPr>
            <w:tcW w:w="379" w:type="pct"/>
            <w:tcBorders>
              <w:top w:val="single" w:color="auto" w:sz="4" w:space="0"/>
              <w:left w:val="single" w:color="auto" w:sz="4" w:space="0"/>
              <w:bottom w:val="single" w:color="auto" w:sz="4" w:space="0"/>
              <w:right w:val="single" w:color="auto" w:sz="4" w:space="0"/>
            </w:tcBorders>
            <w:vAlign w:val="center"/>
          </w:tcPr>
          <w:p w14:paraId="06E48655">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数量</w:t>
            </w:r>
          </w:p>
        </w:tc>
      </w:tr>
      <w:tr w14:paraId="73DCD6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452" w:type="pct"/>
            <w:vMerge w:val="restart"/>
            <w:tcBorders>
              <w:top w:val="single" w:color="auto" w:sz="4" w:space="0"/>
              <w:left w:val="single" w:color="auto" w:sz="4" w:space="0"/>
              <w:right w:val="single" w:color="auto" w:sz="4" w:space="0"/>
            </w:tcBorders>
            <w:vAlign w:val="center"/>
          </w:tcPr>
          <w:p w14:paraId="47F878AE">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★HIS</w:t>
            </w:r>
          </w:p>
          <w:p w14:paraId="336307FD">
            <w:pPr>
              <w:spacing w:line="440" w:lineRule="exact"/>
              <w:jc w:val="center"/>
              <w:rPr>
                <w:rFonts w:cs="宋体" w:asciiTheme="majorEastAsia" w:hAnsiTheme="majorEastAsia" w:eastAsiaTheme="majorEastAsia"/>
                <w:b/>
                <w:bCs/>
                <w:color w:val="auto"/>
                <w:szCs w:val="21"/>
              </w:rPr>
            </w:pPr>
            <w:r>
              <w:rPr>
                <w:rFonts w:hint="eastAsia" w:cs="宋体" w:asciiTheme="majorEastAsia" w:hAnsiTheme="majorEastAsia" w:eastAsiaTheme="majorEastAsia"/>
                <w:color w:val="auto"/>
                <w:szCs w:val="21"/>
              </w:rPr>
              <w:t>（医院信息系统）</w:t>
            </w:r>
          </w:p>
        </w:tc>
        <w:tc>
          <w:tcPr>
            <w:tcW w:w="380" w:type="pct"/>
            <w:tcBorders>
              <w:top w:val="single" w:color="auto" w:sz="4" w:space="0"/>
              <w:left w:val="single" w:color="auto" w:sz="4" w:space="0"/>
              <w:bottom w:val="single" w:color="auto" w:sz="4" w:space="0"/>
              <w:right w:val="single" w:color="auto" w:sz="4" w:space="0"/>
            </w:tcBorders>
            <w:vAlign w:val="center"/>
          </w:tcPr>
          <w:p w14:paraId="788BC706">
            <w:pPr>
              <w:spacing w:line="440" w:lineRule="exact"/>
              <w:jc w:val="center"/>
              <w:rPr>
                <w:rFonts w:cs="宋体" w:asciiTheme="majorEastAsia" w:hAnsiTheme="majorEastAsia" w:eastAsiaTheme="majorEastAsia"/>
                <w:color w:val="auto"/>
                <w:szCs w:val="21"/>
              </w:rPr>
            </w:pPr>
            <w:bookmarkStart w:id="1" w:name="门急诊挂号收费系统"/>
            <w:r>
              <w:rPr>
                <w:rFonts w:hint="eastAsia" w:cs="宋体" w:asciiTheme="majorEastAsia" w:hAnsiTheme="majorEastAsia" w:eastAsiaTheme="majorEastAsia"/>
                <w:color w:val="auto"/>
                <w:szCs w:val="21"/>
              </w:rPr>
              <w:t>门急诊挂号收费系统</w:t>
            </w:r>
            <w:bookmarkEnd w:id="1"/>
          </w:p>
        </w:tc>
        <w:tc>
          <w:tcPr>
            <w:tcW w:w="3788" w:type="pct"/>
            <w:tcBorders>
              <w:top w:val="single" w:color="auto" w:sz="4" w:space="0"/>
              <w:left w:val="single" w:color="auto" w:sz="4" w:space="0"/>
              <w:bottom w:val="single" w:color="auto" w:sz="4" w:space="0"/>
              <w:right w:val="single" w:color="auto" w:sz="4" w:space="0"/>
            </w:tcBorders>
            <w:vAlign w:val="center"/>
          </w:tcPr>
          <w:p w14:paraId="6197CEF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在医院使用身份证等相关证件实名制登记建档，完成门急诊患者基本信息的登记、修改和维护，完成门急诊患者的挂号工作。实现现场挂号、预约挂号、复诊挂号、分时段挂号等形式。提供门急诊患者费用处理功能，实现门急诊患者交预交金、费用处理业务处理。对接CDSS系统，通过患者问诊、初步检查、检验结果预测、推荐疑似诊断，并提供对应治疗方案。实现团体批量办卡和批量收费。</w:t>
            </w:r>
            <w:r>
              <w:rPr>
                <w:rFonts w:hint="eastAsia" w:cs="宋体" w:asciiTheme="majorEastAsia" w:hAnsiTheme="majorEastAsia" w:eastAsiaTheme="majorEastAsia"/>
                <w:color w:val="auto"/>
                <w:szCs w:val="21"/>
              </w:rPr>
              <w:t xml:space="preserve">按照《广西壮族自治区医疗机构检查检验结果互认实施方案》（桂卫医发 </w:t>
            </w:r>
          </w:p>
          <w:p w14:paraId="40C8D305">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2023</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 xml:space="preserve">10 </w:t>
            </w:r>
            <w:r>
              <w:rPr>
                <w:rFonts w:hint="eastAsia" w:cs="宋体" w:asciiTheme="majorEastAsia" w:hAnsiTheme="majorEastAsia" w:eastAsiaTheme="majorEastAsia"/>
                <w:color w:val="auto"/>
                <w:szCs w:val="21"/>
              </w:rPr>
              <w:t>号）要求，落实紧密型城市医疗集团和县域医疗共同体内部的医疗卫生机构实现检验检查结果互认的阶段性要求，实现院际间调阅。</w:t>
            </w:r>
          </w:p>
          <w:p w14:paraId="12A8111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2" w:name="注册登记实名建档"/>
            <w:r>
              <w:rPr>
                <w:rFonts w:hint="eastAsia" w:cs="宋体" w:asciiTheme="majorEastAsia" w:hAnsiTheme="majorEastAsia" w:eastAsiaTheme="majorEastAsia"/>
                <w:color w:val="auto"/>
                <w:szCs w:val="21"/>
              </w:rPr>
              <w:t>注册登记/实名建档</w:t>
            </w:r>
            <w:bookmarkEnd w:id="2"/>
          </w:p>
          <w:p w14:paraId="67FB733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在医院使用身份证等相关证件实名制登记建档，使患者健康信息能永久保存。实现窗口识读身份证信息进行人工建档、实现自助机建档，实现用担保人身份证建档。实现换卡后卡内信息的延续性，卡内资金安全，可凭身份证、短信验证码等信息退款。实现多种类型的就诊卡，包括居民健康卡（含电子健康卡）、社会保障卡、金融1C卡、市民服务卡等，逐步过渡到以居民健康卡（含电子健康卡）为主要就诊服务介质。</w:t>
            </w:r>
          </w:p>
          <w:p w14:paraId="3573C7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1）注册建档</w:t>
            </w:r>
          </w:p>
          <w:p w14:paraId="4E3E23F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身份信息读取。通过就诊卡、身份证、居民健康卡、社会保障卡、金融1C卡、市民服务卡等读取患者的基本信息，包括姓名、性别、出生日期、身份证号、家庭住址、是否办过卡（如已办理就诊卡，自动读取就诊卡号）等；通过患者主索引功能，通过与患者的姓名、性别、家庭住址等多个信息匹配，读取患者多次办卡记录信息。</w:t>
            </w:r>
          </w:p>
          <w:p w14:paraId="062D780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通过读取患者基本信息，将患者身份证号或担保人身份证号与患者办理的就诊卡号相关联，为患者建档发卡。</w:t>
            </w:r>
          </w:p>
          <w:p w14:paraId="6AA0A6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2）补卡管理</w:t>
            </w:r>
          </w:p>
          <w:p w14:paraId="03B63A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患者身份信息读取补卡。根据患者的身份证号、姓名、年龄、家庭住址、联系方式等属性检索患者信息，查询患者记录，系统自动读取患者历次办理的就诊卡号，确认患者身份之后，补发新卡。</w:t>
            </w:r>
          </w:p>
          <w:p w14:paraId="61E287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患者身份信息比对补卡。根据患者主索引功能进行补卡，患者提供姓名、性别、年龄、家庭住址、联系方式等基本信息，实现根据各信息相似度进行比对，并将相关信息关联后默认同一患者，同时实现手工调整。</w:t>
            </w:r>
          </w:p>
          <w:p w14:paraId="62ABFBC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接入数据中心关联患者主索引</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实现患者ID号合并。新发卡号可与原卡号不同，但应保证每一位患者拥有唯一主索引。</w:t>
            </w:r>
          </w:p>
          <w:p w14:paraId="5C4D82FC">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3" w:name="挂号服务"/>
            <w:r>
              <w:rPr>
                <w:rFonts w:hint="eastAsia" w:cs="宋体" w:asciiTheme="majorEastAsia" w:hAnsiTheme="majorEastAsia" w:eastAsiaTheme="majorEastAsia"/>
                <w:color w:val="auto"/>
                <w:szCs w:val="21"/>
              </w:rPr>
              <w:t>挂号服务</w:t>
            </w:r>
            <w:bookmarkEnd w:id="3"/>
          </w:p>
          <w:p w14:paraId="4A9CCD2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完成门急诊患者基本信息的登记、修改和维护，完成门急诊患者的挂号工作。实现现场挂号、预约挂号、复诊挂号、分时段挂号等形式。具体功能包括：挂号、换号、退号、收费、结账、发票管理、统计查询、患者信用管理等。</w:t>
            </w:r>
          </w:p>
          <w:p w14:paraId="21A70BA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1）挂号</w:t>
            </w:r>
          </w:p>
          <w:p w14:paraId="4498E8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可选择现场挂号、预约挂号、复诊挂号、分时段挂号等不同类型的挂号服务。实现患者基本信息录入，患者信息修改，配置挂号限制规则，允许同一个患者同时挂多个门诊号源，实现患者选择就诊医生。可实时参考各门诊当日限额与已挂号人数，确定是否允许挂号。</w:t>
            </w:r>
            <w:r>
              <w:rPr>
                <w:rFonts w:hint="eastAsia" w:cs="宋体" w:asciiTheme="majorEastAsia" w:hAnsiTheme="majorEastAsia" w:eastAsiaTheme="majorEastAsia"/>
                <w:color w:val="auto"/>
                <w:szCs w:val="21"/>
              </w:rPr>
              <w:t>实现“一号管三天”便民措施。</w:t>
            </w:r>
          </w:p>
          <w:p w14:paraId="4A32CC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2）换号</w:t>
            </w:r>
          </w:p>
          <w:p w14:paraId="1EBB168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可查找患者当天已挂号源但尚未就诊的挂号信息，进行换号操作，变更患者就诊科室与就诊医生。</w:t>
            </w:r>
          </w:p>
          <w:p w14:paraId="4DD5C4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3）退号</w:t>
            </w:r>
          </w:p>
          <w:p w14:paraId="775753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可查找患者当天已挂号源但尚未就诊的挂号信息，进行退号操作，并实现多种退款路径，涉及医保支付费用通过医保接口做相应处理。</w:t>
            </w:r>
          </w:p>
          <w:p w14:paraId="69CE739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4）收费</w:t>
            </w:r>
          </w:p>
          <w:p w14:paraId="4170B1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患者选择的挂号科室、就诊医生和就诊身份类别，结算患者挂号、换号、退号等相关费用。对医保患者，结算费用包括医保统筹支付金额、医保账户支付金额、个人自费金额等不同内容。患者通过多种支付方式完成线上或线下支付。</w:t>
            </w:r>
          </w:p>
          <w:p w14:paraId="3F6225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5）结账</w:t>
            </w:r>
          </w:p>
          <w:p w14:paraId="687FBA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挂号费用日结功能，汇总每天窗口人工服务或自助服务等各渠道收取的挂号、换号、退号等相关费用信息，包括现金、储值账户、医疗保险记账等，并打印缴款报表，提交财务部门确认，实现电子及纸质结账单。</w:t>
            </w:r>
          </w:p>
          <w:p w14:paraId="6CAC016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6）统计查询</w:t>
            </w:r>
          </w:p>
          <w:p w14:paraId="67B9BF6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可统计并打印每天窗口人工服务或自助服务等渠道挂号、换号、退号等相关费用的详细信息。实现选择患者就诊卡、居民健康卡、身份证号、姓名或收费日期等查询条件对相关明细进行查询。</w:t>
            </w:r>
          </w:p>
          <w:p w14:paraId="1A9D76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7）患者信用</w:t>
            </w:r>
          </w:p>
          <w:p w14:paraId="3F9C8B9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对患者的挂号信用进行记录和管理，可进行黑名单管理。对违反预约挂号规则或频繁爽约的患者给予必要限制；对恶意占用号源的患者进行信用跟踪。</w:t>
            </w:r>
          </w:p>
          <w:p w14:paraId="3B271EAB">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4" w:name="门诊收费与结算"/>
            <w:r>
              <w:rPr>
                <w:rFonts w:hint="eastAsia" w:cs="宋体" w:asciiTheme="majorEastAsia" w:hAnsiTheme="majorEastAsia" w:eastAsiaTheme="majorEastAsia"/>
                <w:color w:val="auto"/>
                <w:szCs w:val="21"/>
              </w:rPr>
              <w:t>门诊收费与结算</w:t>
            </w:r>
            <w:bookmarkEnd w:id="4"/>
          </w:p>
          <w:p w14:paraId="59E01029">
            <w:pPr>
              <w:spacing w:line="440" w:lineRule="exact"/>
              <w:ind w:firstLine="210" w:firstLineChars="100"/>
              <w:rPr>
                <w:rFonts w:cs="宋体" w:asciiTheme="majorEastAsia" w:hAnsiTheme="majorEastAsia" w:eastAsiaTheme="majorEastAsia"/>
                <w:strike/>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提供门急诊患者费用处理功能，实现门急诊患者费用处理业务处理。</w:t>
            </w:r>
          </w:p>
          <w:p w14:paraId="1DFF8CAD">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2）门诊退费管理</w:t>
            </w:r>
          </w:p>
          <w:p w14:paraId="7D37D8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可查询患者费用明细，可按单据、项目、明细等多种方式开具退费单。</w:t>
            </w:r>
          </w:p>
          <w:p w14:paraId="42C56E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实现多种退款路径。部分退费的，退费重新结算时，患者不需找医生重新开医嘱。</w:t>
            </w:r>
          </w:p>
          <w:p w14:paraId="0E074A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实现退费线上发起、审批</w:t>
            </w:r>
            <w:r>
              <w:rPr>
                <w:rFonts w:hint="eastAsia" w:cs="宋体" w:asciiTheme="majorEastAsia" w:hAnsiTheme="majorEastAsia" w:eastAsiaTheme="majorEastAsia"/>
                <w:color w:val="auto"/>
                <w:szCs w:val="21"/>
                <w:lang w:val="en-US" w:eastAsia="zh-CN"/>
              </w:rPr>
              <w:t>功能</w:t>
            </w:r>
            <w:r>
              <w:rPr>
                <w:rFonts w:hint="eastAsia" w:cs="宋体" w:asciiTheme="majorEastAsia" w:hAnsiTheme="majorEastAsia" w:eastAsiaTheme="majorEastAsia"/>
                <w:color w:val="auto"/>
                <w:szCs w:val="21"/>
              </w:rPr>
              <w:t>。患者退费的，由开嘱医生在HIS系统选择需退费医嘱，发起退费，涉及退费医嘱的相关科室（药品、检验、治疗等）在HIS确认是否同意退费，收费处人工窗口根据返回的审核信息进行退费或退费重收处理。未退费医嘱涉及检验、检查类的，相应的检验、检查条码信息、报告自动迁移到新收医嘱中。</w:t>
            </w:r>
          </w:p>
          <w:p w14:paraId="76A14146">
            <w:pPr>
              <w:spacing w:line="440" w:lineRule="exact"/>
              <w:ind w:firstLine="10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3）门诊费用结算</w:t>
            </w:r>
          </w:p>
          <w:p w14:paraId="6CF3A0A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不同患者类别，自动确定收费比例，计算患者自付金额与记账金额，并可将结算完毕的药品处方同步传送给对应药房的摆药机。实现患者通过线上线下等多种支付方式完成结算。实现根据不同患者类别打印不同格式的发票。同时与电子票据系统做接口，实现电子发票的开具</w:t>
            </w:r>
            <w:r>
              <w:rPr>
                <w:rFonts w:hint="eastAsia" w:cs="宋体" w:asciiTheme="majorEastAsia" w:hAnsiTheme="majorEastAsia" w:eastAsiaTheme="majorEastAsia"/>
                <w:color w:val="auto"/>
                <w:szCs w:val="21"/>
              </w:rPr>
              <w:t>、查询、获取、对账</w:t>
            </w:r>
            <w:r>
              <w:rPr>
                <w:rFonts w:hint="eastAsia" w:cs="宋体" w:asciiTheme="majorEastAsia" w:hAnsiTheme="majorEastAsia" w:eastAsiaTheme="majorEastAsia"/>
                <w:color w:val="auto"/>
                <w:szCs w:val="21"/>
              </w:rPr>
              <w:t>及相应管理要求。</w:t>
            </w: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与医保结算平台</w:t>
            </w:r>
            <w:r>
              <w:rPr>
                <w:rFonts w:hint="eastAsia" w:cs="宋体" w:asciiTheme="majorEastAsia" w:hAnsiTheme="majorEastAsia" w:eastAsiaTheme="majorEastAsia"/>
                <w:color w:val="auto"/>
                <w:szCs w:val="21"/>
                <w:lang w:val="en-US" w:eastAsia="zh-CN"/>
              </w:rPr>
              <w:t>对接</w:t>
            </w:r>
            <w:r>
              <w:rPr>
                <w:rFonts w:hint="eastAsia" w:cs="宋体" w:asciiTheme="majorEastAsia" w:hAnsiTheme="majorEastAsia" w:eastAsiaTheme="majorEastAsia"/>
                <w:color w:val="auto"/>
                <w:szCs w:val="21"/>
              </w:rPr>
              <w:t>，实现自动获取个账共济支付成功金额，不需收费员手工录入。</w:t>
            </w:r>
          </w:p>
          <w:p w14:paraId="21F345B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与医保中心结算平台</w:t>
            </w:r>
            <w:r>
              <w:rPr>
                <w:rFonts w:hint="eastAsia" w:cs="宋体" w:asciiTheme="majorEastAsia" w:hAnsiTheme="majorEastAsia" w:eastAsiaTheme="majorEastAsia"/>
                <w:color w:val="auto"/>
                <w:szCs w:val="21"/>
                <w:lang w:val="en-US" w:eastAsia="zh-CN"/>
              </w:rPr>
              <w:t>对接</w:t>
            </w:r>
            <w:r>
              <w:rPr>
                <w:rFonts w:hint="eastAsia" w:cs="宋体" w:asciiTheme="majorEastAsia" w:hAnsiTheme="majorEastAsia" w:eastAsiaTheme="majorEastAsia"/>
                <w:color w:val="auto"/>
                <w:szCs w:val="21"/>
              </w:rPr>
              <w:t>，实现门诊慢性病结算时能根据选择的病种类型自动选择该病种类型目录内药品、医疗服务项目，不需医生或收费员手动选择。</w:t>
            </w:r>
          </w:p>
          <w:p w14:paraId="79F96C3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与医保中心结算平台</w:t>
            </w:r>
            <w:r>
              <w:rPr>
                <w:rFonts w:hint="eastAsia" w:cs="宋体" w:asciiTheme="majorEastAsia" w:hAnsiTheme="majorEastAsia" w:eastAsiaTheme="majorEastAsia"/>
                <w:color w:val="auto"/>
                <w:szCs w:val="21"/>
                <w:lang w:val="en-US" w:eastAsia="zh-CN"/>
              </w:rPr>
              <w:t>对接</w:t>
            </w:r>
            <w:r>
              <w:rPr>
                <w:rFonts w:hint="eastAsia" w:cs="宋体" w:asciiTheme="majorEastAsia" w:hAnsiTheme="majorEastAsia" w:eastAsiaTheme="majorEastAsia"/>
                <w:color w:val="auto"/>
                <w:szCs w:val="21"/>
              </w:rPr>
              <w:t>，HIS系统自动获取医保结算单（汇总表）、医保结算明细表（用于了解明细医疗服务项目、药品医保报销情况，方便核对异账）。</w:t>
            </w:r>
          </w:p>
          <w:p w14:paraId="62DAF7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与</w:t>
            </w:r>
            <w:r>
              <w:rPr>
                <w:rFonts w:hint="eastAsia" w:cs="宋体" w:asciiTheme="majorEastAsia" w:hAnsiTheme="majorEastAsia" w:eastAsiaTheme="majorEastAsia"/>
                <w:color w:val="auto"/>
                <w:szCs w:val="21"/>
                <w:lang w:val="en-US" w:eastAsia="zh-CN"/>
              </w:rPr>
              <w:t>体检管理系统对接</w:t>
            </w:r>
            <w:r>
              <w:rPr>
                <w:rFonts w:hint="eastAsia" w:cs="宋体" w:asciiTheme="majorEastAsia" w:hAnsiTheme="majorEastAsia" w:eastAsiaTheme="majorEastAsia"/>
                <w:color w:val="auto"/>
                <w:szCs w:val="21"/>
              </w:rPr>
              <w:t>，体检收费的结算发票能区分财务分类。</w:t>
            </w:r>
          </w:p>
          <w:p w14:paraId="3800EBB3">
            <w:pPr>
              <w:spacing w:line="440" w:lineRule="exact"/>
              <w:ind w:firstLine="10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4）门诊结账管理</w:t>
            </w:r>
          </w:p>
          <w:p w14:paraId="567897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结账管理功能。对收款员的发票等工作情况进行账务处理。可按时间段、多结算员等字段综合查询生成、导出结算员收费日结算汇总报表及与日报相关的预交金退费明细表、患者“个人现金”明细表、患者医保支付（含个人账户支付</w:t>
            </w:r>
            <w:r>
              <w:rPr>
                <w:rFonts w:hint="eastAsia" w:cs="宋体" w:asciiTheme="majorEastAsia" w:hAnsiTheme="majorEastAsia" w:eastAsiaTheme="majorEastAsia"/>
                <w:color w:val="auto"/>
                <w:szCs w:val="21"/>
              </w:rPr>
              <w:t>、个账共济支付</w:t>
            </w:r>
            <w:r>
              <w:rPr>
                <w:rFonts w:hint="eastAsia" w:cs="宋体" w:asciiTheme="majorEastAsia" w:hAnsiTheme="majorEastAsia" w:eastAsiaTheme="majorEastAsia"/>
                <w:color w:val="auto"/>
                <w:szCs w:val="21"/>
              </w:rPr>
              <w:t>）明细表、三方支付对账明细表。</w:t>
            </w:r>
          </w:p>
          <w:p w14:paraId="4D697F9A">
            <w:pPr>
              <w:spacing w:line="440" w:lineRule="exact"/>
              <w:ind w:firstLine="10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5）医保业务处理</w:t>
            </w:r>
          </w:p>
          <w:p w14:paraId="5C9917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实现与医保中心提供的相关接口对接，包括登记信息上传、费用上传、费用预结算、费用结算、结算取消、医保数据对照、诊疗信息上传、医保审核、控费、医保对账等</w:t>
            </w:r>
            <w:r>
              <w:rPr>
                <w:rFonts w:hint="eastAsia" w:cs="宋体" w:asciiTheme="majorEastAsia" w:hAnsiTheme="majorEastAsia" w:eastAsiaTheme="majorEastAsia"/>
                <w:color w:val="auto"/>
                <w:szCs w:val="21"/>
              </w:rPr>
              <w:t>，实现医保中心数据、本地存的医保结算数据、本地收费员日报表数据三表数据对账。</w:t>
            </w:r>
          </w:p>
          <w:p w14:paraId="1BC37F5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可实现与异地医保的实时对接，按照“就医地目录、参保地政策、就医地管理”原则进行跨地区异地就医结算。</w:t>
            </w:r>
          </w:p>
          <w:p w14:paraId="46FC2C6A">
            <w:pPr>
              <w:spacing w:line="440" w:lineRule="exact"/>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4、与HRP做接口，实现门诊病人医疗结算收入、挂号收入可形成自</w:t>
            </w:r>
            <w:r>
              <w:rPr>
                <w:rFonts w:hint="eastAsia" w:asciiTheme="majorEastAsia" w:hAnsiTheme="majorEastAsia" w:eastAsiaTheme="majorEastAsia"/>
                <w:color w:val="auto"/>
                <w:kern w:val="0"/>
                <w:szCs w:val="21"/>
              </w:rPr>
              <w:t>动凭证。</w:t>
            </w:r>
          </w:p>
          <w:p w14:paraId="521B6644">
            <w:pPr>
              <w:spacing w:line="440" w:lineRule="exact"/>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5、票据管理：</w:t>
            </w:r>
            <w:r>
              <w:rPr>
                <w:rFonts w:hint="eastAsia" w:asciiTheme="majorEastAsia" w:hAnsiTheme="majorEastAsia" w:eastAsiaTheme="majorEastAsia"/>
                <w:color w:val="auto"/>
                <w:kern w:val="0"/>
                <w:szCs w:val="21"/>
              </w:rPr>
              <w:t>实现</w:t>
            </w:r>
            <w:r>
              <w:rPr>
                <w:rFonts w:asciiTheme="majorEastAsia" w:hAnsiTheme="majorEastAsia" w:eastAsiaTheme="majorEastAsia"/>
                <w:color w:val="auto"/>
                <w:kern w:val="0"/>
                <w:szCs w:val="21"/>
              </w:rPr>
              <w:t>结算票据线上申领、发放、使用、核销、</w:t>
            </w:r>
            <w:r>
              <w:rPr>
                <w:rFonts w:hint="eastAsia" w:asciiTheme="majorEastAsia" w:hAnsiTheme="majorEastAsia" w:eastAsiaTheme="majorEastAsia"/>
                <w:color w:val="auto"/>
                <w:kern w:val="0"/>
                <w:szCs w:val="21"/>
              </w:rPr>
              <w:t>作废、未使用票据退回等票据全流程管理，并与电子票据管理系统对接，完成票据存档等功能。</w:t>
            </w:r>
          </w:p>
          <w:p w14:paraId="31411B2C">
            <w:pPr>
              <w:spacing w:line="440" w:lineRule="exact"/>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6、可通过手工录入姓名、结算票号、就诊卡号、电子健康卡号</w:t>
            </w:r>
            <w:r>
              <w:rPr>
                <w:rFonts w:hint="eastAsia" w:asciiTheme="majorEastAsia" w:hAnsiTheme="majorEastAsia" w:eastAsiaTheme="majorEastAsia"/>
                <w:color w:val="auto"/>
                <w:kern w:val="0"/>
                <w:szCs w:val="21"/>
              </w:rPr>
              <w:t>等方式检索门诊患者结算、费用清单、患者基础档案信息。</w:t>
            </w:r>
            <w:r>
              <w:rPr>
                <w:rFonts w:hint="eastAsia" w:asciiTheme="majorEastAsia" w:hAnsiTheme="majorEastAsia" w:eastAsiaTheme="majorEastAsia"/>
                <w:color w:val="auto"/>
                <w:kern w:val="0"/>
                <w:szCs w:val="21"/>
              </w:rPr>
              <w:br w:type="textWrapping"/>
            </w:r>
            <w:r>
              <w:rPr>
                <w:rFonts w:asciiTheme="majorEastAsia" w:hAnsiTheme="majorEastAsia" w:eastAsiaTheme="majorEastAsia"/>
                <w:color w:val="auto"/>
                <w:kern w:val="0"/>
                <w:szCs w:val="21"/>
              </w:rPr>
              <w:t>7、</w:t>
            </w:r>
            <w:r>
              <w:rPr>
                <w:rFonts w:hint="eastAsia" w:asciiTheme="majorEastAsia" w:hAnsiTheme="majorEastAsia" w:eastAsiaTheme="majorEastAsia"/>
                <w:color w:val="auto"/>
                <w:kern w:val="0"/>
                <w:szCs w:val="21"/>
              </w:rPr>
              <w:t xml:space="preserve">费用日结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需日结费用：查询实现多条件查询当前收费员所有需日结的费用。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图形化展示：实现图形化展示各支付方式下的收支情况。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3</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费用日结：实现收费员对当日收款记录进行轧账。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4</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日结查询：实现多条件查询扎帐费用信息。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5</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日结上缴组长：实现日结费用上缴组长模式。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6</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日结上缴财务：实现日结费用直接上缴财务模式。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7</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上缴记录查询：实现多条件查询已上缴日结费用记录。</w:t>
            </w:r>
            <w:r>
              <w:rPr>
                <w:rFonts w:hint="eastAsia" w:asciiTheme="majorEastAsia" w:hAnsiTheme="majorEastAsia" w:eastAsiaTheme="majorEastAsia"/>
                <w:color w:val="auto"/>
                <w:kern w:val="0"/>
                <w:szCs w:val="21"/>
              </w:rPr>
              <w:cr/>
            </w:r>
            <w:r>
              <w:rPr>
                <w:rFonts w:asciiTheme="majorEastAsia" w:hAnsiTheme="majorEastAsia" w:eastAsiaTheme="majorEastAsia"/>
                <w:color w:val="auto"/>
                <w:kern w:val="0"/>
                <w:szCs w:val="21"/>
              </w:rPr>
              <w:t>8、</w:t>
            </w:r>
            <w:r>
              <w:rPr>
                <w:rFonts w:hint="eastAsia" w:asciiTheme="majorEastAsia" w:hAnsiTheme="majorEastAsia" w:eastAsiaTheme="majorEastAsia"/>
                <w:color w:val="auto"/>
                <w:kern w:val="0"/>
                <w:szCs w:val="21"/>
              </w:rPr>
              <w:t xml:space="preserve">财务组长上缴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财务组长上缴：实现财务组长对收费员费用上缴记录进行财务上缴。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已上缴记录查询：实现财务组长上缴至财务的记录查询。 </w:t>
            </w:r>
            <w:r>
              <w:rPr>
                <w:rFonts w:hint="eastAsia" w:asciiTheme="majorEastAsia" w:hAnsiTheme="majorEastAsia" w:eastAsiaTheme="majorEastAsia"/>
                <w:color w:val="auto"/>
                <w:kern w:val="0"/>
                <w:szCs w:val="21"/>
              </w:rPr>
              <w:cr/>
            </w:r>
            <w:r>
              <w:rPr>
                <w:rFonts w:asciiTheme="majorEastAsia" w:hAnsiTheme="majorEastAsia" w:eastAsiaTheme="majorEastAsia"/>
                <w:color w:val="auto"/>
                <w:kern w:val="0"/>
                <w:szCs w:val="21"/>
              </w:rPr>
              <w:t>9、</w:t>
            </w:r>
            <w:r>
              <w:rPr>
                <w:rFonts w:hint="eastAsia" w:asciiTheme="majorEastAsia" w:hAnsiTheme="majorEastAsia" w:eastAsiaTheme="majorEastAsia"/>
                <w:color w:val="auto"/>
                <w:kern w:val="0"/>
                <w:szCs w:val="21"/>
              </w:rPr>
              <w:t>财务审核</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组长上缴审核：实现对财务组长上缴记录进行审核。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 xml:space="preserve">个人上缴审核：实现对收费员个人上缴记录进行审核。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3</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审核记录查询：实现多条件查询上缴记录审核记录。</w:t>
            </w:r>
            <w:r>
              <w:rPr>
                <w:rFonts w:hint="eastAsia" w:asciiTheme="majorEastAsia" w:hAnsiTheme="majorEastAsia" w:eastAsiaTheme="majorEastAsia"/>
                <w:color w:val="auto"/>
                <w:kern w:val="0"/>
                <w:szCs w:val="21"/>
              </w:rPr>
              <w:cr/>
            </w:r>
            <w:r>
              <w:rPr>
                <w:rFonts w:asciiTheme="majorEastAsia" w:hAnsiTheme="majorEastAsia" w:eastAsiaTheme="majorEastAsia"/>
                <w:color w:val="auto"/>
                <w:kern w:val="0"/>
                <w:szCs w:val="21"/>
              </w:rPr>
              <w:t>10、</w:t>
            </w:r>
            <w:r>
              <w:rPr>
                <w:rFonts w:hint="eastAsia" w:asciiTheme="majorEastAsia" w:hAnsiTheme="majorEastAsia" w:eastAsiaTheme="majorEastAsia"/>
                <w:color w:val="auto"/>
                <w:kern w:val="0"/>
                <w:szCs w:val="21"/>
              </w:rPr>
              <w:t>票据管理：在HIS系统有独立的管理模块，实现预交金、结算票据线上申领、发放、使用、核销、作废、未使用票据退回等票据全流程管理，各流程节点工作人员设置相应权限，实现多条件查询单个、多位收费员所领发票全流程情况，实现查询单张发票的全流程情况。并与电子票据管理系统对接，完成票据存档等功能。</w:t>
            </w:r>
          </w:p>
          <w:p w14:paraId="763049A1">
            <w:pPr>
              <w:spacing w:line="440" w:lineRule="exact"/>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11、</w:t>
            </w:r>
            <w:r>
              <w:rPr>
                <w:rFonts w:hint="eastAsia" w:asciiTheme="majorEastAsia" w:hAnsiTheme="majorEastAsia" w:eastAsiaTheme="majorEastAsia"/>
                <w:color w:val="auto"/>
                <w:kern w:val="0"/>
                <w:szCs w:val="21"/>
              </w:rPr>
              <w:t>发生退费业务的，可线上由开嘱医生发起，经医嘱涉及的药品、检验等部门审核后，由窗口操作线上退费。</w:t>
            </w:r>
          </w:p>
          <w:p w14:paraId="77420B19">
            <w:pPr>
              <w:spacing w:line="440" w:lineRule="exact"/>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12、实现医疗收费项目折扣结算。</w:t>
            </w:r>
          </w:p>
          <w:p w14:paraId="12448BB8">
            <w:pPr>
              <w:spacing w:line="440" w:lineRule="exact"/>
              <w:rPr>
                <w:rFonts w:cs="宋体" w:asciiTheme="majorEastAsia" w:hAnsiTheme="majorEastAsia" w:eastAsiaTheme="majorEastAsia"/>
                <w:color w:val="auto"/>
                <w:szCs w:val="21"/>
              </w:rPr>
            </w:pPr>
            <w:r>
              <w:rPr>
                <w:rFonts w:asciiTheme="majorEastAsia" w:hAnsiTheme="majorEastAsia" w:eastAsiaTheme="majorEastAsia"/>
                <w:color w:val="auto"/>
                <w:kern w:val="0"/>
                <w:szCs w:val="21"/>
              </w:rPr>
              <w:t>13、</w:t>
            </w:r>
            <w:r>
              <w:rPr>
                <w:rFonts w:hint="eastAsia" w:asciiTheme="majorEastAsia" w:hAnsiTheme="majorEastAsia" w:eastAsiaTheme="majorEastAsia"/>
                <w:color w:val="auto"/>
                <w:kern w:val="0"/>
                <w:szCs w:val="21"/>
              </w:rPr>
              <w:t>要求HIS系统能对接医院原有智能复核系统。</w:t>
            </w:r>
          </w:p>
        </w:tc>
        <w:tc>
          <w:tcPr>
            <w:tcW w:w="379" w:type="pct"/>
            <w:tcBorders>
              <w:top w:val="single" w:color="auto" w:sz="4" w:space="0"/>
              <w:left w:val="single" w:color="auto" w:sz="4" w:space="0"/>
              <w:bottom w:val="single" w:color="auto" w:sz="4" w:space="0"/>
              <w:right w:val="single" w:color="auto" w:sz="4" w:space="0"/>
            </w:tcBorders>
            <w:vAlign w:val="center"/>
          </w:tcPr>
          <w:p w14:paraId="53427FB2">
            <w:pPr>
              <w:spacing w:line="440" w:lineRule="exact"/>
              <w:ind w:firstLine="10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F901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67955CF5">
            <w:pPr>
              <w:spacing w:line="440" w:lineRule="exact"/>
              <w:jc w:val="left"/>
              <w:rPr>
                <w:rFonts w:cs="宋体" w:asciiTheme="majorEastAsia" w:hAnsiTheme="majorEastAsia" w:eastAsiaTheme="majorEastAsia"/>
                <w:b/>
                <w:bCs/>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3873AB1">
            <w:pPr>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门诊医生工作站</w:t>
            </w:r>
          </w:p>
        </w:tc>
        <w:tc>
          <w:tcPr>
            <w:tcW w:w="3788" w:type="pct"/>
            <w:tcBorders>
              <w:top w:val="single" w:color="auto" w:sz="4" w:space="0"/>
              <w:left w:val="single" w:color="auto" w:sz="4" w:space="0"/>
              <w:bottom w:val="single" w:color="auto" w:sz="4" w:space="0"/>
              <w:right w:val="single" w:color="auto" w:sz="4" w:space="0"/>
            </w:tcBorders>
            <w:vAlign w:val="center"/>
          </w:tcPr>
          <w:p w14:paraId="751E95D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实现门急诊处方、检查、检验、治疗、手术等处方和处置的全流程管理。具体功能包括：处方和处置的录入、审核、分析等。</w:t>
            </w:r>
          </w:p>
          <w:p w14:paraId="306C905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5" w:name="通用功能"/>
            <w:r>
              <w:rPr>
                <w:rFonts w:hint="eastAsia" w:cs="宋体" w:asciiTheme="majorEastAsia" w:hAnsiTheme="majorEastAsia" w:eastAsiaTheme="majorEastAsia"/>
                <w:color w:val="auto"/>
                <w:szCs w:val="21"/>
              </w:rPr>
              <w:t>、通用功能</w:t>
            </w:r>
            <w:bookmarkEnd w:id="5"/>
          </w:p>
          <w:p w14:paraId="69127F0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所有处方处置录入和处理时显示患者支付方式、医保信息、药物过敏等标志。药物过敏采用红色字体加强提醒。实现自由文本方式或结构化等多种方式录入、复制历史处方处置记录、处方处置合理性检查、处方处置费用实时自动计算、健康档案信息调阅、医保政策查询、合规性自动检查和提示功能。具备诊间加号功能，至少提供指定就诊人、不指定就诊人两种加号方式。</w:t>
            </w:r>
          </w:p>
          <w:p w14:paraId="5E1C59B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6" w:name="处方录入"/>
            <w:r>
              <w:rPr>
                <w:rFonts w:hint="eastAsia" w:cs="宋体" w:asciiTheme="majorEastAsia" w:hAnsiTheme="majorEastAsia" w:eastAsiaTheme="majorEastAsia"/>
                <w:color w:val="auto"/>
                <w:szCs w:val="21"/>
              </w:rPr>
              <w:t>、处方录入</w:t>
            </w:r>
            <w:bookmarkEnd w:id="6"/>
          </w:p>
          <w:p w14:paraId="4E23FF9C">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药品处方录入，包括药品名称、剂型、规格、剂量、使用频次、天数、给药途径、数量、滴速、录入时间、使用备注、执行药房、皮试类型等内容。自动获取和显示药品字典信息。增加药物处方模糊查询及自动联想功能。</w:t>
            </w:r>
          </w:p>
          <w:p w14:paraId="6249E35E">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实现诊断录入、处置录入、病历录入功能。具体展示方式按医院实际需要设计</w:t>
            </w:r>
            <w:r>
              <w:rPr>
                <w:rFonts w:cs="宋体" w:asciiTheme="majorEastAsia" w:hAnsiTheme="majorEastAsia" w:eastAsiaTheme="majorEastAsia"/>
                <w:color w:val="auto"/>
                <w:kern w:val="0"/>
                <w:szCs w:val="21"/>
              </w:rPr>
              <w:t>。</w:t>
            </w:r>
          </w:p>
          <w:p w14:paraId="0E32BD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7" w:name="检验申请"/>
            <w:r>
              <w:rPr>
                <w:rFonts w:hint="eastAsia" w:cs="宋体" w:asciiTheme="majorEastAsia" w:hAnsiTheme="majorEastAsia" w:eastAsiaTheme="majorEastAsia"/>
                <w:color w:val="auto"/>
                <w:szCs w:val="21"/>
              </w:rPr>
              <w:t>、检验申请</w:t>
            </w:r>
            <w:bookmarkEnd w:id="7"/>
          </w:p>
          <w:p w14:paraId="786D19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增加检验项目名称模糊查询及自动联想功能。自动获取和显示检验项目字典信息，包括项目名称、取材部位、标本材料、价格、医保费用类别等信息。录入检验申请时自动获取患者的基本信息和临床诊疗信息，包括历史检验结果和报告。实现检验申请加急、重复检验项目提醒、检验申请执行状态查询、检验项目的参考知识、检验结果与报告数据获取等。</w:t>
            </w:r>
            <w:r>
              <w:rPr>
                <w:rFonts w:cs="宋体" w:asciiTheme="majorEastAsia" w:hAnsiTheme="majorEastAsia" w:eastAsiaTheme="majorEastAsia"/>
                <w:color w:val="auto"/>
                <w:szCs w:val="21"/>
              </w:rPr>
              <w:t>检验附加材料自动计算附加。</w:t>
            </w:r>
          </w:p>
          <w:p w14:paraId="5C6278E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8" w:name="检查申请"/>
            <w:r>
              <w:rPr>
                <w:rFonts w:hint="eastAsia" w:cs="宋体" w:asciiTheme="majorEastAsia" w:hAnsiTheme="majorEastAsia" w:eastAsiaTheme="majorEastAsia"/>
                <w:color w:val="auto"/>
                <w:szCs w:val="21"/>
              </w:rPr>
              <w:t>、检查申请</w:t>
            </w:r>
            <w:bookmarkEnd w:id="8"/>
          </w:p>
          <w:p w14:paraId="691167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增加检查项目名称模糊查询及自动联想功能。自动获取和显示检查项目字典信息，包括项目名称、检查部位、价格、医保费用类别等信息。录入申请时自动获取患者的基本信息和临床诊疗信息，包括历史检查结果和报告。实现申请检查加急、重复检查项目提醒、检查申请执行状态查询、提供检查项目的参考知识、检查报告和图像查阅，以及</w:t>
            </w:r>
            <w:r>
              <w:rPr>
                <w:rFonts w:cs="宋体" w:asciiTheme="majorEastAsia" w:hAnsiTheme="majorEastAsia" w:eastAsiaTheme="majorEastAsia"/>
                <w:color w:val="auto"/>
                <w:szCs w:val="21"/>
              </w:rPr>
              <w:t>历史</w:t>
            </w:r>
            <w:r>
              <w:rPr>
                <w:rFonts w:hint="eastAsia" w:cs="宋体" w:asciiTheme="majorEastAsia" w:hAnsiTheme="majorEastAsia" w:eastAsiaTheme="majorEastAsia"/>
                <w:color w:val="auto"/>
                <w:szCs w:val="21"/>
              </w:rPr>
              <w:t>检验、检查图像</w:t>
            </w:r>
            <w:r>
              <w:rPr>
                <w:rFonts w:cs="宋体" w:asciiTheme="majorEastAsia" w:hAnsiTheme="majorEastAsia" w:eastAsiaTheme="majorEastAsia"/>
                <w:color w:val="auto"/>
                <w:szCs w:val="21"/>
              </w:rPr>
              <w:t>报告</w:t>
            </w:r>
            <w:r>
              <w:rPr>
                <w:rFonts w:hint="eastAsia" w:cs="宋体" w:asciiTheme="majorEastAsia" w:hAnsiTheme="majorEastAsia" w:eastAsiaTheme="majorEastAsia"/>
                <w:color w:val="auto"/>
                <w:szCs w:val="21"/>
              </w:rPr>
              <w:t>的查阅等。实现查阅报告时，根据结果和患者诊断、生理指标、历史检查结果对比等自动检查并给出提示。开具需附加耗材的检查时自动附加耗材医嘱。</w:t>
            </w:r>
          </w:p>
          <w:p w14:paraId="6E8DC7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9" w:name="手术、治疗申请"/>
            <w:r>
              <w:rPr>
                <w:rFonts w:hint="eastAsia" w:cs="宋体" w:asciiTheme="majorEastAsia" w:hAnsiTheme="majorEastAsia" w:eastAsiaTheme="majorEastAsia"/>
                <w:color w:val="auto"/>
                <w:szCs w:val="21"/>
              </w:rPr>
              <w:t>、手术、治疗申请</w:t>
            </w:r>
            <w:bookmarkEnd w:id="9"/>
          </w:p>
          <w:p w14:paraId="02ECC2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自动获取和显示手术、治疗项目字典信息，包括项目名称、价格、医保费用类别、执行</w:t>
            </w:r>
            <w:r>
              <w:rPr>
                <w:rFonts w:cs="宋体" w:asciiTheme="majorEastAsia" w:hAnsiTheme="majorEastAsia" w:eastAsiaTheme="majorEastAsia"/>
                <w:color w:val="auto"/>
                <w:szCs w:val="21"/>
              </w:rPr>
              <w:t>科室</w:t>
            </w:r>
            <w:r>
              <w:rPr>
                <w:rFonts w:hint="eastAsia" w:cs="宋体" w:asciiTheme="majorEastAsia" w:hAnsiTheme="majorEastAsia" w:eastAsiaTheme="majorEastAsia"/>
                <w:color w:val="auto"/>
                <w:szCs w:val="21"/>
              </w:rPr>
              <w:t>等信息，</w:t>
            </w:r>
            <w:r>
              <w:rPr>
                <w:rFonts w:cs="宋体" w:asciiTheme="majorEastAsia" w:hAnsiTheme="majorEastAsia" w:eastAsiaTheme="majorEastAsia"/>
                <w:color w:val="auto"/>
                <w:szCs w:val="21"/>
              </w:rPr>
              <w:t>并</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修改</w:t>
            </w:r>
            <w:r>
              <w:rPr>
                <w:rFonts w:hint="eastAsia" w:cs="宋体" w:asciiTheme="majorEastAsia" w:hAnsiTheme="majorEastAsia" w:eastAsiaTheme="majorEastAsia"/>
                <w:color w:val="auto"/>
                <w:szCs w:val="21"/>
              </w:rPr>
              <w:t>。实现录入申请时自动获取患者的基本信息和临床诊疗信息，包括历史手术记录和治疗报告。实现申请加急、重复项目提示、申请执行状态查询、项目的参考知识、报告查阅等。</w:t>
            </w:r>
          </w:p>
          <w:p w14:paraId="1055C98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0" w:name="处方处置模板"/>
            <w:r>
              <w:rPr>
                <w:rFonts w:hint="eastAsia" w:cs="宋体" w:asciiTheme="majorEastAsia" w:hAnsiTheme="majorEastAsia" w:eastAsiaTheme="majorEastAsia"/>
                <w:color w:val="auto"/>
                <w:szCs w:val="21"/>
              </w:rPr>
              <w:t>、处方处置模板</w:t>
            </w:r>
            <w:bookmarkEnd w:id="10"/>
          </w:p>
          <w:p w14:paraId="45AD60C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实现处方处置模板的创建、修改和删除。处方处置模板的权限分类管理，包括公共模板、部门模板和个人模板。可根据处方处置内容生成新模板。</w:t>
            </w:r>
          </w:p>
          <w:p w14:paraId="1263B5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11" w:name="处方审核"/>
            <w:r>
              <w:rPr>
                <w:rFonts w:hint="eastAsia" w:cs="宋体" w:asciiTheme="majorEastAsia" w:hAnsiTheme="majorEastAsia" w:eastAsiaTheme="majorEastAsia"/>
                <w:color w:val="auto"/>
                <w:szCs w:val="21"/>
              </w:rPr>
              <w:t>、处方审核</w:t>
            </w:r>
            <w:bookmarkEnd w:id="11"/>
          </w:p>
          <w:p w14:paraId="17548F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录入处方时对相关药品资料信息查询，并可对医嘱进行药物过敏史、药物相互作用、禁忌证、副作用等审查及弹框提醒来协助医生正确筛选药物和确定医嘱，并在发现问题时进行提醒和纠正。</w:t>
            </w:r>
          </w:p>
          <w:p w14:paraId="7F8EE56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bookmarkStart w:id="12" w:name="输血申请单"/>
            <w:r>
              <w:rPr>
                <w:rFonts w:hint="eastAsia" w:cs="宋体" w:asciiTheme="majorEastAsia" w:hAnsiTheme="majorEastAsia" w:eastAsiaTheme="majorEastAsia"/>
                <w:color w:val="auto"/>
                <w:szCs w:val="21"/>
              </w:rPr>
              <w:t>、输血申请单</w:t>
            </w:r>
            <w:bookmarkEnd w:id="12"/>
          </w:p>
          <w:p w14:paraId="378446B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电子化的输血申请单流程管理，包括输血治疗知情同意书、临床输血申请单、取血单、输血记录单和患者输血不良反应单等表单的录入，记录和日志管理等。临床输血申请单可引用本院检验结果。</w:t>
            </w:r>
          </w:p>
          <w:p w14:paraId="5B8BA1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w:t>
            </w:r>
            <w:bookmarkStart w:id="13" w:name="处方和处置分析"/>
            <w:r>
              <w:rPr>
                <w:rFonts w:hint="eastAsia" w:cs="宋体" w:asciiTheme="majorEastAsia" w:hAnsiTheme="majorEastAsia" w:eastAsiaTheme="majorEastAsia"/>
                <w:color w:val="auto"/>
                <w:szCs w:val="21"/>
              </w:rPr>
              <w:t>、处方和处置分析</w:t>
            </w:r>
            <w:bookmarkEnd w:id="13"/>
          </w:p>
          <w:p w14:paraId="3A17D9CF">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对所有的处方和处置的全流程关键节点数据进行采集和分析，包括处方和处置的开立、审核、状态、结果等数据。</w:t>
            </w:r>
          </w:p>
        </w:tc>
        <w:tc>
          <w:tcPr>
            <w:tcW w:w="379" w:type="pct"/>
            <w:tcBorders>
              <w:top w:val="single" w:color="auto" w:sz="4" w:space="0"/>
              <w:left w:val="single" w:color="auto" w:sz="4" w:space="0"/>
              <w:bottom w:val="single" w:color="auto" w:sz="4" w:space="0"/>
              <w:right w:val="single" w:color="auto" w:sz="4" w:space="0"/>
            </w:tcBorders>
            <w:vAlign w:val="center"/>
          </w:tcPr>
          <w:p w14:paraId="3502D28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1777B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0049EF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F467634">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门诊护士工作站</w:t>
            </w:r>
          </w:p>
        </w:tc>
        <w:tc>
          <w:tcPr>
            <w:tcW w:w="3788" w:type="pct"/>
            <w:tcBorders>
              <w:top w:val="single" w:color="auto" w:sz="4" w:space="0"/>
              <w:left w:val="single" w:color="auto" w:sz="4" w:space="0"/>
              <w:bottom w:val="single" w:color="auto" w:sz="4" w:space="0"/>
              <w:right w:val="single" w:color="auto" w:sz="4" w:space="0"/>
            </w:tcBorders>
            <w:vAlign w:val="center"/>
          </w:tcPr>
          <w:p w14:paraId="1672F7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1、实现门诊护士接受医生的指令，对患者进行注射、治疗、手术等诊疗活动。</w:t>
            </w:r>
          </w:p>
          <w:p w14:paraId="19DBCC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2、实现急诊医嘱审核执行；</w:t>
            </w:r>
          </w:p>
          <w:p w14:paraId="65350EC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3、实现急诊留诊室观察患者管理功能；</w:t>
            </w:r>
          </w:p>
          <w:p w14:paraId="3CB324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4、实现护士排班功能；</w:t>
            </w:r>
          </w:p>
          <w:p w14:paraId="7F7D2B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5、实现统计查询及打印功能：包括注射人次及其他治疗人次等工作量统计；</w:t>
            </w:r>
          </w:p>
          <w:p w14:paraId="272CBF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6、皮试管理</w:t>
            </w:r>
          </w:p>
          <w:p w14:paraId="3AD4142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提供药品批次、皮试提示功能，实现主动提示患者有新的皮试阳性结果；</w:t>
            </w:r>
          </w:p>
          <w:p w14:paraId="267B5FB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实现记录皮试开始时间和提醒查看皮试结果。</w:t>
            </w:r>
          </w:p>
          <w:p w14:paraId="4E9A321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实现病人皮试结果登记并划价计费功能；如皮试不通过，作废原处方不能发药，可处理病人分几天多次注射的情况。</w:t>
            </w:r>
          </w:p>
          <w:p w14:paraId="1C833F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实现皮试记录可检索、统计和分析。</w:t>
            </w:r>
          </w:p>
          <w:p w14:paraId="4CE291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具备皮试审方功能，至少提供阴阳性、PPD两种皮试结果录入模式。</w:t>
            </w:r>
          </w:p>
          <w:p w14:paraId="5A7DBF8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具备PPD类药品记录48、72小时皮试结果功能。</w:t>
            </w:r>
          </w:p>
          <w:p w14:paraId="6E6C8FC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7、可进行读卡获取病人基本信息，创建门诊护理评估单，并实现体征仪器数据采集，如血压、脉搏等引用病历，并把病历共享给门诊医生和住院使用。</w:t>
            </w:r>
          </w:p>
          <w:p w14:paraId="271EB4E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8、实现导诊护士对病人量血压，体重，心率，脉搏，身高，既往史，过敏信息等体征数据填写护理评估单，</w:t>
            </w:r>
            <w:r>
              <w:rPr>
                <w:rFonts w:cs="宋体" w:asciiTheme="majorEastAsia" w:hAnsiTheme="majorEastAsia" w:eastAsiaTheme="majorEastAsia"/>
                <w:color w:val="auto"/>
                <w:szCs w:val="21"/>
              </w:rPr>
              <w:t>并自动</w:t>
            </w:r>
            <w:r>
              <w:rPr>
                <w:rFonts w:hint="eastAsia" w:cs="宋体" w:asciiTheme="majorEastAsia" w:hAnsiTheme="majorEastAsia" w:eastAsiaTheme="majorEastAsia"/>
                <w:color w:val="auto"/>
                <w:szCs w:val="21"/>
              </w:rPr>
              <w:t>显示在</w:t>
            </w:r>
            <w:r>
              <w:rPr>
                <w:rFonts w:cs="宋体" w:asciiTheme="majorEastAsia" w:hAnsiTheme="majorEastAsia" w:eastAsiaTheme="majorEastAsia"/>
                <w:color w:val="auto"/>
                <w:szCs w:val="21"/>
              </w:rPr>
              <w:t>当日门诊病历</w:t>
            </w:r>
            <w:r>
              <w:rPr>
                <w:rFonts w:hint="eastAsia" w:cs="宋体" w:asciiTheme="majorEastAsia" w:hAnsiTheme="majorEastAsia" w:eastAsiaTheme="majorEastAsia"/>
                <w:color w:val="auto"/>
                <w:szCs w:val="21"/>
              </w:rPr>
              <w:t>对应</w:t>
            </w:r>
            <w:r>
              <w:rPr>
                <w:rFonts w:cs="宋体" w:asciiTheme="majorEastAsia" w:hAnsiTheme="majorEastAsia" w:eastAsiaTheme="majorEastAsia"/>
                <w:color w:val="auto"/>
                <w:szCs w:val="21"/>
              </w:rPr>
              <w:t>项目</w:t>
            </w:r>
            <w:r>
              <w:rPr>
                <w:rFonts w:hint="eastAsia" w:cs="宋体" w:asciiTheme="majorEastAsia" w:hAnsiTheme="majorEastAsia" w:eastAsiaTheme="majorEastAsia"/>
                <w:color w:val="auto"/>
                <w:szCs w:val="21"/>
              </w:rPr>
              <w:t>上。</w:t>
            </w:r>
          </w:p>
        </w:tc>
        <w:tc>
          <w:tcPr>
            <w:tcW w:w="379" w:type="pct"/>
            <w:tcBorders>
              <w:top w:val="single" w:color="auto" w:sz="4" w:space="0"/>
              <w:left w:val="single" w:color="auto" w:sz="4" w:space="0"/>
              <w:bottom w:val="single" w:color="auto" w:sz="4" w:space="0"/>
              <w:right w:val="single" w:color="auto" w:sz="4" w:space="0"/>
            </w:tcBorders>
            <w:vAlign w:val="center"/>
          </w:tcPr>
          <w:p w14:paraId="530AF2B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5EC0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70051195">
            <w:pPr>
              <w:spacing w:line="440" w:lineRule="exact"/>
              <w:jc w:val="left"/>
              <w:rPr>
                <w:rFonts w:cs="宋体" w:asciiTheme="majorEastAsia" w:hAnsiTheme="majorEastAsia" w:eastAsiaTheme="majorEastAsia"/>
                <w:color w:val="auto"/>
                <w:szCs w:val="21"/>
              </w:rPr>
            </w:pPr>
            <w:bookmarkStart w:id="14" w:name="门诊护士工作站" w:colFirst="2" w:colLast="2"/>
          </w:p>
        </w:tc>
        <w:tc>
          <w:tcPr>
            <w:tcW w:w="380" w:type="pct"/>
            <w:tcBorders>
              <w:top w:val="single" w:color="auto" w:sz="4" w:space="0"/>
              <w:left w:val="single" w:color="auto" w:sz="4" w:space="0"/>
              <w:bottom w:val="single" w:color="auto" w:sz="4" w:space="0"/>
              <w:right w:val="single" w:color="auto" w:sz="4" w:space="0"/>
            </w:tcBorders>
            <w:vAlign w:val="center"/>
          </w:tcPr>
          <w:p w14:paraId="6CA08B62">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门急诊输液管理</w:t>
            </w:r>
          </w:p>
        </w:tc>
        <w:tc>
          <w:tcPr>
            <w:tcW w:w="3788" w:type="pct"/>
            <w:tcBorders>
              <w:top w:val="single" w:color="auto" w:sz="4" w:space="0"/>
              <w:left w:val="single" w:color="auto" w:sz="4" w:space="0"/>
              <w:bottom w:val="single" w:color="auto" w:sz="4" w:space="0"/>
              <w:right w:val="single" w:color="auto" w:sz="4" w:space="0"/>
            </w:tcBorders>
            <w:vAlign w:val="center"/>
          </w:tcPr>
          <w:p w14:paraId="230CC123">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1、床位维护</w:t>
            </w:r>
          </w:p>
          <w:p w14:paraId="333CA928">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床位维护主要用于增加、修改和查询输液室的输液区，以及维护各输液区的床/座位。界面打开时默认加载已经维护好的输液区和输液区对应的床位信息。可通过上移下移标识进行床位的排序。</w:t>
            </w:r>
          </w:p>
          <w:p w14:paraId="3E745E70">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2、床位管理</w:t>
            </w:r>
          </w:p>
          <w:p w14:paraId="69E39FAD">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床位管理页面主要用于查看本科室床位的使用情况，可查看在床患者的基本信息、既往过敏史和用药信息，实现清床、批量清床、一键清床、补打排队号、换床、用药信息查看操作。打开页面自动加载本科室所属的有效床位，已经被占用的床显示病人的基本信息。选择已占用的床实现换床、用药查询、清床操作。</w:t>
            </w:r>
          </w:p>
          <w:p w14:paraId="4F45E801">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3、输液登记</w:t>
            </w:r>
          </w:p>
          <w:p w14:paraId="2C3DFEA7">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输液登记页面主要用于接收病人药品、分配床位、打印注射单、输液瓶签和排队号、补打当日注射单、一键打印、呼叫输液室外面等候病人等。打开输液登记页面，初始页面为空，条件区开单起止时间默认为最近三天。读卡后获取病人的基本信息和开单时间范围内的处方信息。输液瓶签内容实现修改和定制，可自主设置是否打印注射单和排队号。</w:t>
            </w:r>
          </w:p>
          <w:p w14:paraId="14EBFDB6">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4、穿刺呼叫</w:t>
            </w:r>
          </w:p>
          <w:p w14:paraId="7E23B74D">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穿刺呼叫主要用于呼叫病人前来注射台穿刺。左边界面主要是通过扫描病人排队号或者手动输入排队号，回车后进行病人穿刺呼叫。右边界面显示目前在等待及正在呼叫的病人队列（考虑到跨天的情况，所以呼叫队列取得为前一天及当天等待呼叫数据）。</w:t>
            </w:r>
          </w:p>
          <w:p w14:paraId="039C6B85">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实现皮试叫号功能，患者可根据叫号大屏的显示信息和语音引导，进行皮试排队。</w:t>
            </w:r>
          </w:p>
          <w:p w14:paraId="171FFA94">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5、输液执行</w:t>
            </w:r>
          </w:p>
          <w:p w14:paraId="50700AB7">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界面打开默认用药日期为当天。通过读卡获取单个病人的特定用药日期范围内的用药信息，或者获取指定输液室目前占床的所有病人用药信息。同时可实现打印输液瓶签、扫瓶签呼叫上屏扫描患者标签核对病人与药品信息等功能，左下角显示目前在叫号码。</w:t>
            </w:r>
          </w:p>
          <w:p w14:paraId="640EA9C8">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6、收费管理</w:t>
            </w:r>
          </w:p>
          <w:p w14:paraId="6906A70C">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收费管理界面主要用于收费科室修改，护理相关操作的费用补收及删除。</w:t>
            </w:r>
          </w:p>
          <w:p w14:paraId="17E5A2B7">
            <w:pPr>
              <w:spacing w:line="440" w:lineRule="exact"/>
              <w:ind w:firstLine="420" w:firstLineChars="20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7</w:t>
            </w:r>
            <w:r>
              <w:rPr>
                <w:rFonts w:hint="eastAsia" w:cs="宋体" w:asciiTheme="majorEastAsia" w:hAnsiTheme="majorEastAsia" w:eastAsiaTheme="majorEastAsia"/>
                <w:color w:val="auto"/>
                <w:kern w:val="0"/>
                <w:szCs w:val="21"/>
              </w:rPr>
              <w:t>、PC统计</w:t>
            </w:r>
          </w:p>
          <w:p w14:paraId="6675E11E">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该界面主要用于输液、接瓶、皮试、肌注等工作量自动化统计及分析。</w:t>
            </w:r>
          </w:p>
          <w:p w14:paraId="3A942187">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8、查询业务</w:t>
            </w:r>
          </w:p>
          <w:p w14:paraId="73CB56D0">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该界面关联患者的病例信息，可查询患者相应的病例及辅助检查结果。</w:t>
            </w:r>
          </w:p>
          <w:p w14:paraId="2AF6796E">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9、检验条码</w:t>
            </w:r>
          </w:p>
          <w:p w14:paraId="5E9F1336">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该界面主要用于输液患者的检验条码打印、撤销等处理。</w:t>
            </w:r>
          </w:p>
          <w:p w14:paraId="196B3F3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实现肌肉注射的管理</w:t>
            </w:r>
          </w:p>
        </w:tc>
        <w:tc>
          <w:tcPr>
            <w:tcW w:w="379" w:type="pct"/>
            <w:tcBorders>
              <w:top w:val="single" w:color="auto" w:sz="4" w:space="0"/>
              <w:left w:val="single" w:color="auto" w:sz="4" w:space="0"/>
              <w:bottom w:val="single" w:color="auto" w:sz="4" w:space="0"/>
              <w:right w:val="single" w:color="auto" w:sz="4" w:space="0"/>
            </w:tcBorders>
            <w:vAlign w:val="center"/>
          </w:tcPr>
          <w:p w14:paraId="113EC535">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189C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33" w:hRule="atLeast"/>
        </w:trPr>
        <w:tc>
          <w:tcPr>
            <w:tcW w:w="452" w:type="pct"/>
            <w:vMerge w:val="continue"/>
            <w:tcBorders>
              <w:left w:val="single" w:color="auto" w:sz="4" w:space="0"/>
              <w:right w:val="single" w:color="auto" w:sz="4" w:space="0"/>
            </w:tcBorders>
            <w:vAlign w:val="center"/>
          </w:tcPr>
          <w:p w14:paraId="0459CC99">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60078F0B">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门急诊应急管理系统</w:t>
            </w:r>
          </w:p>
        </w:tc>
        <w:tc>
          <w:tcPr>
            <w:tcW w:w="3788" w:type="pct"/>
            <w:tcBorders>
              <w:top w:val="single" w:color="auto" w:sz="4" w:space="0"/>
              <w:left w:val="single" w:color="auto" w:sz="4" w:space="0"/>
              <w:bottom w:val="single" w:color="auto" w:sz="4" w:space="0"/>
              <w:right w:val="single" w:color="auto" w:sz="4" w:space="0"/>
            </w:tcBorders>
            <w:vAlign w:val="center"/>
          </w:tcPr>
          <w:p w14:paraId="5FDB869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 当系统的主服务器或全院的网络出现异常时，应急系统要要求实现对非医保病人进行正常划价或收费；</w:t>
            </w:r>
          </w:p>
          <w:p w14:paraId="38178E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 应急系统与主服务器上的相关字典应同步；</w:t>
            </w:r>
          </w:p>
          <w:p w14:paraId="31821B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 当主服务器的门诊收费系统恢复正常时，门诊收费员只需将单机收费系统上的收费信息上传到门诊主数据库服务器；</w:t>
            </w:r>
          </w:p>
          <w:p w14:paraId="1048227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 门诊划价收费分系统要有单机应急功能，可进行单机划价收费、报表统计等功能，其数据可汇总到网络门诊核价收费系统中，进行医院门诊的报表统计等功能。</w:t>
            </w:r>
          </w:p>
          <w:p w14:paraId="412BCD7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（5）实现门诊医生站、门诊收费、门诊药房进行对接，可以开具处方后进行收费及发药扣减库存，等主服务器或网络恢复后，将数据同步到主库。</w:t>
            </w:r>
          </w:p>
        </w:tc>
        <w:tc>
          <w:tcPr>
            <w:tcW w:w="379" w:type="pct"/>
            <w:tcBorders>
              <w:top w:val="single" w:color="auto" w:sz="4" w:space="0"/>
              <w:left w:val="single" w:color="auto" w:sz="4" w:space="0"/>
              <w:bottom w:val="single" w:color="auto" w:sz="4" w:space="0"/>
              <w:right w:val="single" w:color="auto" w:sz="4" w:space="0"/>
            </w:tcBorders>
            <w:vAlign w:val="center"/>
          </w:tcPr>
          <w:p w14:paraId="3D2E225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1套</w:t>
            </w:r>
          </w:p>
        </w:tc>
      </w:tr>
      <w:tr w14:paraId="766E7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7D5ED5C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9726919">
            <w:pPr>
              <w:spacing w:line="440" w:lineRule="exact"/>
              <w:jc w:val="left"/>
              <w:rPr>
                <w:rFonts w:cs="宋体" w:asciiTheme="majorEastAsia" w:hAnsiTheme="majorEastAsia" w:eastAsiaTheme="majorEastAsia"/>
                <w:color w:val="auto"/>
                <w:szCs w:val="21"/>
              </w:rPr>
            </w:pPr>
            <w:bookmarkStart w:id="15" w:name="住院收费系统"/>
            <w:r>
              <w:rPr>
                <w:rFonts w:hint="eastAsia" w:cs="宋体" w:asciiTheme="majorEastAsia" w:hAnsiTheme="majorEastAsia" w:eastAsiaTheme="majorEastAsia"/>
                <w:color w:val="auto"/>
                <w:szCs w:val="21"/>
              </w:rPr>
              <w:t>住院收费系统</w:t>
            </w:r>
            <w:bookmarkEnd w:id="15"/>
          </w:p>
        </w:tc>
        <w:tc>
          <w:tcPr>
            <w:tcW w:w="3788" w:type="pct"/>
            <w:tcBorders>
              <w:top w:val="single" w:color="auto" w:sz="4" w:space="0"/>
              <w:left w:val="single" w:color="auto" w:sz="4" w:space="0"/>
              <w:bottom w:val="single" w:color="auto" w:sz="4" w:space="0"/>
              <w:right w:val="single" w:color="auto" w:sz="4" w:space="0"/>
            </w:tcBorders>
            <w:vAlign w:val="center"/>
          </w:tcPr>
          <w:p w14:paraId="0C46D73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提供住院患者费用处理功能，实现住院患者办理住院预交金、费用处理业务处理。具体功能包括：住院预交金管理、费用结算、退费、医保业务处理、结账等。</w:t>
            </w:r>
          </w:p>
          <w:p w14:paraId="3DA24AC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1.住院预交金管理</w:t>
            </w:r>
          </w:p>
          <w:p w14:paraId="3F0B758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通过手工录入住院号、床位号、姓名、预交金票据号、就诊卡号、电子健康卡号等方式检索住院患者费用及预交金信息。可自动生成预交金日结报表汇总表及相应明细表。可按时间段、截止时间点、结算员等字段综合查询、导出预交金收费、核销、未核销汇总表及相应的明细报表。</w:t>
            </w:r>
          </w:p>
          <w:p w14:paraId="0E9D7B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预交金票据打印。根据国家相关规定并结合医院的实际要求打印结算收据。同时与电子票据系统做接口，实现电子发票的开具及相应管理要求。</w:t>
            </w:r>
          </w:p>
          <w:p w14:paraId="1372BD2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2.住院退费管理</w:t>
            </w:r>
          </w:p>
          <w:p w14:paraId="0A6698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于在院患者发生费用的项目，如药品、检查、化验等项目，经相关部门确认后可进行退费处理。通过住院号、就诊卡号、结算票据号、姓名、电子健康卡号等多种方式查询患者缴费信息，可进行批量退费的操作。实现多种退款路径。</w:t>
            </w:r>
          </w:p>
          <w:p w14:paraId="37DEF6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3.住院费用结算</w:t>
            </w:r>
          </w:p>
          <w:p w14:paraId="0B545CC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医保系统的实时交互。可实现中途结账或出院结账等不同结账方式。实现患者结算某个病区或某个科室的住院费用或某些类别的费用，可通过配置实现灵活的结账模式。实现现金、银行卡、在线支付、聚合支付等多种支付方式。</w:t>
            </w:r>
            <w:r>
              <w:rPr>
                <w:rFonts w:hint="eastAsia" w:cs="宋体" w:asciiTheme="majorEastAsia" w:hAnsiTheme="majorEastAsia" w:eastAsiaTheme="majorEastAsia"/>
                <w:color w:val="auto"/>
                <w:szCs w:val="21"/>
              </w:rPr>
              <w:t>与医保结算平台做接口，实现自动获取个账共济支付成功金额，不需收费员手工录入。</w:t>
            </w:r>
          </w:p>
          <w:p w14:paraId="7BD58E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途结账。对患者某一时间段内的住院费用进行结算处理。中途结账只能对前一天最后时刻前发生的住院费用进行结账。实现妇产科母亲与毛毛费用在同一本病历，毛毛的费用能标识，能分别用母亲及毛毛名称结算二张发票。</w:t>
            </w:r>
          </w:p>
          <w:p w14:paraId="6E0878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出院结账。对患者本次住院全部未结费用进行结算处理。</w:t>
            </w:r>
          </w:p>
          <w:p w14:paraId="231010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结算收据打印。根据国家相关规定并结合各医院的实际要求打印结算收据。同时与电子票据系统做接口，实现电子发票的开具</w:t>
            </w:r>
            <w:r>
              <w:rPr>
                <w:rFonts w:hint="eastAsia" w:cs="宋体" w:asciiTheme="majorEastAsia" w:hAnsiTheme="majorEastAsia" w:eastAsiaTheme="majorEastAsia"/>
                <w:color w:val="auto"/>
                <w:szCs w:val="21"/>
              </w:rPr>
              <w:t>、查询、获取、对账</w:t>
            </w:r>
            <w:r>
              <w:rPr>
                <w:rFonts w:hint="eastAsia" w:cs="宋体" w:asciiTheme="majorEastAsia" w:hAnsiTheme="majorEastAsia" w:eastAsiaTheme="majorEastAsia"/>
                <w:color w:val="auto"/>
                <w:szCs w:val="21"/>
              </w:rPr>
              <w:t>及相应管理要求。</w:t>
            </w: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与医保中心结算平台</w:t>
            </w:r>
            <w:r>
              <w:rPr>
                <w:rFonts w:hint="eastAsia" w:cs="宋体" w:asciiTheme="majorEastAsia" w:hAnsiTheme="majorEastAsia" w:eastAsiaTheme="majorEastAsia"/>
                <w:color w:val="auto"/>
                <w:szCs w:val="21"/>
                <w:lang w:val="en-US" w:eastAsia="zh-CN"/>
              </w:rPr>
              <w:t>对接</w:t>
            </w:r>
            <w:r>
              <w:rPr>
                <w:rFonts w:hint="eastAsia" w:cs="宋体" w:asciiTheme="majorEastAsia" w:hAnsiTheme="majorEastAsia" w:eastAsiaTheme="majorEastAsia"/>
                <w:color w:val="auto"/>
                <w:szCs w:val="21"/>
              </w:rPr>
              <w:t>，HIS系统自动获取医保结算单（汇总表）、医保结算明细表（用于了解明细医疗服务项目、药品医保报销情况，用于核对异账）。</w:t>
            </w:r>
          </w:p>
          <w:p w14:paraId="656477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实现单个或批量医保患者在院期间上传医保费用并预结算，形成单个患者或以科室为单位统计的患者在院期间预结算报表，便于及时了解患者个人需支付金额，方便欠费管理。</w:t>
            </w:r>
          </w:p>
          <w:p w14:paraId="6E3750C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4.住院结账管理</w:t>
            </w:r>
          </w:p>
          <w:p w14:paraId="600408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提供住院结账管理功能。包括当日患者预交金、入院患者预交费、在院患者各项费用、出院患者结账和退款等账务处理。</w:t>
            </w:r>
          </w:p>
          <w:p w14:paraId="02B3CE0B">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可通过手工录入住院号、床位号、姓名、结算票号、就诊卡号、电子健康卡号等方式检索住院患者结算、费用清单、患者基础档案信息。</w:t>
            </w:r>
          </w:p>
          <w:p w14:paraId="50586EA1">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可按时间段、多结算员等字段综合查询生成、导出结算员收费日结算汇总报表及与日报相关的预交金退费明细表、患者“个人现金”明细表、患者医保支付（含个人账户支付</w:t>
            </w:r>
            <w:r>
              <w:rPr>
                <w:rFonts w:hint="eastAsia" w:asciiTheme="majorEastAsia" w:hAnsiTheme="majorEastAsia" w:eastAsiaTheme="majorEastAsia"/>
                <w:color w:val="auto"/>
                <w:kern w:val="0"/>
                <w:szCs w:val="21"/>
              </w:rPr>
              <w:t>、个账共济支付</w:t>
            </w:r>
            <w:r>
              <w:rPr>
                <w:rFonts w:hint="eastAsia" w:asciiTheme="majorEastAsia" w:hAnsiTheme="majorEastAsia" w:eastAsiaTheme="majorEastAsia"/>
                <w:color w:val="auto"/>
                <w:kern w:val="0"/>
                <w:szCs w:val="21"/>
              </w:rPr>
              <w:t>）明细表。</w:t>
            </w:r>
          </w:p>
          <w:p w14:paraId="330622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5.医保业务处理</w:t>
            </w:r>
          </w:p>
          <w:p w14:paraId="0663C14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实现与医保中心提供的相关接口对接，包括登记信息上传、费用上传、费用预结算、费用结算、结算取消、医保数据对照、诊疗信息上传、医保审核、控费、医保对账等</w:t>
            </w:r>
            <w:r>
              <w:rPr>
                <w:rFonts w:hint="eastAsia" w:cs="宋体" w:asciiTheme="majorEastAsia" w:hAnsiTheme="majorEastAsia" w:eastAsiaTheme="majorEastAsia"/>
                <w:color w:val="auto"/>
                <w:szCs w:val="21"/>
              </w:rPr>
              <w:t>，实现医保中心数据、本地存的医保结算数据、本地收费员日报表数据三表数据对账</w:t>
            </w:r>
            <w:r>
              <w:rPr>
                <w:rFonts w:hint="eastAsia" w:cs="宋体" w:asciiTheme="majorEastAsia" w:hAnsiTheme="majorEastAsia" w:eastAsiaTheme="majorEastAsia"/>
                <w:color w:val="auto"/>
                <w:szCs w:val="21"/>
              </w:rPr>
              <w:t>。可按住院流水号手动输入搜索病人信息，将查询到的患者信息自动显示在首行；无需手动输入入院日期，手动刷新病人信息。</w:t>
            </w:r>
          </w:p>
          <w:p w14:paraId="6D8334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可实现与异地医保的实时对接，按照“就医地目录、参保地政策、就医地管理”原则进行跨地区异地就医结算。</w:t>
            </w:r>
          </w:p>
          <w:p w14:paraId="5BA644D4">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6.</w:t>
            </w:r>
            <w:r>
              <w:rPr>
                <w:rFonts w:hint="eastAsia" w:asciiTheme="majorEastAsia" w:hAnsiTheme="majorEastAsia" w:eastAsiaTheme="majorEastAsia"/>
                <w:color w:val="auto"/>
                <w:kern w:val="0"/>
                <w:szCs w:val="21"/>
              </w:rPr>
              <w:t>实现</w:t>
            </w:r>
            <w:r>
              <w:rPr>
                <w:rFonts w:asciiTheme="majorEastAsia" w:hAnsiTheme="majorEastAsia" w:eastAsiaTheme="majorEastAsia"/>
                <w:color w:val="auto"/>
                <w:kern w:val="0"/>
                <w:szCs w:val="21"/>
              </w:rPr>
              <w:t>旧HIS系统患者未结算数据批量导入新HIS系统，包</w:t>
            </w:r>
            <w:r>
              <w:rPr>
                <w:rFonts w:hint="eastAsia" w:asciiTheme="majorEastAsia" w:hAnsiTheme="majorEastAsia" w:eastAsiaTheme="majorEastAsia"/>
                <w:color w:val="auto"/>
                <w:kern w:val="0"/>
                <w:szCs w:val="21"/>
              </w:rPr>
              <w:t>括预交金信息及患者医疗费用相关信息。</w:t>
            </w:r>
          </w:p>
          <w:p w14:paraId="629B9EF6">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7.票据管理：</w:t>
            </w:r>
            <w:r>
              <w:rPr>
                <w:rFonts w:hint="eastAsia" w:asciiTheme="majorEastAsia" w:hAnsiTheme="majorEastAsia" w:eastAsiaTheme="majorEastAsia"/>
                <w:color w:val="auto"/>
                <w:kern w:val="0"/>
                <w:szCs w:val="21"/>
              </w:rPr>
              <w:t>实现</w:t>
            </w:r>
            <w:r>
              <w:rPr>
                <w:rFonts w:asciiTheme="majorEastAsia" w:hAnsiTheme="majorEastAsia" w:eastAsiaTheme="majorEastAsia"/>
                <w:color w:val="auto"/>
                <w:kern w:val="0"/>
                <w:szCs w:val="21"/>
              </w:rPr>
              <w:t>预交金、结算票据线上申领、发放、使用、</w:t>
            </w:r>
            <w:r>
              <w:rPr>
                <w:rFonts w:hint="eastAsia" w:asciiTheme="majorEastAsia" w:hAnsiTheme="majorEastAsia" w:eastAsiaTheme="majorEastAsia"/>
                <w:color w:val="auto"/>
                <w:kern w:val="0"/>
                <w:szCs w:val="21"/>
              </w:rPr>
              <w:t>核销、作废、未使用票据退回等票据全流程管理，并与电子票据管理系统对接，完成票据存档等功能。</w:t>
            </w:r>
          </w:p>
          <w:p w14:paraId="22A104D8">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8</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与HRP做接口，</w:t>
            </w:r>
            <w:r>
              <w:rPr>
                <w:rFonts w:hint="eastAsia" w:asciiTheme="majorEastAsia" w:hAnsiTheme="majorEastAsia" w:eastAsiaTheme="majorEastAsia"/>
                <w:color w:val="auto"/>
                <w:kern w:val="0"/>
                <w:szCs w:val="21"/>
              </w:rPr>
              <w:t>根据财务部制定的会计入账规则，生成相应的自定义报表，</w:t>
            </w:r>
            <w:r>
              <w:rPr>
                <w:rFonts w:asciiTheme="majorEastAsia" w:hAnsiTheme="majorEastAsia" w:eastAsiaTheme="majorEastAsia"/>
                <w:color w:val="auto"/>
                <w:kern w:val="0"/>
                <w:szCs w:val="21"/>
              </w:rPr>
              <w:t>实现在院病人医疗收入、医疗结算收入、</w:t>
            </w:r>
            <w:r>
              <w:rPr>
                <w:rFonts w:hint="eastAsia" w:asciiTheme="majorEastAsia" w:hAnsiTheme="majorEastAsia" w:eastAsiaTheme="majorEastAsia"/>
                <w:color w:val="auto"/>
                <w:kern w:val="0"/>
                <w:szCs w:val="21"/>
              </w:rPr>
              <w:t>预交金收入</w:t>
            </w:r>
            <w:r>
              <w:rPr>
                <w:rFonts w:hint="eastAsia" w:asciiTheme="majorEastAsia" w:hAnsiTheme="majorEastAsia" w:eastAsiaTheme="majorEastAsia"/>
                <w:color w:val="auto"/>
                <w:kern w:val="0"/>
                <w:szCs w:val="21"/>
              </w:rPr>
              <w:t>等</w:t>
            </w:r>
            <w:r>
              <w:rPr>
                <w:rFonts w:hint="eastAsia" w:asciiTheme="majorEastAsia" w:hAnsiTheme="majorEastAsia" w:eastAsiaTheme="majorEastAsia"/>
                <w:color w:val="auto"/>
                <w:kern w:val="0"/>
                <w:szCs w:val="21"/>
              </w:rPr>
              <w:t>可</w:t>
            </w:r>
            <w:r>
              <w:rPr>
                <w:rFonts w:hint="eastAsia" w:asciiTheme="majorEastAsia" w:hAnsiTheme="majorEastAsia" w:eastAsiaTheme="majorEastAsia"/>
                <w:strike/>
                <w:color w:val="auto"/>
                <w:kern w:val="0"/>
                <w:szCs w:val="21"/>
              </w:rPr>
              <w:t>形成</w:t>
            </w:r>
            <w:r>
              <w:rPr>
                <w:rFonts w:hint="eastAsia" w:asciiTheme="majorEastAsia" w:hAnsiTheme="majorEastAsia" w:eastAsiaTheme="majorEastAsia"/>
                <w:color w:val="auto"/>
                <w:kern w:val="0"/>
                <w:szCs w:val="21"/>
              </w:rPr>
              <w:t>自动</w:t>
            </w:r>
            <w:r>
              <w:rPr>
                <w:rFonts w:hint="eastAsia" w:asciiTheme="majorEastAsia" w:hAnsiTheme="majorEastAsia" w:eastAsiaTheme="majorEastAsia"/>
                <w:color w:val="auto"/>
                <w:kern w:val="0"/>
                <w:szCs w:val="21"/>
              </w:rPr>
              <w:t>生成会计</w:t>
            </w:r>
            <w:r>
              <w:rPr>
                <w:rFonts w:hint="eastAsia" w:asciiTheme="majorEastAsia" w:hAnsiTheme="majorEastAsia" w:eastAsiaTheme="majorEastAsia"/>
                <w:color w:val="auto"/>
                <w:kern w:val="0"/>
                <w:szCs w:val="21"/>
              </w:rPr>
              <w:t>凭证。</w:t>
            </w:r>
          </w:p>
          <w:p w14:paraId="47D20341">
            <w:pPr>
              <w:spacing w:line="440" w:lineRule="exact"/>
              <w:ind w:left="420" w:left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9</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可根据时点、时间段、科室生成、导出已出院预结未结算患</w:t>
            </w:r>
            <w:r>
              <w:rPr>
                <w:rFonts w:hint="eastAsia" w:asciiTheme="majorEastAsia" w:hAnsiTheme="majorEastAsia" w:eastAsiaTheme="majorEastAsia"/>
                <w:color w:val="auto"/>
                <w:kern w:val="0"/>
                <w:szCs w:val="21"/>
              </w:rPr>
              <w:t>者</w:t>
            </w:r>
            <w:r>
              <w:rPr>
                <w:rFonts w:hint="eastAsia" w:asciiTheme="majorEastAsia" w:hAnsiTheme="majorEastAsia" w:eastAsiaTheme="majorEastAsia"/>
                <w:color w:val="auto"/>
                <w:kern w:val="0"/>
                <w:szCs w:val="21"/>
              </w:rPr>
              <w:t>、出院结算患者等统计汇总表、</w:t>
            </w:r>
            <w:r>
              <w:rPr>
                <w:rFonts w:hint="eastAsia" w:asciiTheme="majorEastAsia" w:hAnsiTheme="majorEastAsia" w:eastAsiaTheme="majorEastAsia"/>
                <w:color w:val="auto"/>
                <w:kern w:val="0"/>
                <w:szCs w:val="21"/>
              </w:rPr>
              <w:t>明细表。</w:t>
            </w:r>
            <w:r>
              <w:rPr>
                <w:rFonts w:hint="eastAsia" w:asciiTheme="majorEastAsia" w:hAnsiTheme="majorEastAsia" w:eastAsiaTheme="majorEastAsia"/>
                <w:color w:val="auto"/>
                <w:kern w:val="0"/>
                <w:szCs w:val="21"/>
              </w:rPr>
              <w:br w:type="textWrapping"/>
            </w:r>
            <w:r>
              <w:rPr>
                <w:rFonts w:asciiTheme="majorEastAsia" w:hAnsiTheme="majorEastAsia" w:eastAsiaTheme="majorEastAsia"/>
                <w:color w:val="auto"/>
                <w:kern w:val="0"/>
                <w:szCs w:val="21"/>
              </w:rPr>
              <w:t>10</w:t>
            </w:r>
            <w:r>
              <w:rPr>
                <w:rFonts w:hint="eastAsia" w:asciiTheme="majorEastAsia" w:hAnsiTheme="majorEastAsia" w:eastAsiaTheme="majorEastAsia"/>
                <w:color w:val="auto"/>
                <w:kern w:val="0"/>
                <w:szCs w:val="21"/>
              </w:rPr>
              <w:t xml:space="preserve">.费用日结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1）需日结费用：实现多条件查询当前收费员所有需日结的费用。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2）图形化展示：实现图形化展示各支付方式下的收支情况。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3）费用日结：实现收费员对当日收款记录进行轧账。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4）日结查询：实现多条件查询扎帐费用信息。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5）日结上缴组长：实现日结费用上缴组长模式。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6）日结上缴财务：实现日结费用直接上缴财务模式。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7）上缴记录查询：实现多条件查询已上缴日结费用记录。</w:t>
            </w:r>
            <w:r>
              <w:rPr>
                <w:rFonts w:hint="eastAsia" w:asciiTheme="majorEastAsia" w:hAnsiTheme="majorEastAsia" w:eastAsiaTheme="majorEastAsia"/>
                <w:color w:val="auto"/>
                <w:kern w:val="0"/>
                <w:szCs w:val="21"/>
              </w:rPr>
              <w:cr/>
            </w:r>
            <w:r>
              <w:rPr>
                <w:rFonts w:asciiTheme="majorEastAsia" w:hAnsiTheme="majorEastAsia" w:eastAsiaTheme="majorEastAsia"/>
                <w:color w:val="auto"/>
                <w:kern w:val="0"/>
                <w:szCs w:val="21"/>
              </w:rPr>
              <w:t>11</w:t>
            </w:r>
            <w:r>
              <w:rPr>
                <w:rFonts w:hint="eastAsia" w:asciiTheme="majorEastAsia" w:hAnsiTheme="majorEastAsia" w:eastAsiaTheme="majorEastAsia"/>
                <w:color w:val="auto"/>
                <w:kern w:val="0"/>
                <w:szCs w:val="21"/>
              </w:rPr>
              <w:t xml:space="preserve">.财务组长上缴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1）财务组长上缴：实现财务组长对收费员费用上缴记录进行财务上缴。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2）已上缴记录查询：实现财务组长上缴至财务的记录查询。 </w:t>
            </w:r>
            <w:r>
              <w:rPr>
                <w:rFonts w:hint="eastAsia" w:asciiTheme="majorEastAsia" w:hAnsiTheme="majorEastAsia" w:eastAsiaTheme="majorEastAsia"/>
                <w:color w:val="auto"/>
                <w:kern w:val="0"/>
                <w:szCs w:val="21"/>
              </w:rPr>
              <w:cr/>
            </w:r>
            <w:r>
              <w:rPr>
                <w:rFonts w:asciiTheme="majorEastAsia" w:hAnsiTheme="majorEastAsia" w:eastAsiaTheme="majorEastAsia"/>
                <w:color w:val="auto"/>
                <w:kern w:val="0"/>
                <w:szCs w:val="21"/>
              </w:rPr>
              <w:t>12</w:t>
            </w:r>
            <w:r>
              <w:rPr>
                <w:rFonts w:hint="eastAsia" w:asciiTheme="majorEastAsia" w:hAnsiTheme="majorEastAsia" w:eastAsiaTheme="majorEastAsia"/>
                <w:color w:val="auto"/>
                <w:kern w:val="0"/>
                <w:szCs w:val="21"/>
              </w:rPr>
              <w:t>.财务审核</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1）组长上缴审核：实现对财务组长上缴记录进行审核。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2）个人上缴审核：实现对收费员个人上缴记录进行审核。 </w:t>
            </w:r>
            <w:r>
              <w:rPr>
                <w:rFonts w:hint="eastAsia" w:asciiTheme="majorEastAsia" w:hAnsiTheme="majorEastAsia" w:eastAsiaTheme="majorEastAsia"/>
                <w:color w:val="auto"/>
                <w:kern w:val="0"/>
                <w:szCs w:val="21"/>
              </w:rPr>
              <w:cr/>
            </w:r>
            <w:r>
              <w:rPr>
                <w:rFonts w:hint="eastAsia" w:asciiTheme="majorEastAsia" w:hAnsiTheme="majorEastAsia" w:eastAsiaTheme="majorEastAsia"/>
                <w:color w:val="auto"/>
                <w:kern w:val="0"/>
                <w:szCs w:val="21"/>
              </w:rPr>
              <w:t xml:space="preserve">    3）审核记录查询：实现多条件查询上缴记录审核记录。</w:t>
            </w:r>
          </w:p>
          <w:p w14:paraId="65AC2C1F">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13</w:t>
            </w:r>
            <w:r>
              <w:rPr>
                <w:rFonts w:hint="eastAsia" w:asciiTheme="majorEastAsia" w:hAnsiTheme="majorEastAsia" w:eastAsiaTheme="majorEastAsia"/>
                <w:color w:val="auto"/>
                <w:kern w:val="0"/>
                <w:szCs w:val="21"/>
              </w:rPr>
              <w:t>.票据管理：在HIS系统有独立的管理模块，实现预交金、结算票据线上申领、发放、使用、核销、作废、未使用票据退回等票据全流程管理，各流程节点工作人员设置相应权限，查询实现多条件查询单个、多位收费员所领发票全流程情况，实现查询单张发票的全流程情况。并与电子票据管理系统对接，完成票据存档等功能。</w:t>
            </w:r>
          </w:p>
          <w:p w14:paraId="7D7C4E05">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1</w:t>
            </w:r>
            <w:r>
              <w:rPr>
                <w:rFonts w:asciiTheme="majorEastAsia" w:hAnsiTheme="majorEastAsia" w:eastAsiaTheme="majorEastAsia"/>
                <w:color w:val="auto"/>
                <w:kern w:val="0"/>
                <w:szCs w:val="21"/>
              </w:rPr>
              <w:t>4</w:t>
            </w:r>
            <w:r>
              <w:rPr>
                <w:rFonts w:hint="eastAsia" w:asciiTheme="majorEastAsia" w:hAnsiTheme="majorEastAsia" w:eastAsiaTheme="majorEastAsia"/>
                <w:color w:val="auto"/>
                <w:kern w:val="0"/>
                <w:szCs w:val="21"/>
              </w:rPr>
              <w:t>.要求HIS系统能对接医院原有智能复核系统。</w:t>
            </w:r>
          </w:p>
          <w:p w14:paraId="59B397A9">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15.</w:t>
            </w:r>
            <w:r>
              <w:rPr>
                <w:rFonts w:hint="eastAsia" w:asciiTheme="majorEastAsia" w:hAnsiTheme="majorEastAsia" w:eastAsiaTheme="majorEastAsia"/>
                <w:color w:val="auto"/>
                <w:kern w:val="0"/>
                <w:szCs w:val="21"/>
                <w:lang w:val="en-US" w:eastAsia="zh-CN"/>
              </w:rPr>
              <w:t>实现</w:t>
            </w:r>
            <w:r>
              <w:rPr>
                <w:rFonts w:hint="eastAsia" w:asciiTheme="majorEastAsia" w:hAnsiTheme="majorEastAsia" w:eastAsiaTheme="majorEastAsia"/>
                <w:color w:val="auto"/>
                <w:kern w:val="0"/>
                <w:szCs w:val="21"/>
              </w:rPr>
              <w:t>与排队叫号系统</w:t>
            </w:r>
            <w:r>
              <w:rPr>
                <w:rFonts w:hint="eastAsia" w:asciiTheme="majorEastAsia" w:hAnsiTheme="majorEastAsia" w:eastAsiaTheme="majorEastAsia"/>
                <w:color w:val="auto"/>
                <w:kern w:val="0"/>
                <w:szCs w:val="21"/>
                <w:lang w:val="en-US" w:eastAsia="zh-CN"/>
              </w:rPr>
              <w:t>对接</w:t>
            </w:r>
            <w:r>
              <w:rPr>
                <w:rFonts w:hint="eastAsia" w:asciiTheme="majorEastAsia" w:hAnsiTheme="majorEastAsia" w:eastAsiaTheme="majorEastAsia"/>
                <w:color w:val="auto"/>
                <w:kern w:val="0"/>
                <w:szCs w:val="21"/>
              </w:rPr>
              <w:t>，在收费窗口可显示排队类型、患者姓名、科室、结算状态等信息。未达可出院结算状态的患者不允许取出院结算的号。</w:t>
            </w:r>
          </w:p>
          <w:p w14:paraId="7B97A55D">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16、收费员复核好病历，进入“预结”状态后，实现系统自动发送结算通知到患者手机，同时</w:t>
            </w:r>
            <w:r>
              <w:rPr>
                <w:rFonts w:hint="eastAsia" w:asciiTheme="majorEastAsia" w:hAnsiTheme="majorEastAsia" w:eastAsiaTheme="majorEastAsia"/>
                <w:color w:val="auto"/>
                <w:kern w:val="0"/>
                <w:szCs w:val="21"/>
                <w:lang w:val="en-US" w:eastAsia="zh-CN"/>
              </w:rPr>
              <w:t>在微信公众号上</w:t>
            </w:r>
            <w:r>
              <w:rPr>
                <w:rFonts w:hint="eastAsia" w:asciiTheme="majorEastAsia" w:hAnsiTheme="majorEastAsia" w:eastAsiaTheme="majorEastAsia"/>
                <w:color w:val="auto"/>
                <w:kern w:val="0"/>
                <w:szCs w:val="21"/>
              </w:rPr>
              <w:t>提示相应信息给患者。</w:t>
            </w:r>
          </w:p>
        </w:tc>
        <w:tc>
          <w:tcPr>
            <w:tcW w:w="379" w:type="pct"/>
            <w:tcBorders>
              <w:top w:val="single" w:color="auto" w:sz="4" w:space="0"/>
              <w:left w:val="single" w:color="auto" w:sz="4" w:space="0"/>
              <w:bottom w:val="single" w:color="auto" w:sz="4" w:space="0"/>
              <w:right w:val="single" w:color="auto" w:sz="4" w:space="0"/>
            </w:tcBorders>
            <w:vAlign w:val="center"/>
          </w:tcPr>
          <w:p w14:paraId="69E8740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bookmarkEnd w:id="14"/>
      <w:tr w14:paraId="27620F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4C47862">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FE67863">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住院出入转管理</w:t>
            </w:r>
          </w:p>
        </w:tc>
        <w:tc>
          <w:tcPr>
            <w:tcW w:w="3788" w:type="pct"/>
            <w:tcBorders>
              <w:top w:val="single" w:color="auto" w:sz="4" w:space="0"/>
              <w:left w:val="single" w:color="auto" w:sz="4" w:space="0"/>
              <w:bottom w:val="single" w:color="auto" w:sz="4" w:space="0"/>
              <w:right w:val="single" w:color="auto" w:sz="4" w:space="0"/>
            </w:tcBorders>
            <w:vAlign w:val="center"/>
          </w:tcPr>
          <w:p w14:paraId="322A4D3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6" w:name="住院患者入出转"/>
            <w:r>
              <w:rPr>
                <w:rFonts w:hint="eastAsia" w:cs="宋体" w:asciiTheme="majorEastAsia" w:hAnsiTheme="majorEastAsia" w:eastAsiaTheme="majorEastAsia"/>
                <w:color w:val="auto"/>
                <w:szCs w:val="21"/>
              </w:rPr>
              <w:t>住院患者入出转</w:t>
            </w:r>
            <w:bookmarkEnd w:id="16"/>
          </w:p>
          <w:p w14:paraId="1A9071E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实现患者办理入院、出院、转院等手续。具体功能包括：入院管理（入院登记、患者基本信息修改、患者身份变更、住院排队等）、出院管理、转院管理、查询统计等。</w:t>
            </w:r>
            <w:r>
              <w:rPr>
                <w:rFonts w:hint="eastAsia" w:cs="宋体" w:asciiTheme="majorEastAsia" w:hAnsiTheme="majorEastAsia" w:eastAsiaTheme="majorEastAsia"/>
                <w:color w:val="auto"/>
                <w:szCs w:val="21"/>
              </w:rPr>
              <w:t>实现线上预约住院，通过信息手段向患者推送住院等候信息，实现线上信息填报、押金缴纳、费用预缴、费用结算、病历打印等出入院手续。实现“全院一张床，多院区一张网”的收治模式。</w:t>
            </w:r>
          </w:p>
          <w:p w14:paraId="3FCEB5D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1）入院管理</w:t>
            </w:r>
          </w:p>
          <w:p w14:paraId="14A7E91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入院登记：对于首次住院的患者，应为患者完善基本信息，并建立入院档案生成住院号。入院登记时为病人分配条码或二维码，扫码后可显示该病人基本信息，用于后续检查、治疗时的身份确认及各种</w:t>
            </w:r>
            <w:r>
              <w:rPr>
                <w:rFonts w:cs="宋体" w:asciiTheme="majorEastAsia" w:hAnsiTheme="majorEastAsia" w:eastAsiaTheme="majorEastAsia"/>
                <w:color w:val="auto"/>
                <w:szCs w:val="21"/>
              </w:rPr>
              <w:t>治疗项目的</w:t>
            </w:r>
            <w:r>
              <w:rPr>
                <w:rFonts w:hint="eastAsia" w:cs="宋体" w:asciiTheme="majorEastAsia" w:hAnsiTheme="majorEastAsia" w:eastAsiaTheme="majorEastAsia"/>
                <w:color w:val="auto"/>
                <w:szCs w:val="21"/>
              </w:rPr>
              <w:t>实时确认。若为复诊患者，可通过患者主索引读取相关信息。对于尚未</w:t>
            </w:r>
            <w:r>
              <w:rPr>
                <w:rFonts w:cs="宋体" w:asciiTheme="majorEastAsia" w:hAnsiTheme="majorEastAsia" w:eastAsiaTheme="majorEastAsia"/>
                <w:color w:val="auto"/>
                <w:szCs w:val="21"/>
              </w:rPr>
              <w:t>进入</w:t>
            </w:r>
            <w:r>
              <w:rPr>
                <w:rFonts w:hint="eastAsia" w:cs="宋体" w:asciiTheme="majorEastAsia" w:hAnsiTheme="majorEastAsia" w:eastAsiaTheme="majorEastAsia"/>
                <w:color w:val="auto"/>
                <w:szCs w:val="21"/>
              </w:rPr>
              <w:t>病区的患者，可以修改病区。实现登记需要预约床位的患者。</w:t>
            </w:r>
          </w:p>
          <w:p w14:paraId="7B0F55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入院撤销：对尚未</w:t>
            </w:r>
            <w:r>
              <w:rPr>
                <w:rFonts w:cs="宋体" w:asciiTheme="majorEastAsia" w:hAnsiTheme="majorEastAsia" w:eastAsiaTheme="majorEastAsia"/>
                <w:color w:val="auto"/>
                <w:szCs w:val="21"/>
              </w:rPr>
              <w:t>进入</w:t>
            </w:r>
            <w:r>
              <w:rPr>
                <w:rFonts w:hint="eastAsia" w:cs="宋体" w:asciiTheme="majorEastAsia" w:hAnsiTheme="majorEastAsia" w:eastAsiaTheme="majorEastAsia"/>
                <w:color w:val="auto"/>
                <w:szCs w:val="21"/>
              </w:rPr>
              <w:t>病区的患者，可以取消患者的入院状态。如已分配了病区和床位，但没有发生实际费用，可由病区先办理出区，再做入院撤销。</w:t>
            </w:r>
          </w:p>
          <w:p w14:paraId="269ED49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2）出院管理</w:t>
            </w:r>
          </w:p>
          <w:p w14:paraId="5B9B05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患者结账：出院结算前，需病区开立出院证明。对于医保患者，在出院结算前应确保费用明细全部上传。实现取消结账的功能。</w:t>
            </w:r>
          </w:p>
          <w:p w14:paraId="4374D2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补记账：实现患者补记账功能，患者额外使用的材料或在医嘱执行时无法收费的项目可作补记账处理；实现对补记账记录作废的功能。</w:t>
            </w:r>
          </w:p>
          <w:p w14:paraId="40A8F79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出院患者账页：实现查询统计出院患者的费用账单，提供账单汇总信息以及账单明细的查询功能。</w:t>
            </w:r>
          </w:p>
          <w:p w14:paraId="5EB660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实现院内转科记录，如在某个科住院的时间段，以及次序等信息。办理出院时，实现在</w:t>
            </w:r>
            <w:r>
              <w:rPr>
                <w:rFonts w:cs="宋体" w:asciiTheme="majorEastAsia" w:hAnsiTheme="majorEastAsia" w:eastAsiaTheme="majorEastAsia"/>
                <w:color w:val="auto"/>
                <w:szCs w:val="21"/>
              </w:rPr>
              <w:t>相应</w:t>
            </w:r>
            <w:r>
              <w:rPr>
                <w:rFonts w:hint="eastAsia" w:cs="宋体" w:asciiTheme="majorEastAsia" w:hAnsiTheme="majorEastAsia" w:eastAsiaTheme="majorEastAsia"/>
                <w:color w:val="auto"/>
                <w:szCs w:val="21"/>
              </w:rPr>
              <w:t>治疗科室弹窗提醒其进行费用核算，以便及时处理康复治疗医嘱，</w:t>
            </w:r>
            <w:r>
              <w:rPr>
                <w:rFonts w:cs="宋体" w:asciiTheme="majorEastAsia" w:hAnsiTheme="majorEastAsia" w:eastAsiaTheme="majorEastAsia"/>
                <w:color w:val="auto"/>
                <w:szCs w:val="21"/>
              </w:rPr>
              <w:t>加快出院结算</w:t>
            </w:r>
            <w:r>
              <w:rPr>
                <w:rFonts w:hint="eastAsia" w:cs="宋体" w:asciiTheme="majorEastAsia" w:hAnsiTheme="majorEastAsia" w:eastAsiaTheme="majorEastAsia"/>
                <w:color w:val="auto"/>
                <w:szCs w:val="21"/>
              </w:rPr>
              <w:t>。</w:t>
            </w:r>
          </w:p>
          <w:p w14:paraId="41B1DB3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3）转院管理</w:t>
            </w:r>
          </w:p>
          <w:p w14:paraId="747A350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由患者所在科室经充分研判，或由患者和家属主动申请转院的，报请院内医务管理部门审批后提交上级主管部门批准，并提前与转入医院联系，征得同意后为患者办理转院手续。实现按时间、按部门、按医保类别等条件查询、统计转院患者信息。</w:t>
            </w:r>
          </w:p>
          <w:p w14:paraId="59BC33AC">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   4）转科管理</w:t>
            </w:r>
          </w:p>
          <w:p w14:paraId="7BD4677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办理转科时，实现在</w:t>
            </w:r>
            <w:r>
              <w:rPr>
                <w:rFonts w:cs="宋体" w:asciiTheme="majorEastAsia" w:hAnsiTheme="majorEastAsia" w:eastAsiaTheme="majorEastAsia"/>
                <w:color w:val="auto"/>
                <w:szCs w:val="21"/>
              </w:rPr>
              <w:t>相应</w:t>
            </w:r>
            <w:r>
              <w:rPr>
                <w:rFonts w:hint="eastAsia" w:cs="宋体" w:asciiTheme="majorEastAsia" w:hAnsiTheme="majorEastAsia" w:eastAsiaTheme="majorEastAsia"/>
                <w:color w:val="auto"/>
                <w:szCs w:val="21"/>
              </w:rPr>
              <w:t>检查</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治疗科室弹窗提醒其进行费用核算，以便及时处理相应</w:t>
            </w:r>
            <w:r>
              <w:rPr>
                <w:rFonts w:cs="宋体" w:asciiTheme="majorEastAsia" w:hAnsiTheme="majorEastAsia" w:eastAsiaTheme="majorEastAsia"/>
                <w:color w:val="auto"/>
                <w:szCs w:val="21"/>
              </w:rPr>
              <w:t>的检查及</w:t>
            </w:r>
            <w:r>
              <w:rPr>
                <w:rFonts w:hint="eastAsia" w:cs="宋体" w:asciiTheme="majorEastAsia" w:hAnsiTheme="majorEastAsia" w:eastAsiaTheme="majorEastAsia"/>
                <w:color w:val="auto"/>
                <w:szCs w:val="21"/>
              </w:rPr>
              <w:t>康复治疗医嘱，</w:t>
            </w:r>
            <w:r>
              <w:rPr>
                <w:rFonts w:cs="宋体" w:asciiTheme="majorEastAsia" w:hAnsiTheme="majorEastAsia" w:eastAsiaTheme="majorEastAsia"/>
                <w:color w:val="auto"/>
                <w:szCs w:val="21"/>
              </w:rPr>
              <w:t>加快</w:t>
            </w:r>
            <w:r>
              <w:rPr>
                <w:rFonts w:hint="eastAsia" w:cs="宋体" w:asciiTheme="majorEastAsia" w:hAnsiTheme="majorEastAsia" w:eastAsiaTheme="majorEastAsia"/>
                <w:color w:val="auto"/>
                <w:szCs w:val="21"/>
              </w:rPr>
              <w:t>转科</w:t>
            </w:r>
            <w:r>
              <w:rPr>
                <w:rFonts w:cs="宋体" w:asciiTheme="majorEastAsia" w:hAnsiTheme="majorEastAsia" w:eastAsiaTheme="majorEastAsia"/>
                <w:color w:val="auto"/>
                <w:szCs w:val="21"/>
              </w:rPr>
              <w:t>结算</w:t>
            </w:r>
            <w:r>
              <w:rPr>
                <w:rFonts w:hint="eastAsia" w:cs="宋体" w:asciiTheme="majorEastAsia" w:hAnsiTheme="majorEastAsia" w:eastAsiaTheme="majorEastAsia"/>
                <w:color w:val="auto"/>
                <w:szCs w:val="21"/>
              </w:rPr>
              <w:t>。</w:t>
            </w:r>
          </w:p>
          <w:p w14:paraId="2BF4E54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7" w:name="病区床位管理"/>
            <w:r>
              <w:rPr>
                <w:rFonts w:hint="eastAsia" w:cs="宋体" w:asciiTheme="majorEastAsia" w:hAnsiTheme="majorEastAsia" w:eastAsiaTheme="majorEastAsia"/>
                <w:color w:val="auto"/>
                <w:szCs w:val="21"/>
              </w:rPr>
              <w:t>病区床位管理</w:t>
            </w:r>
            <w:bookmarkEnd w:id="17"/>
          </w:p>
          <w:p w14:paraId="13D4E6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病区床位管理是根据患者性别、年龄、病情、病区床位周转等因素对床位进行合理化调配。具体功能包括：病区床位设置及维护、床位分配、床位等级管理、床位调整等。</w:t>
            </w:r>
          </w:p>
          <w:p w14:paraId="0F494B6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1）病区床位设置及维护</w:t>
            </w:r>
          </w:p>
          <w:p w14:paraId="3A5CF8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根据病区规模和学科特点设置和维护对应的床位数量和床位属性，包括床位编号、床位等级、床位费用、床位状态（包床、隔离等）、床位编制（编制内、编制外）、性别限制（男、女、不限）等。</w:t>
            </w:r>
          </w:p>
          <w:p w14:paraId="66DE41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2）床位等级管理</w:t>
            </w:r>
          </w:p>
          <w:p w14:paraId="4858F5E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对全院的床位等级进行集中管理，根据当地医疗服务价格管理规定维护不同等级床位的费用。提供床位等级设置、价格设置功能，以及床位等级调整、价格调整等功能。</w:t>
            </w:r>
          </w:p>
          <w:p w14:paraId="00849A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3）床位分配</w:t>
            </w:r>
          </w:p>
          <w:p w14:paraId="1CDEB01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除为患者分配床位外，还包括包房、加床等床位管理功能。</w:t>
            </w:r>
          </w:p>
          <w:p w14:paraId="2E5B13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4）床位调整</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3、全院一张床管理</w:t>
            </w:r>
          </w:p>
          <w:p w14:paraId="70A827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提供为患者调整床位的功能。患者在治疗期间，医生可根据患者的病情发展等因素对患者进行床位调整。</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实现了科室与病区的区分管理，同时设定了各病区的额定床位数，实现“预住院”管理，对于符合规定的择期手术患者，可以选择预住院方式。实现了床位的自动预分配。</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实时床位状态显示：</w:t>
            </w:r>
          </w:p>
          <w:p w14:paraId="7FC72B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系统应能实时展示医院内各个科室、病区的床位使用情况，包括空床、已预约、已占用等状态。</w:t>
            </w:r>
          </w:p>
          <w:p w14:paraId="7306824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允许用户根据科室、病区、床号等条件快速查询特定床位的状态。</w:t>
            </w:r>
          </w:p>
          <w:p w14:paraId="1420B3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床位预约与分配：</w:t>
            </w:r>
          </w:p>
          <w:p w14:paraId="2B35CE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实现在线床位预约功能，患者或医生可通过系统提交床位预约申请。</w:t>
            </w:r>
          </w:p>
          <w:p w14:paraId="0DB7E8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系统应能自动或根据预设规则分配床位，考虑病情、入院时间、科室需求等因素。</w:t>
            </w:r>
          </w:p>
          <w:p w14:paraId="4F0F6E1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分配结果应实时通知患者或医生，并实现分配结果的查询和修改。</w:t>
            </w:r>
          </w:p>
          <w:p w14:paraId="2C3AE7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床位调整与转床管理：</w:t>
            </w:r>
          </w:p>
          <w:p w14:paraId="6A87E96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当患者需要转科或转床时，系统应实现床位调整功能，确保患者信息的准确更新。</w:t>
            </w:r>
          </w:p>
          <w:p w14:paraId="2FAA9B4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系统应记录床位调整的原因、时间、执行人等信息，确保流程的可追溯性。</w:t>
            </w:r>
          </w:p>
          <w:p w14:paraId="1C14383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药品与物资管理功能</w:t>
            </w:r>
          </w:p>
          <w:p w14:paraId="4FF2E7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实时库存管理：</w:t>
            </w:r>
          </w:p>
          <w:p w14:paraId="2053C0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实现根据科室或病区的需求，自动生成药品和物资的配送订单。</w:t>
            </w:r>
          </w:p>
          <w:p w14:paraId="30F98A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药品与物资配送：</w:t>
            </w:r>
          </w:p>
          <w:p w14:paraId="5188DB4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实现根据科室或病区的需求，自动生成药品和物资的配送订单。</w:t>
            </w:r>
          </w:p>
          <w:p w14:paraId="3C6C9A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其他功能</w:t>
            </w:r>
          </w:p>
          <w:p w14:paraId="2F4DA1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患者信息管理：</w:t>
            </w:r>
          </w:p>
          <w:p w14:paraId="65538D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系统应能集成患者的基本信息、诊断信息、医嘱信息等，确保信息的完整性和一致性。</w:t>
            </w:r>
          </w:p>
          <w:p w14:paraId="1C974D4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统计分析：</w:t>
            </w:r>
          </w:p>
          <w:p w14:paraId="20BB7A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提供丰富的统计分析工具，对纳入“一张床”管理的患者实现查询，如床位使用率、周转率、药品和物资消耗情况等。</w:t>
            </w:r>
          </w:p>
          <w:p w14:paraId="1483AD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实现自定义报表生成，满足医院不同层级管理者的需求。</w:t>
            </w:r>
          </w:p>
          <w:p w14:paraId="2C9DBD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权限管理：</w:t>
            </w:r>
          </w:p>
          <w:p w14:paraId="29772F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设定严格的权限管理策略，确保只有授权人员才能访问和操作相关数据。</w:t>
            </w:r>
          </w:p>
          <w:p w14:paraId="217062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实现角色管理和用户管理功能，方便医院根据实际情况进行权限配置。</w:t>
            </w:r>
          </w:p>
          <w:p w14:paraId="03420C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系统日志与审计：</w:t>
            </w:r>
          </w:p>
          <w:p w14:paraId="5D343E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记录系统操作日志和用户访问记录，确保系统的安全性和可追溯性。</w:t>
            </w:r>
          </w:p>
          <w:p w14:paraId="10A5FD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实现与医院其他系统的互联互通，包含但不限于病案信息管理系统的。</w:t>
            </w:r>
          </w:p>
        </w:tc>
        <w:tc>
          <w:tcPr>
            <w:tcW w:w="379" w:type="pct"/>
            <w:tcBorders>
              <w:top w:val="single" w:color="auto" w:sz="4" w:space="0"/>
              <w:left w:val="single" w:color="auto" w:sz="4" w:space="0"/>
              <w:bottom w:val="single" w:color="auto" w:sz="4" w:space="0"/>
              <w:right w:val="single" w:color="auto" w:sz="4" w:space="0"/>
            </w:tcBorders>
            <w:vAlign w:val="center"/>
          </w:tcPr>
          <w:p w14:paraId="7EBF3ED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F75AD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5EB7B5E">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016A424">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住院医生工作站</w:t>
            </w:r>
          </w:p>
        </w:tc>
        <w:tc>
          <w:tcPr>
            <w:tcW w:w="3788" w:type="pct"/>
            <w:tcBorders>
              <w:top w:val="single" w:color="auto" w:sz="4" w:space="0"/>
              <w:left w:val="single" w:color="auto" w:sz="4" w:space="0"/>
              <w:bottom w:val="single" w:color="auto" w:sz="4" w:space="0"/>
              <w:right w:val="single" w:color="auto" w:sz="4" w:space="0"/>
            </w:tcBorders>
            <w:vAlign w:val="center"/>
          </w:tcPr>
          <w:p w14:paraId="5CBBE31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住院用药、检查、检验、手术、治疗、输血等医嘱管理。具体功能包括：医嘱录入、核对、作废、执行、医嘱模板管理、医嘱审核等。系统对接CDSS系统，通过患者问诊、初步检查、检验结果预测、推荐疑似诊断，并提供对应治疗方案。</w:t>
            </w:r>
          </w:p>
          <w:p w14:paraId="3ED491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1.医嘱录入</w:t>
            </w:r>
          </w:p>
          <w:p w14:paraId="57ECC653">
            <w:pPr>
              <w:spacing w:line="440" w:lineRule="exact"/>
              <w:ind w:firstLine="420" w:firstLineChars="20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长期医嘱和临时医嘱的录入功能。包括检查、检验、处方、治疗处置、卫生材料、手术、输血、护理、会诊、转科、出院等。增加医嘱项目名称模糊查询及自动联想功能。所有医嘱均提供备注，医生可以输入相关注意事项。医生权限管理，如处方权、抗生素分级管理、特殊药品（毒麻、精神类等）权限、手术权限等。毒麻、精神类等特殊药物有具体开具天数的弹框提示。合理用药功能，如药品剂量、药品相互作用、配伍禁忌、适应证等的自动提醒与检索功能。实现所有医嘱单和申请单打印、续打、补打等功能。实现查看检查项目（如CT、MR、B超）具体安排时间。</w:t>
            </w:r>
            <w:r>
              <w:rPr>
                <w:rFonts w:hint="eastAsia" w:asciiTheme="majorEastAsia" w:hAnsiTheme="majorEastAsia" w:eastAsiaTheme="majorEastAsia"/>
                <w:color w:val="auto"/>
                <w:szCs w:val="21"/>
              </w:rPr>
              <w:t>可对临时医嘱的执行顺序进行自定义排序。</w:t>
            </w:r>
            <w:r>
              <w:rPr>
                <w:rFonts w:hint="eastAsia" w:cs="宋体" w:asciiTheme="majorEastAsia" w:hAnsiTheme="majorEastAsia" w:eastAsiaTheme="majorEastAsia"/>
                <w:color w:val="auto"/>
                <w:kern w:val="0"/>
                <w:szCs w:val="21"/>
              </w:rPr>
              <w:t>实现对不合理收费控制提示功能，如超频次使用控制、收费与住院天数相匹配、项目费用互斥不能同时收取。</w:t>
            </w:r>
          </w:p>
          <w:p w14:paraId="0BF588B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2.医嘱核对</w:t>
            </w:r>
          </w:p>
          <w:p w14:paraId="7CB9FB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实现医护人员核对当前医嘱开立是否正确进行核对，核对无误后提交护士，护士接收医嘱后再次对医嘱进行审核确认。</w:t>
            </w:r>
          </w:p>
          <w:p w14:paraId="47D8F20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3.医嘱作废</w:t>
            </w:r>
          </w:p>
          <w:p w14:paraId="02F64EC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医生将根据患者病情情况进行医嘱的作废或停止操作，在医嘱的执行栏上标记“作废”或“停止”并有医生签名。医嘱作废或停止后，不能被执行。</w:t>
            </w:r>
          </w:p>
          <w:p w14:paraId="422BFA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4.医嘱执行</w:t>
            </w:r>
          </w:p>
          <w:p w14:paraId="6C44DF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相关部门接收并查询患者相关的检查、检验、诊断、处方、治疗处理、手术、输血、转科、出院等诊疗信息，以及相关的费用信息，在医嘱有效的状态下对医嘱进行执行操作。医嘱执行后，医生不能再对医嘱进行作废。医嘱执行时自动计费。</w:t>
            </w:r>
          </w:p>
          <w:p w14:paraId="31801B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5.医嘱模板管理</w:t>
            </w:r>
          </w:p>
          <w:p w14:paraId="2D51AA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提供医院、部门、医生常用的长期医嘱和临时医嘱模板和模板可视化管理、维护功能。提供编辑模板需要的临床项目字典等医嘱辅助知识库。</w:t>
            </w:r>
          </w:p>
          <w:p w14:paraId="5EAA08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6.医保政策提醒</w:t>
            </w:r>
          </w:p>
          <w:p w14:paraId="1F2839B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医生在开立医嘱的过程中，实现对相关医嘱项目的医保限制和自费项目的提醒功能，实现提醒后可继续开立医嘱。</w:t>
            </w:r>
          </w:p>
          <w:p w14:paraId="0D18A90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7.医嘱审核</w:t>
            </w:r>
          </w:p>
          <w:p w14:paraId="382FF039">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护士对所有医嘱进行审核确认，根据确认后的医嘱生成用药信息和医嘱执行单，记录医生姓名及时间。可根据医院管理需求，设置已确认的医嘱不得更改。设置紧急、一般两个等级的医嘱属性选择，对紧急医嘱设置优先提醒、优先处理功能。</w:t>
            </w:r>
          </w:p>
        </w:tc>
        <w:tc>
          <w:tcPr>
            <w:tcW w:w="379" w:type="pct"/>
            <w:tcBorders>
              <w:top w:val="single" w:color="auto" w:sz="4" w:space="0"/>
              <w:left w:val="single" w:color="auto" w:sz="4" w:space="0"/>
              <w:bottom w:val="single" w:color="auto" w:sz="4" w:space="0"/>
              <w:right w:val="single" w:color="auto" w:sz="4" w:space="0"/>
            </w:tcBorders>
            <w:vAlign w:val="center"/>
          </w:tcPr>
          <w:p w14:paraId="3CD88C1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CF15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70E52EB">
            <w:pPr>
              <w:spacing w:line="440" w:lineRule="exact"/>
              <w:jc w:val="left"/>
              <w:rPr>
                <w:rFonts w:cs="宋体" w:asciiTheme="majorEastAsia" w:hAnsiTheme="majorEastAsia" w:eastAsiaTheme="majorEastAsia"/>
                <w:color w:val="auto"/>
                <w:szCs w:val="21"/>
              </w:rPr>
            </w:pPr>
            <w:bookmarkStart w:id="18" w:name="住院医生工作站" w:colFirst="2" w:colLast="2"/>
          </w:p>
        </w:tc>
        <w:tc>
          <w:tcPr>
            <w:tcW w:w="380" w:type="pct"/>
            <w:tcBorders>
              <w:top w:val="single" w:color="auto" w:sz="4" w:space="0"/>
              <w:left w:val="single" w:color="auto" w:sz="4" w:space="0"/>
              <w:bottom w:val="single" w:color="auto" w:sz="4" w:space="0"/>
              <w:right w:val="single" w:color="auto" w:sz="4" w:space="0"/>
            </w:tcBorders>
            <w:vAlign w:val="center"/>
          </w:tcPr>
          <w:p w14:paraId="4BC7252E">
            <w:pPr>
              <w:spacing w:line="440" w:lineRule="exact"/>
              <w:jc w:val="center"/>
              <w:rPr>
                <w:rFonts w:cs="宋体" w:asciiTheme="majorEastAsia" w:hAnsiTheme="majorEastAsia" w:eastAsiaTheme="majorEastAsia"/>
                <w:color w:val="auto"/>
                <w:szCs w:val="21"/>
              </w:rPr>
            </w:pPr>
            <w:bookmarkStart w:id="19" w:name="住院护士工作站"/>
            <w:r>
              <w:rPr>
                <w:rFonts w:hint="eastAsia" w:cs="宋体" w:asciiTheme="majorEastAsia" w:hAnsiTheme="majorEastAsia" w:eastAsiaTheme="majorEastAsia"/>
                <w:color w:val="auto"/>
                <w:szCs w:val="21"/>
              </w:rPr>
              <w:t>住院护士工作站</w:t>
            </w:r>
            <w:bookmarkEnd w:id="19"/>
          </w:p>
        </w:tc>
        <w:tc>
          <w:tcPr>
            <w:tcW w:w="3788" w:type="pct"/>
            <w:tcBorders>
              <w:top w:val="single" w:color="auto" w:sz="4" w:space="0"/>
              <w:left w:val="single" w:color="auto" w:sz="4" w:space="0"/>
              <w:bottom w:val="single" w:color="auto" w:sz="4" w:space="0"/>
              <w:right w:val="single" w:color="auto" w:sz="4" w:space="0"/>
            </w:tcBorders>
            <w:vAlign w:val="center"/>
          </w:tcPr>
          <w:p w14:paraId="66AC4A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包括体温单、产程图、手术记录单、危重症护理记录单等录入及管理功能，以及医嘱执行功能。具体功能包括：护理记录智能生成及录入、信息引用（基本信息、检查检验信息、医嘱信息、术语词库、知识库等）、输入项验证、电子签名、智能提醒、模板管理、病历质控整改、医嘱集中管理等。</w:t>
            </w:r>
          </w:p>
          <w:p w14:paraId="705DE7F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20" w:name="护理记录自动生成以及录入"/>
            <w:r>
              <w:rPr>
                <w:rFonts w:hint="eastAsia" w:cs="宋体" w:asciiTheme="majorEastAsia" w:hAnsiTheme="majorEastAsia" w:eastAsiaTheme="majorEastAsia"/>
                <w:color w:val="auto"/>
                <w:szCs w:val="21"/>
              </w:rPr>
              <w:t>护理记录自动生成以及录入</w:t>
            </w:r>
            <w:bookmarkEnd w:id="20"/>
          </w:p>
          <w:p w14:paraId="3DD63F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根据护理规范，编辑维护护理记录模板，如体温单、血尿糖观察记录单、血压脉搏观察记录单等，实现结构化录入。实现各类专科的特殊表单录入功能，并实现表单的自定义。在录入的同时实现患者检索功能，并能补充患者相关信息，能插入图形图像，并对图形图像作标注，实现病历内容图文混编。</w:t>
            </w:r>
          </w:p>
          <w:p w14:paraId="50AF47E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护理记录批量录入。批量录入患者生命体征信息，按时间批量录入患者体温、脉搏、呼吸、血压、出入量，</w:t>
            </w:r>
            <w:r>
              <w:rPr>
                <w:rFonts w:cs="宋体" w:asciiTheme="majorEastAsia" w:hAnsiTheme="majorEastAsia" w:eastAsiaTheme="majorEastAsia"/>
                <w:color w:val="auto"/>
                <w:szCs w:val="21"/>
              </w:rPr>
              <w:t>及各类专科表单结果</w:t>
            </w:r>
            <w:r>
              <w:rPr>
                <w:rFonts w:hint="eastAsia" w:cs="宋体" w:asciiTheme="majorEastAsia" w:hAnsiTheme="majorEastAsia" w:eastAsiaTheme="majorEastAsia"/>
                <w:color w:val="auto"/>
                <w:szCs w:val="21"/>
              </w:rPr>
              <w:t>等。</w:t>
            </w:r>
          </w:p>
          <w:p w14:paraId="71D86E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护理记录自动生成。根据体温单自动生成护理记录单，并根据护理记录单自动生成体温单，具有自动生成体温、血压等曲线图的功能，并能用颜色区别。患者基本信息或诊断自动提取生成等。</w:t>
            </w:r>
          </w:p>
          <w:p w14:paraId="351383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21" w:name="信息引用"/>
            <w:r>
              <w:rPr>
                <w:rFonts w:hint="eastAsia" w:cs="宋体" w:asciiTheme="majorEastAsia" w:hAnsiTheme="majorEastAsia" w:eastAsiaTheme="majorEastAsia"/>
                <w:color w:val="auto"/>
                <w:szCs w:val="21"/>
              </w:rPr>
              <w:t>信息引用</w:t>
            </w:r>
            <w:bookmarkEnd w:id="21"/>
          </w:p>
          <w:p w14:paraId="55F711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从相关系统获取患者基本信息、患者诊断、入院情况等信息，并实现补充和修改。护士可根据病情描述需要，自主选择检查、检验报告数据，并将数据插入到记录中任意位置中。插入的元素包括文本报告和图形图像。</w:t>
            </w:r>
          </w:p>
          <w:p w14:paraId="750222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常用医学术语引用。通过辅助输入及智能联想书写方式，使用输入追踪的方式将医学术语快速地引用到护理记录。实现结构化术语、医学术语的个性化设置和维护。</w:t>
            </w:r>
          </w:p>
          <w:p w14:paraId="4EE154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知识库引用。将预先定义好的诊断知识库、医疗知识库、中医知识库以及专用的护理知识库等内容通过快速定位、输入追踪等方式插入到护理记录中。根据患者情况引用知识库的内容为护士录入提供临床决策支持，实现结构化术语、医学术语的个性化设置和维护。</w:t>
            </w:r>
          </w:p>
          <w:p w14:paraId="4F9754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22" w:name="输入项验证"/>
            <w:r>
              <w:rPr>
                <w:rFonts w:hint="eastAsia" w:cs="宋体" w:asciiTheme="majorEastAsia" w:hAnsiTheme="majorEastAsia" w:eastAsiaTheme="majorEastAsia"/>
                <w:color w:val="auto"/>
                <w:szCs w:val="21"/>
              </w:rPr>
              <w:t>输入项验证</w:t>
            </w:r>
            <w:bookmarkEnd w:id="22"/>
          </w:p>
          <w:p w14:paraId="22A1A10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在护理记录录入时，根据预先定义好的验证规则，对患者体征（体温、血压、呼吸）、诊断等进行验证。对于不合理或者错误的录入，自动给出验证结果并提示护士。</w:t>
            </w:r>
          </w:p>
          <w:p w14:paraId="28798E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23" w:name="消息智能提醒"/>
            <w:r>
              <w:rPr>
                <w:rFonts w:hint="eastAsia" w:cs="宋体" w:asciiTheme="majorEastAsia" w:hAnsiTheme="majorEastAsia" w:eastAsiaTheme="majorEastAsia"/>
                <w:color w:val="auto"/>
                <w:szCs w:val="21"/>
              </w:rPr>
              <w:t>消息智能提醒</w:t>
            </w:r>
            <w:bookmarkEnd w:id="23"/>
          </w:p>
          <w:p w14:paraId="2C87DCF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于护理记录必须书写的项目，但未进行录入或操作的自动提醒。针对危急值、压疮、跌倒/坠床、导管滑脱等不良事件上报等有灵活的消息发送、提醒功能。对紧急医嘱设置弹框或消息提醒功能，优先处理紧急医嘱。实现对护理管理部门重要工作安排和注意事项、护理记录病历质控的结果进行提醒。管理部门对护理记录质量问题通过消息进行提醒和交互，以此实现对病历质量的闭环管理。</w:t>
            </w:r>
          </w:p>
          <w:p w14:paraId="7D37E3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5、模板管理</w:t>
            </w:r>
          </w:p>
          <w:p w14:paraId="2F0805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提供模板设置和维护，模板批量导入导出、删除和共享权限设置，实现对结构化模板进行编辑与元素自定义。</w:t>
            </w:r>
          </w:p>
          <w:p w14:paraId="2F2454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模板权限设置，在使用护理记录模板的过程中，采用三级模板控制权限，限制护士对护理记录模板的修改权。模板可按院级模板、部门模板、个人模板等权限形式进行配置。</w:t>
            </w:r>
          </w:p>
          <w:p w14:paraId="6433648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24" w:name="护理质量管理质控"/>
            <w:r>
              <w:rPr>
                <w:rFonts w:hint="eastAsia" w:cs="宋体" w:asciiTheme="majorEastAsia" w:hAnsiTheme="majorEastAsia" w:eastAsiaTheme="majorEastAsia"/>
                <w:color w:val="auto"/>
                <w:szCs w:val="21"/>
              </w:rPr>
              <w:t>护理质量管理质控</w:t>
            </w:r>
            <w:bookmarkEnd w:id="24"/>
          </w:p>
          <w:p w14:paraId="4547A5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端质控。对护理记录质量问题以消息形式提示护士；护士通过点击消息快速查看问题记录的缺陷情况。自动定位缺陷位置，便于护士的及时修改；护士在护理记录录入时，能根据护理质量验证规则对输入项目进行验证及提醒。</w:t>
            </w:r>
          </w:p>
          <w:p w14:paraId="215C38EC">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管理质控。护理管理部门或护士根据护理管理部门质控要求，对重点患者进行筛查管理和质量统计分析（如：危重患者、围术期患者、院内感染患者、高度跌倒风险患者等），并将问题以消息的形式发送给护士。</w:t>
            </w:r>
            <w:r>
              <w:rPr>
                <w:rFonts w:hint="eastAsia" w:cs="宋体" w:asciiTheme="majorEastAsia" w:hAnsiTheme="majorEastAsia" w:eastAsiaTheme="majorEastAsia"/>
                <w:color w:val="auto"/>
                <w:szCs w:val="21"/>
              </w:rPr>
              <w:t>具备实时查看各病区各指标数据的功能。</w:t>
            </w:r>
          </w:p>
          <w:p w14:paraId="78FB99F1">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具备</w:t>
            </w:r>
            <w:r>
              <w:rPr>
                <w:rFonts w:hint="eastAsia" w:cs="宋体" w:asciiTheme="majorEastAsia" w:hAnsiTheme="majorEastAsia" w:eastAsiaTheme="majorEastAsia"/>
                <w:color w:val="auto"/>
                <w:szCs w:val="21"/>
                <w:lang w:val="en-US" w:eastAsia="zh-CN"/>
              </w:rPr>
              <w:t>有</w:t>
            </w:r>
            <w:r>
              <w:rPr>
                <w:rFonts w:hint="eastAsia" w:cs="宋体" w:asciiTheme="majorEastAsia" w:hAnsiTheme="majorEastAsia" w:eastAsiaTheme="majorEastAsia"/>
                <w:color w:val="auto"/>
                <w:szCs w:val="21"/>
              </w:rPr>
              <w:t>门诊、住院、护理、药品、人力资源、财务管理等方面的指标库，其来源于专家调研以及项目实践中的更新。具备护理敏感指标数据的收集功能，各指标数据根据相应医嘱自动生成，可按时间、类别等方式进行统计并打印。支持自动统计护士每日工作量，包括输液量、口腔护理量、插胃管、插尿管、PICC维护、危重患者护理量、气管切开换药等日常护理工作内容。</w:t>
            </w:r>
          </w:p>
          <w:p w14:paraId="18BA8AC3">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提供数据填报页面手工录入业务数据。包括模板构建、指标录入和指标审核三个模块。 </w:t>
            </w:r>
          </w:p>
          <w:p w14:paraId="24B9E895">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（1）模板构建：支持动态选择需要录入的指标，选择公共维度，配置模板名称； </w:t>
            </w:r>
          </w:p>
          <w:p w14:paraId="03E13BBD">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（2）指标录入：支持对单维度和多维度模板的指标录入，支持模板导入导出功能，用户能使用 excel 进行数据录入； </w:t>
            </w:r>
          </w:p>
          <w:p w14:paraId="1BBABCD6">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（3）指标审核：支持对指标数据的确认、编辑功能。</w:t>
            </w:r>
          </w:p>
          <w:p w14:paraId="31422F07">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满足医院对于指标数据的统计对比需求，如同比、环比、百分比等，将指标库中的指标分为普通型指标和计算型指标。普通型指标可以直接从业务系统的数据库中采集入库，进行展示；计算型指标是在普通型指标的基础上，对普通型指标进行一定的计算，将计算来的数据进行展示。</w:t>
            </w:r>
          </w:p>
          <w:p w14:paraId="08DFE7C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指标中心的维度表示指标的统计维度。指标中心的维度库中包括时间、科室、人员、手术、药品、疾病等维度。支持对维度的增加、修改、删除操作，支持对每个维度中维度字典项的增加、修改、删除操作。</w:t>
            </w:r>
          </w:p>
          <w:p w14:paraId="6A7714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25" w:name="护理记录归档封存"/>
            <w:r>
              <w:rPr>
                <w:rFonts w:hint="eastAsia" w:cs="宋体" w:asciiTheme="majorEastAsia" w:hAnsiTheme="majorEastAsia" w:eastAsiaTheme="majorEastAsia"/>
                <w:color w:val="auto"/>
                <w:szCs w:val="21"/>
              </w:rPr>
              <w:t>护理记录归档封存</w:t>
            </w:r>
            <w:bookmarkEnd w:id="25"/>
          </w:p>
          <w:p w14:paraId="553BE4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护理记录归档。自动或由管理人员手工对护理记录进行归档处理，归档后的护理记录只能进行浏览。</w:t>
            </w:r>
          </w:p>
          <w:p w14:paraId="254C6E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护理记录封存。护理记录封存后，没有封存权限的用户无法查看。</w:t>
            </w:r>
          </w:p>
          <w:p w14:paraId="7971C2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护理记录解档。护士如需借阅，可以通过系统申请借阅归档病历，管理部门审核解档，解档病历按照医院病历权限可以设置不允许修改、不允许打印、只能浏览等权限。</w:t>
            </w:r>
          </w:p>
          <w:p w14:paraId="00A4D5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bookmarkStart w:id="26" w:name="护理记录统计"/>
            <w:r>
              <w:rPr>
                <w:rFonts w:hint="eastAsia" w:cs="宋体" w:asciiTheme="majorEastAsia" w:hAnsiTheme="majorEastAsia" w:eastAsiaTheme="majorEastAsia"/>
                <w:color w:val="auto"/>
                <w:szCs w:val="21"/>
              </w:rPr>
              <w:t>护理记录统计</w:t>
            </w:r>
            <w:bookmarkEnd w:id="26"/>
          </w:p>
          <w:p w14:paraId="32B7CA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符合医院护理管理部门、职能管理人员要求的统计护士工作量、危重患者情况、压疮评分、护理质量情况、分类等报表。报表形式能够以柱状图、折线图等多种方式灵活呈现，对所有的查询数据都实现导出打印功能。</w:t>
            </w:r>
          </w:p>
          <w:p w14:paraId="6695B03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w:t>
            </w:r>
            <w:bookmarkStart w:id="27" w:name="护理记录打印"/>
            <w:r>
              <w:rPr>
                <w:rFonts w:hint="eastAsia" w:cs="宋体" w:asciiTheme="majorEastAsia" w:hAnsiTheme="majorEastAsia" w:eastAsiaTheme="majorEastAsia"/>
                <w:color w:val="auto"/>
                <w:szCs w:val="21"/>
              </w:rPr>
              <w:t>护理记录打印</w:t>
            </w:r>
            <w:bookmarkEnd w:id="27"/>
          </w:p>
          <w:p w14:paraId="249878D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对护理记录能进行自动排版，应当统一纸张、字体、字号及排版格式。打印字迹应清楚易认，符合病历保存期限和复印的要求。实现整体打印、选择打印和续打功能。</w:t>
            </w:r>
          </w:p>
          <w:p w14:paraId="7ECC77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10、医嘱集中管理</w:t>
            </w:r>
          </w:p>
          <w:p w14:paraId="57DA9807">
            <w:pPr>
              <w:spacing w:line="440" w:lineRule="exact"/>
              <w:ind w:firstLine="420" w:firstLineChars="200"/>
              <w:rPr>
                <w:rFonts w:hint="eastAsia"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具备医嘱集中工作台功能，包括医嘱核对</w:t>
            </w:r>
            <w:r>
              <w:rPr>
                <w:rFonts w:hint="eastAsia" w:cs="宋体" w:asciiTheme="majorEastAsia" w:hAnsiTheme="majorEastAsia" w:eastAsiaTheme="majorEastAsia"/>
                <w:color w:val="auto"/>
                <w:kern w:val="0"/>
                <w:szCs w:val="21"/>
              </w:rPr>
              <w:t>执行</w:t>
            </w:r>
            <w:r>
              <w:rPr>
                <w:rFonts w:cs="宋体" w:asciiTheme="majorEastAsia" w:hAnsiTheme="majorEastAsia" w:eastAsiaTheme="majorEastAsia"/>
                <w:color w:val="auto"/>
                <w:kern w:val="0"/>
                <w:szCs w:val="21"/>
              </w:rPr>
              <w:t>、医嘱发送、单据打印、记账、费用核对查询等，实现医嘱和费用的关联，便于查询和核对。</w:t>
            </w:r>
          </w:p>
          <w:p w14:paraId="4CA8F3D6">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11、药品医嘱执行</w:t>
            </w:r>
          </w:p>
          <w:p w14:paraId="180DFCB8">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护士站负责对医生开立的医嘱进行校对、执行等操作，护士医嘱执行后，才能实行相关诊疗行为，同时医嘱执行时可以对患者进行费用处理，药品医嘱的执行主要包括但不仅限于以下的功能，具体功能说明如下：</w:t>
            </w:r>
          </w:p>
          <w:p w14:paraId="29A259D7">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医嘱校对管理：对新开立的医嘱进行审核，临时医嘱审核后产生执行数据，并发送到药房、医技等终端部门。</w:t>
            </w:r>
          </w:p>
          <w:p w14:paraId="2608A1EB">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医嘱执行管理：对校对过的医嘱进行执行，通过医嘱执行，生成病区的药品摆药单，护士根据药品摆药单去住院药房进行取药，同时打印出药房的摆药单。</w:t>
            </w:r>
          </w:p>
          <w:p w14:paraId="145C7D88">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医嘱分解管理：对审核过的长期医嘱，按照频次分解出执行数据，并发送到药房、医技等终端部门。</w:t>
            </w:r>
          </w:p>
          <w:p w14:paraId="661A5B2B">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护士站药品退费：支持对药品医嘱生成退药申请，生成退药申请后，由药房进行退药确认，退药确认完成后完成患者的退费</w:t>
            </w:r>
          </w:p>
          <w:p w14:paraId="4881588C">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护士站资料维护：对维护病床信息、附材信息、执行单、收费套餐、科室常用项目等信息的维护，支持统计某个时段附加耗材的明细及统计用量，并能打印报表。</w:t>
            </w:r>
          </w:p>
          <w:p w14:paraId="0541E0F9">
            <w:pPr>
              <w:spacing w:line="440" w:lineRule="exact"/>
              <w:ind w:firstLine="420" w:firstLineChars="200"/>
              <w:rPr>
                <w:rFonts w:cs="宋体" w:asciiTheme="majorEastAsia" w:hAnsiTheme="majorEastAsia" w:eastAsiaTheme="majorEastAsia"/>
                <w:color w:val="auto"/>
                <w:szCs w:val="21"/>
              </w:rPr>
            </w:pPr>
          </w:p>
          <w:p w14:paraId="0551525C">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    12、非药品医嘱执行</w:t>
            </w:r>
          </w:p>
          <w:p w14:paraId="32E362A4">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护士站负责对医生开立的医嘱进行校对、执行等操作，护士医嘱执行后，才能实行相关诊疗行为，同时医嘱执行时可以对患者进行费用处理，药品医嘱的执行主要包括但不仅限于以下的功能，具体功能说明如下：</w:t>
            </w:r>
          </w:p>
          <w:p w14:paraId="59DC72CD">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医嘱校对管理：对新开立的医嘱进行审核，临时医嘱审核后产生执行数据，并发送到药房、医技等终端部门。</w:t>
            </w:r>
          </w:p>
          <w:p w14:paraId="3541FF0D">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医嘱执行管理：对校对过的医嘱进行执行，通过医嘱执行，对患者进行预存款扣费，生成患者的费用明细。 支持医嘱相关耗材执行收费后立即删减物资系统相应的耗材。病区大输液余量不足时或者更换厂家或规格时自动弹出提示。</w:t>
            </w:r>
          </w:p>
          <w:p w14:paraId="3E08DFE9">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护士站资料维护：对维护病床信息、附材信息、执行单、收费套餐、科室常用项目等信息的维护。</w:t>
            </w:r>
          </w:p>
          <w:p w14:paraId="1120F53A">
            <w:pPr>
              <w:spacing w:line="440" w:lineRule="exact"/>
              <w:ind w:firstLine="420" w:firstLineChars="200"/>
              <w:rPr>
                <w:rFonts w:hint="eastAsia"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日常护理工作内容，包括但不限于特/一级、病危、病重、绝对卧床、24小时出入量、测血压（分频次）、测血糖（分时段）、输氧、气切护理、病灶冲洗、引流、各类换药、导管护理、电刺激治疗、远红外线照射等长期和临时的非药品医嘱可按护理工作需要进行提取（实时更新），并支持一览表整体或分类打印或导出功能。</w:t>
            </w:r>
          </w:p>
          <w:p w14:paraId="55F5DB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检验、检查、治疗项目分类打印。</w:t>
            </w:r>
          </w:p>
        </w:tc>
        <w:tc>
          <w:tcPr>
            <w:tcW w:w="379" w:type="pct"/>
            <w:tcBorders>
              <w:top w:val="single" w:color="auto" w:sz="4" w:space="0"/>
              <w:left w:val="single" w:color="auto" w:sz="4" w:space="0"/>
              <w:bottom w:val="single" w:color="auto" w:sz="4" w:space="0"/>
              <w:right w:val="single" w:color="auto" w:sz="4" w:space="0"/>
            </w:tcBorders>
            <w:vAlign w:val="center"/>
          </w:tcPr>
          <w:p w14:paraId="10ADF185">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bookmarkEnd w:id="18"/>
      <w:tr w14:paraId="68A7D8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79C069A9">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392D830">
            <w:pPr>
              <w:spacing w:line="440" w:lineRule="exact"/>
              <w:jc w:val="left"/>
              <w:rPr>
                <w:rFonts w:cs="宋体" w:asciiTheme="majorEastAsia" w:hAnsiTheme="majorEastAsia" w:eastAsiaTheme="majorEastAsia"/>
                <w:color w:val="auto"/>
                <w:szCs w:val="21"/>
              </w:rPr>
            </w:pPr>
            <w:bookmarkStart w:id="28" w:name="医技计费管理系统"/>
            <w:r>
              <w:rPr>
                <w:rFonts w:hint="eastAsia" w:cs="宋体" w:asciiTheme="majorEastAsia" w:hAnsiTheme="majorEastAsia" w:eastAsiaTheme="majorEastAsia"/>
                <w:color w:val="auto"/>
                <w:szCs w:val="21"/>
              </w:rPr>
              <w:t>医技计费管理系统</w:t>
            </w:r>
            <w:bookmarkEnd w:id="28"/>
          </w:p>
        </w:tc>
        <w:tc>
          <w:tcPr>
            <w:tcW w:w="3788" w:type="pct"/>
            <w:tcBorders>
              <w:top w:val="single" w:color="auto" w:sz="4" w:space="0"/>
              <w:left w:val="single" w:color="auto" w:sz="4" w:space="0"/>
              <w:bottom w:val="single" w:color="auto" w:sz="4" w:space="0"/>
              <w:right w:val="single" w:color="auto" w:sz="4" w:space="0"/>
            </w:tcBorders>
            <w:vAlign w:val="center"/>
          </w:tcPr>
          <w:p w14:paraId="39168D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实现为门诊、住院检验科、门诊治疗室及其所属各组检查功能科室、治疗、理疗室等科室提供申请单、费用管理（录入、退费申请、分级审核）等，具备以下功能：</w:t>
            </w:r>
          </w:p>
          <w:p w14:paraId="59875AA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1、能接收医生站的各种功能单据（或自己补开功能单据），进行扣费与结果登记；</w:t>
            </w:r>
          </w:p>
          <w:p w14:paraId="25862112">
            <w:pPr>
              <w:spacing w:line="440" w:lineRule="exact"/>
              <w:ind w:firstLine="420" w:firstLineChars="200"/>
              <w:rPr>
                <w:rFonts w:cs="宋体" w:asciiTheme="majorEastAsia" w:hAnsiTheme="majorEastAsia" w:eastAsiaTheme="majorEastAsia"/>
                <w:color w:val="auto"/>
                <w:szCs w:val="21"/>
              </w:rPr>
            </w:pPr>
            <w:r>
              <w:rPr>
                <w:rFonts w:asciiTheme="majorEastAsia" w:hAnsiTheme="majorEastAsia" w:eastAsiaTheme="majorEastAsia"/>
                <w:color w:val="auto"/>
                <w:kern w:val="0"/>
                <w:szCs w:val="21"/>
              </w:rPr>
              <w:t>2</w:t>
            </w:r>
            <w:r>
              <w:rPr>
                <w:rFonts w:hint="eastAsia" w:asciiTheme="majorEastAsia" w:hAnsiTheme="majorEastAsia" w:eastAsiaTheme="majorEastAsia"/>
                <w:color w:val="auto"/>
                <w:kern w:val="0"/>
                <w:szCs w:val="21"/>
              </w:rPr>
              <w:t>、实现对临床科室医技请求补录项目功能；</w:t>
            </w:r>
          </w:p>
          <w:p w14:paraId="62BAE0AB">
            <w:pPr>
              <w:spacing w:line="440" w:lineRule="exact"/>
              <w:ind w:firstLine="420" w:firstLineChars="200"/>
              <w:rPr>
                <w:rFonts w:cs="宋体" w:asciiTheme="majorEastAsia" w:hAnsiTheme="majorEastAsia" w:eastAsiaTheme="majorEastAsia"/>
                <w:color w:val="auto"/>
                <w:szCs w:val="21"/>
              </w:rPr>
            </w:pPr>
            <w:r>
              <w:rPr>
                <w:rFonts w:asciiTheme="majorEastAsia" w:hAnsiTheme="majorEastAsia" w:eastAsiaTheme="majorEastAsia"/>
                <w:color w:val="auto"/>
                <w:szCs w:val="21"/>
              </w:rPr>
              <w:t>3</w:t>
            </w:r>
            <w:r>
              <w:rPr>
                <w:rFonts w:hint="eastAsia" w:asciiTheme="majorEastAsia" w:hAnsiTheme="majorEastAsia" w:eastAsiaTheme="majorEastAsia"/>
                <w:color w:val="auto"/>
                <w:szCs w:val="21"/>
              </w:rPr>
              <w:t>、实现住院医技退费、门诊医技取消确认功能；</w:t>
            </w:r>
          </w:p>
          <w:p w14:paraId="1D8DEA62">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、可进行台账查询与工作量统计；</w:t>
            </w:r>
          </w:p>
          <w:p w14:paraId="7EE41AA9">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、实现接收医生站的手术申请并根据手术申请进行麻醉安排、手术排台、排台信息反馈等功能；</w:t>
            </w:r>
          </w:p>
          <w:p w14:paraId="777ABE63">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、手术麻醉医师能根据手术麻醉系统及住院临床电子病历进行手术医嘱、手术病历的下达、手麻事件的记录；</w:t>
            </w:r>
          </w:p>
          <w:p w14:paraId="01039CE9">
            <w:pPr>
              <w:spacing w:line="440" w:lineRule="exact"/>
              <w:ind w:firstLine="420" w:firstLineChars="200"/>
              <w:rPr>
                <w:rFonts w:asciiTheme="majorEastAsia" w:hAnsiTheme="majorEastAsia" w:eastAsiaTheme="majorEastAsia"/>
                <w:color w:val="auto"/>
                <w:kern w:val="0"/>
                <w:szCs w:val="21"/>
              </w:rPr>
            </w:pPr>
            <w:r>
              <w:rPr>
                <w:rFonts w:cs="宋体" w:asciiTheme="majorEastAsia" w:hAnsiTheme="majorEastAsia" w:eastAsiaTheme="majorEastAsia"/>
                <w:color w:val="auto"/>
                <w:szCs w:val="21"/>
              </w:rPr>
              <w:t>7</w:t>
            </w:r>
            <w:r>
              <w:rPr>
                <w:rFonts w:hint="eastAsia" w:cs="宋体" w:asciiTheme="majorEastAsia" w:hAnsiTheme="majorEastAsia" w:eastAsiaTheme="majorEastAsia"/>
                <w:color w:val="auto"/>
                <w:szCs w:val="21"/>
              </w:rPr>
              <w:t>、实现麻醉护理人员完成手术事件的护理和管理记录。</w:t>
            </w:r>
          </w:p>
        </w:tc>
        <w:tc>
          <w:tcPr>
            <w:tcW w:w="379" w:type="pct"/>
            <w:tcBorders>
              <w:top w:val="single" w:color="auto" w:sz="4" w:space="0"/>
              <w:left w:val="single" w:color="auto" w:sz="4" w:space="0"/>
              <w:bottom w:val="single" w:color="auto" w:sz="4" w:space="0"/>
              <w:right w:val="single" w:color="auto" w:sz="4" w:space="0"/>
            </w:tcBorders>
            <w:vAlign w:val="center"/>
          </w:tcPr>
          <w:p w14:paraId="0370D01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A9B4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6DE697D9">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6495F32E">
            <w:pPr>
              <w:spacing w:line="440" w:lineRule="exact"/>
              <w:jc w:val="center"/>
              <w:rPr>
                <w:rFonts w:cs="宋体" w:asciiTheme="majorEastAsia" w:hAnsiTheme="majorEastAsia" w:eastAsiaTheme="majorEastAsia"/>
                <w:color w:val="auto"/>
                <w:szCs w:val="21"/>
              </w:rPr>
            </w:pPr>
            <w:bookmarkStart w:id="29" w:name="医技电子申请单系统"/>
            <w:r>
              <w:rPr>
                <w:rFonts w:hint="eastAsia" w:cs="宋体" w:asciiTheme="majorEastAsia" w:hAnsiTheme="majorEastAsia" w:eastAsiaTheme="majorEastAsia"/>
                <w:color w:val="auto"/>
                <w:szCs w:val="21"/>
              </w:rPr>
              <w:t>医技电子申请单系统</w:t>
            </w:r>
            <w:bookmarkEnd w:id="29"/>
          </w:p>
        </w:tc>
        <w:tc>
          <w:tcPr>
            <w:tcW w:w="3788" w:type="pct"/>
            <w:tcBorders>
              <w:top w:val="single" w:color="auto" w:sz="4" w:space="0"/>
              <w:left w:val="single" w:color="auto" w:sz="4" w:space="0"/>
              <w:bottom w:val="single" w:color="auto" w:sz="4" w:space="0"/>
              <w:right w:val="single" w:color="auto" w:sz="4" w:space="0"/>
            </w:tcBorders>
            <w:vAlign w:val="center"/>
          </w:tcPr>
          <w:p w14:paraId="2F1FC87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对检验申请、检查申请、手术申请、治疗申请、病理申请、输血申请、放疗申请、会诊申请、转院申请等，实现智能开单、推送、接收、查询、反馈等管理。</w:t>
            </w:r>
          </w:p>
          <w:p w14:paraId="3516180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具体功能包括：申请单录入、申请单与医嘱关键信息交互、医嘱自动生成申请单、病史及疾病诊断信息调用、申请项目智能组合、检查检验危急值推送与提醒、模板管理、条码管理、打印等。</w:t>
            </w:r>
          </w:p>
          <w:p w14:paraId="4C6F33D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30" w:name="申请单录入"/>
            <w:r>
              <w:rPr>
                <w:rFonts w:hint="eastAsia" w:cs="宋体" w:asciiTheme="majorEastAsia" w:hAnsiTheme="majorEastAsia" w:eastAsiaTheme="majorEastAsia"/>
                <w:color w:val="auto"/>
                <w:szCs w:val="21"/>
              </w:rPr>
              <w:t>申请单录入</w:t>
            </w:r>
            <w:bookmarkEnd w:id="30"/>
          </w:p>
          <w:p w14:paraId="30AA965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住院申请单录入，包括检验申请、检查申请、手术申请、治疗申请、病理申请、输血申请、放疗申请、会诊申请、转院申请、入院申请等申请单的开立、保存、修改和删除等。实现常用项目快捷选择，实现注意事项提醒，实现智能控制前置必做项目，实现申请单中必填项目内容的提醒。</w:t>
            </w:r>
          </w:p>
          <w:p w14:paraId="523700D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31" w:name="医嘱与申请单的交互"/>
            <w:r>
              <w:rPr>
                <w:rFonts w:hint="eastAsia" w:cs="宋体" w:asciiTheme="majorEastAsia" w:hAnsiTheme="majorEastAsia" w:eastAsiaTheme="majorEastAsia"/>
                <w:color w:val="auto"/>
                <w:szCs w:val="21"/>
              </w:rPr>
              <w:t>医嘱与申请单的交互</w:t>
            </w:r>
            <w:bookmarkEnd w:id="31"/>
          </w:p>
          <w:p w14:paraId="6A6B2D6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根据医嘱信息按照申请单模板自动生成对应的申请单，或根据申请单内容自动生成医嘱。未执行申请单允许作废，同时作废医嘱。</w:t>
            </w:r>
          </w:p>
          <w:p w14:paraId="1F4A3CA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32" w:name="病史及疾病诊断信息调用"/>
            <w:r>
              <w:rPr>
                <w:rFonts w:hint="eastAsia" w:cs="宋体" w:asciiTheme="majorEastAsia" w:hAnsiTheme="majorEastAsia" w:eastAsiaTheme="majorEastAsia"/>
                <w:color w:val="auto"/>
                <w:szCs w:val="21"/>
              </w:rPr>
              <w:t>病史及疾病诊断信息调用</w:t>
            </w:r>
            <w:bookmarkEnd w:id="32"/>
          </w:p>
          <w:p w14:paraId="10D3927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根据预先设置的申请单模板，实现调用患者基本信息、患者病史、疾病诊断、相关的历次报告等信息。</w:t>
            </w:r>
          </w:p>
          <w:p w14:paraId="204BBB6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33" w:name="申请项目智能组合"/>
            <w:r>
              <w:rPr>
                <w:rFonts w:hint="eastAsia" w:cs="宋体" w:asciiTheme="majorEastAsia" w:hAnsiTheme="majorEastAsia" w:eastAsiaTheme="majorEastAsia"/>
                <w:color w:val="auto"/>
                <w:szCs w:val="21"/>
              </w:rPr>
              <w:t>申请项目智能组合</w:t>
            </w:r>
            <w:bookmarkEnd w:id="33"/>
          </w:p>
          <w:p w14:paraId="508B158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根据申请检验项目、标本类型及检验分组等信息，智能组合并自动计算检验附加费；根据申请检查项目的执行部门、部位等信息，智能组合并自动计算检查费用。</w:t>
            </w:r>
          </w:p>
          <w:p w14:paraId="7EE5F3B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34" w:name="模板管理"/>
            <w:r>
              <w:rPr>
                <w:rFonts w:hint="eastAsia" w:cs="宋体" w:asciiTheme="majorEastAsia" w:hAnsiTheme="majorEastAsia" w:eastAsiaTheme="majorEastAsia"/>
                <w:color w:val="auto"/>
                <w:szCs w:val="21"/>
              </w:rPr>
              <w:t>模板管理</w:t>
            </w:r>
            <w:bookmarkEnd w:id="34"/>
          </w:p>
          <w:p w14:paraId="6728B13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提供检验申请、检查申请、手术申请、治疗申请、病理申请、输血申请、放疗申请、会诊申请、转院申请、入院申请等常见申请单模板，提供各模板常用项目维护管理。</w:t>
            </w:r>
          </w:p>
          <w:p w14:paraId="143D82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35" w:name="条码管理"/>
            <w:r>
              <w:rPr>
                <w:rFonts w:hint="eastAsia" w:cs="宋体" w:asciiTheme="majorEastAsia" w:hAnsiTheme="majorEastAsia" w:eastAsiaTheme="majorEastAsia"/>
                <w:color w:val="auto"/>
                <w:szCs w:val="21"/>
              </w:rPr>
              <w:t>条码管理</w:t>
            </w:r>
            <w:bookmarkEnd w:id="35"/>
          </w:p>
          <w:p w14:paraId="3611BB0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提供申请单条码管理功能，申请单保存时自动生成条码，通过条码实现申请单和标本条码的管理，并实现申请单的流转、状态与定位。</w:t>
            </w:r>
          </w:p>
          <w:p w14:paraId="10FB47E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36" w:name="申请单查询"/>
            <w:r>
              <w:rPr>
                <w:rFonts w:hint="eastAsia" w:cs="宋体" w:asciiTheme="majorEastAsia" w:hAnsiTheme="majorEastAsia" w:eastAsiaTheme="majorEastAsia"/>
                <w:color w:val="auto"/>
                <w:szCs w:val="21"/>
              </w:rPr>
              <w:t>申请单查询</w:t>
            </w:r>
            <w:bookmarkEnd w:id="36"/>
          </w:p>
          <w:p w14:paraId="5BC591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根据用户权限提供医生、护士、医技人员实时查看单个申请单的流转、状态、执行反馈和收费等相关信息和申请单相关统计信息。</w:t>
            </w:r>
          </w:p>
        </w:tc>
        <w:tc>
          <w:tcPr>
            <w:tcW w:w="379" w:type="pct"/>
            <w:tcBorders>
              <w:top w:val="single" w:color="auto" w:sz="4" w:space="0"/>
              <w:left w:val="single" w:color="auto" w:sz="4" w:space="0"/>
              <w:bottom w:val="single" w:color="auto" w:sz="4" w:space="0"/>
              <w:right w:val="single" w:color="auto" w:sz="4" w:space="0"/>
            </w:tcBorders>
            <w:vAlign w:val="center"/>
          </w:tcPr>
          <w:p w14:paraId="7B7E9695">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866E8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98C81BC">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FCB0BC6">
            <w:pPr>
              <w:spacing w:line="440" w:lineRule="exact"/>
              <w:jc w:val="left"/>
              <w:rPr>
                <w:rFonts w:cs="宋体" w:asciiTheme="majorEastAsia" w:hAnsiTheme="majorEastAsia" w:eastAsiaTheme="majorEastAsia"/>
                <w:color w:val="auto"/>
                <w:szCs w:val="21"/>
              </w:rPr>
            </w:pPr>
            <w:bookmarkStart w:id="37" w:name="手术计费管理系统"/>
            <w:r>
              <w:rPr>
                <w:rFonts w:hint="eastAsia" w:cs="宋体" w:asciiTheme="majorEastAsia" w:hAnsiTheme="majorEastAsia" w:eastAsiaTheme="majorEastAsia"/>
                <w:color w:val="auto"/>
                <w:szCs w:val="21"/>
              </w:rPr>
              <w:t>手术计费管理系统</w:t>
            </w:r>
            <w:bookmarkEnd w:id="37"/>
          </w:p>
        </w:tc>
        <w:tc>
          <w:tcPr>
            <w:tcW w:w="3788" w:type="pct"/>
            <w:tcBorders>
              <w:top w:val="single" w:color="auto" w:sz="4" w:space="0"/>
              <w:left w:val="single" w:color="auto" w:sz="4" w:space="0"/>
              <w:bottom w:val="single" w:color="auto" w:sz="4" w:space="0"/>
              <w:right w:val="single" w:color="auto" w:sz="4" w:space="0"/>
            </w:tcBorders>
            <w:vAlign w:val="center"/>
          </w:tcPr>
          <w:p w14:paraId="096F76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计费系统是指专用于住院病人手术与麻醉的申请、审批、安排以及术后有关信息的记录和跟踪等功能的计算机应用程序。医院手术、麻醉的安排是一个复杂的过程，合理、有效、安全的手术、麻醉管理能有效保证医院手术的正常进行。实现与手术麻醉信息系统对接，为门诊、病区的手术申请进行审核、手术排台、人员安排及调整、麻醉安排与调整，术中术后用药、麻醉用药、手术情况登记与计费、麻醉情况登记及计费，手术器械的领用与归还，手术麻醉的退药与退费，手术随访；手术室本身的配置管理；提供各类收入的统计查询等功能。</w:t>
            </w:r>
          </w:p>
        </w:tc>
        <w:tc>
          <w:tcPr>
            <w:tcW w:w="379" w:type="pct"/>
            <w:tcBorders>
              <w:top w:val="single" w:color="auto" w:sz="4" w:space="0"/>
              <w:left w:val="single" w:color="auto" w:sz="4" w:space="0"/>
              <w:bottom w:val="single" w:color="auto" w:sz="4" w:space="0"/>
              <w:right w:val="single" w:color="auto" w:sz="4" w:space="0"/>
            </w:tcBorders>
            <w:vAlign w:val="center"/>
          </w:tcPr>
          <w:p w14:paraId="697E59F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BB826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674028C">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7D94511">
            <w:pPr>
              <w:spacing w:line="440" w:lineRule="exact"/>
              <w:jc w:val="center"/>
              <w:rPr>
                <w:rFonts w:cs="宋体" w:asciiTheme="majorEastAsia" w:hAnsiTheme="majorEastAsia" w:eastAsiaTheme="majorEastAsia"/>
                <w:color w:val="auto"/>
                <w:szCs w:val="21"/>
              </w:rPr>
            </w:pPr>
            <w:bookmarkStart w:id="38" w:name="危急值管理系统"/>
            <w:r>
              <w:rPr>
                <w:rFonts w:hint="eastAsia" w:cs="宋体" w:asciiTheme="majorEastAsia" w:hAnsiTheme="majorEastAsia" w:eastAsiaTheme="majorEastAsia"/>
                <w:color w:val="auto"/>
                <w:szCs w:val="21"/>
              </w:rPr>
              <w:t>危急值管理系统</w:t>
            </w:r>
            <w:bookmarkEnd w:id="38"/>
          </w:p>
        </w:tc>
        <w:tc>
          <w:tcPr>
            <w:tcW w:w="3788" w:type="pct"/>
            <w:tcBorders>
              <w:top w:val="single" w:color="auto" w:sz="4" w:space="0"/>
              <w:left w:val="single" w:color="auto" w:sz="4" w:space="0"/>
              <w:bottom w:val="single" w:color="auto" w:sz="4" w:space="0"/>
              <w:right w:val="single" w:color="auto" w:sz="4" w:space="0"/>
            </w:tcBorders>
            <w:vAlign w:val="center"/>
          </w:tcPr>
          <w:p w14:paraId="46DA8B1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患者的检查、检验结果出现表明患者可能正处于有生命危险的边缘状态时，可对危急值数据进行智能提醒并及时将检验、检查信息通知于临床科室医生，提示临床医生迅速给予患者有效的干预措施或治疗，并对危急值传报过程实现全流程追溯。具体功能包括：危急值设定、自动筛查、消息通知、临床干预反馈、危急值追溯等。</w:t>
            </w:r>
          </w:p>
          <w:p w14:paraId="6773F1C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1、危急值设定</w:t>
            </w:r>
          </w:p>
          <w:p w14:paraId="08C6BEF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实现在检查、检验等系统中设定危急检验项目表与制定危急界限值，并可对危急项目表、危急界限值进行定期总结分析，根据分析结果可增加、删除、修改危急检验项目及危急界限值。</w:t>
            </w:r>
          </w:p>
          <w:p w14:paraId="4CD569D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2、自动筛查</w:t>
            </w:r>
          </w:p>
          <w:p w14:paraId="2FEDFB0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当检查、检验结果达到或超过危急值界限时，实现自动筛查出危急值，并提醒技师进行危急值复核，经复核确认为危急值后，即刻审核发布。如复核可能有样本、试剂、操作等影响因素时，可取消危急值提醒，但需即刻通知临床科室重新取样送检或检查。</w:t>
            </w:r>
          </w:p>
          <w:p w14:paraId="5DFEF44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3、消息通知</w:t>
            </w:r>
          </w:p>
          <w:p w14:paraId="07A5051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通过短信、系统消息、电话等多种方式进行危急值提醒和通知，通知内容包括患者病案号、姓名、科室、危急值结果等信息。监控电子病历系统是否在5小时内完成危急值报告记录，若未完成则使用电话和系统弹框强提醒。</w:t>
            </w:r>
          </w:p>
          <w:p w14:paraId="3424C0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4、临床干预反馈</w:t>
            </w:r>
          </w:p>
          <w:p w14:paraId="058819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在接收到危急值通知后，在规定时间内做出对患者处置的诊疗意见，进行危急值处理登记，结束危急值通知，结束危急值通知后即刻对危急值记录进行质控（质控记录数值是否正确、处理方式与医嘱是否匹配、时限是否6小时内），如有缺陷及时通知医生整改。如在规定时间内没有危急值的处置反馈，危急值消息则按管理部门规定的流程通知发送给上级医生、科主任、主管院长等相关人员，直至完成危急值处理登记。如医生复查确认危急值报告结果不当，可通知医技部门相关人员取消危急值报告。</w:t>
            </w:r>
          </w:p>
          <w:p w14:paraId="304BA6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5、危急值追溯</w:t>
            </w:r>
          </w:p>
          <w:p w14:paraId="0163602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各临床科室、医技科室按照危急值管理部门的相关规定，对危急值处理的过程和相关信息</w:t>
            </w:r>
            <w:r>
              <w:rPr>
                <w:rFonts w:cs="宋体" w:asciiTheme="majorEastAsia" w:hAnsiTheme="majorEastAsia" w:eastAsiaTheme="majorEastAsia"/>
                <w:color w:val="auto"/>
                <w:szCs w:val="21"/>
              </w:rPr>
              <w:t>作</w:t>
            </w:r>
            <w:r>
              <w:rPr>
                <w:rFonts w:hint="eastAsia" w:cs="宋体" w:asciiTheme="majorEastAsia" w:hAnsiTheme="majorEastAsia" w:eastAsiaTheme="majorEastAsia"/>
                <w:color w:val="auto"/>
                <w:szCs w:val="21"/>
              </w:rPr>
              <w:t>详细记录，实现危急值管理部门对危急值传报全流程进行追溯。</w:t>
            </w:r>
          </w:p>
          <w:p w14:paraId="4518A6F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6、具体流程由医院根据实际需要设定。</w:t>
            </w:r>
          </w:p>
        </w:tc>
        <w:tc>
          <w:tcPr>
            <w:tcW w:w="379" w:type="pct"/>
            <w:tcBorders>
              <w:top w:val="single" w:color="auto" w:sz="4" w:space="0"/>
              <w:left w:val="single" w:color="auto" w:sz="4" w:space="0"/>
              <w:bottom w:val="single" w:color="auto" w:sz="4" w:space="0"/>
              <w:right w:val="single" w:color="auto" w:sz="4" w:space="0"/>
            </w:tcBorders>
            <w:vAlign w:val="center"/>
          </w:tcPr>
          <w:p w14:paraId="2D32FE07">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4CF5CB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0C1B8B18">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B497DC9">
            <w:pPr>
              <w:spacing w:line="440" w:lineRule="exact"/>
              <w:jc w:val="left"/>
              <w:rPr>
                <w:rFonts w:cs="宋体" w:asciiTheme="majorEastAsia" w:hAnsiTheme="majorEastAsia" w:eastAsiaTheme="majorEastAsia"/>
                <w:color w:val="auto"/>
                <w:szCs w:val="21"/>
              </w:rPr>
            </w:pPr>
            <w:bookmarkStart w:id="39" w:name="治疗信息系统"/>
            <w:r>
              <w:rPr>
                <w:rFonts w:hint="eastAsia" w:cs="宋体" w:asciiTheme="majorEastAsia" w:hAnsiTheme="majorEastAsia" w:eastAsiaTheme="majorEastAsia"/>
                <w:color w:val="auto"/>
                <w:szCs w:val="21"/>
              </w:rPr>
              <w:t>治疗信息系统</w:t>
            </w:r>
            <w:bookmarkEnd w:id="39"/>
          </w:p>
        </w:tc>
        <w:tc>
          <w:tcPr>
            <w:tcW w:w="3788" w:type="pct"/>
            <w:tcBorders>
              <w:top w:val="single" w:color="auto" w:sz="4" w:space="0"/>
              <w:left w:val="single" w:color="auto" w:sz="4" w:space="0"/>
              <w:bottom w:val="single" w:color="auto" w:sz="4" w:space="0"/>
              <w:right w:val="single" w:color="auto" w:sz="4" w:space="0"/>
            </w:tcBorders>
            <w:vAlign w:val="center"/>
          </w:tcPr>
          <w:p w14:paraId="402EDB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治疗信息系统实现医院所有治疗科室使用，包含但不限于语言治疗、保健治疗、推拿治疗、物理治疗、作业治疗、理疗、针灸治疗、高频治疗、血透、高压氧等治疗科室。具体功能如下：</w:t>
            </w:r>
          </w:p>
          <w:p w14:paraId="181ACF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治疗系统能够通过网络接收到临床科室（如门诊、病房）所提出的治疗申请，治疗科室的医生可以对治疗方法与计划为临床提供会诊意见并将治疗的计划与安排通知临床科室。治疗过程的记录、治疗结果的信息不仅在实施治疗的科室使用，还需要与临床科室共享这些信息。医师工作站或者医技系统下达的治疗申请、预约、记录数据能够与其他科室、收费部门共享。治疗科室的医师针对治疗方法与计划为临床提供会诊意见，并将治疗的计划与安排通知临床科室。治疗记录与治疗信息能共享给临床科室。</w:t>
            </w:r>
          </w:p>
          <w:p w14:paraId="6A17F8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治疗系统对于已经安排定期治疗实现进行提醒，包括提醒治疗科室提前做好准备，提醒患者治疗的时间，提醒临床科室安排引导与护送患者等等。对下达的治疗申请，具有自动预约功能，行频率后，能自动计算出下次的执行治疗时间。对需要治疗的病人提醒临床和治疗室，提前做好准备。</w:t>
            </w:r>
          </w:p>
          <w:p w14:paraId="2C3323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可采用数据集成方式或界面集成方式。临床医生在门诊医生站、病房医生等系统中能够查询到负责患者的治疗师姓名以及治疗的情况。或者在临床医生使用的计算机上启动治疗科室提供的数据查询程序访问治疗安排和治疗记录或在计算机的浏览器上进入治疗科室系统网站访问入口查询数据。治疗数据通过数据集成方式供其他系统调用。在治疗系统中也能调阅病人的相关病历，在临床的门诊或者住院工作站中能够查询到治疗的安排情况及治疗结果的情况。</w:t>
            </w:r>
          </w:p>
          <w:p w14:paraId="007EB4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具有数据交换接口，能将治疗科室产生的治疗记录，供全院需要的科室共享访问。临床、检查科室、其他治疗科室和医院的管理机关等部门都有条件利用治疗安排、治疗记录信息做好对患者的诊治计划，提供更加优质、高效地进行医疗服务。</w:t>
            </w:r>
          </w:p>
          <w:p w14:paraId="347D5C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所有的治疗记录实现统一的管理模式下实现检索和访问，治疗记录通过治疗系统完成，临床医护工作站通过医院细腻平台共享所有治疗记录，与普通病历统一管理。医护人员可查看历次治疗的完整记录，包括治疗的用药、检查等。</w:t>
            </w:r>
          </w:p>
          <w:p w14:paraId="5EA75E0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治疗系统能够根据患者的临床诊断、检查与检验结果等信息，结合知识库和治疗规则或模板自动为医生提供治疗方案或治疗参数的提示。根据病人诊断、检查结果、检验结果等情况自动给出治疗的推荐方案，供医生参考。如病人一氧化碳中毒后，医生下达高压氧治疗时，能推荐预先设定好的治疗方案。</w:t>
            </w:r>
          </w:p>
          <w:p w14:paraId="2A17574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治疗过程的各个环节可监控和记录，质控系统中能查看治疗全过程数据，每一步的执行者执行时间等，实现全流程的监控。治疗科室能将治疗的过程共享给其他部门，在出现意外情况时医院能够及时掌握情况、组织应急救治的力量。临床科室也可以通过对治疗过程的实时了解，为后续的治疗做好准备。</w:t>
            </w:r>
          </w:p>
          <w:p w14:paraId="43B1C3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8、医技系统对高风险治疗有警示核查，能结合病人的诊断、年龄等信息进行综合判断。如患者有血液类疾病，若进行分米波治疗，能通过知识库判断，给予警示和合理性的核查；</w:t>
            </w:r>
            <w:r>
              <w:rPr>
                <w:rFonts w:cs="宋体" w:asciiTheme="majorEastAsia" w:hAnsiTheme="majorEastAsia" w:eastAsiaTheme="majorEastAsia"/>
                <w:color w:val="auto"/>
                <w:szCs w:val="21"/>
              </w:rPr>
              <w:t>若患者有多重耐药菌感染、深静脉血栓形成</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恶性</w:t>
            </w:r>
            <w:r>
              <w:rPr>
                <w:rFonts w:hint="eastAsia" w:cs="宋体" w:asciiTheme="majorEastAsia" w:hAnsiTheme="majorEastAsia" w:eastAsiaTheme="majorEastAsia"/>
                <w:color w:val="auto"/>
                <w:szCs w:val="21"/>
              </w:rPr>
              <w:t>肿瘤、</w:t>
            </w:r>
            <w:r>
              <w:rPr>
                <w:rFonts w:cs="宋体" w:asciiTheme="majorEastAsia" w:hAnsiTheme="majorEastAsia" w:eastAsiaTheme="majorEastAsia"/>
                <w:color w:val="auto"/>
                <w:szCs w:val="21"/>
              </w:rPr>
              <w:t>安装</w:t>
            </w:r>
            <w:r>
              <w:rPr>
                <w:rFonts w:hint="eastAsia" w:cs="宋体" w:asciiTheme="majorEastAsia" w:hAnsiTheme="majorEastAsia" w:eastAsiaTheme="majorEastAsia"/>
                <w:color w:val="auto"/>
                <w:szCs w:val="21"/>
              </w:rPr>
              <w:t>心脏起搏器</w:t>
            </w:r>
            <w:r>
              <w:rPr>
                <w:rFonts w:cs="宋体" w:asciiTheme="majorEastAsia" w:hAnsiTheme="majorEastAsia" w:eastAsiaTheme="majorEastAsia"/>
                <w:color w:val="auto"/>
                <w:szCs w:val="21"/>
              </w:rPr>
              <w:t>等情况，也可给予警示和合理性的核查</w:t>
            </w:r>
            <w:r>
              <w:rPr>
                <w:rFonts w:hint="eastAsia" w:cs="宋体" w:asciiTheme="majorEastAsia" w:hAnsiTheme="majorEastAsia" w:eastAsiaTheme="majorEastAsia"/>
                <w:color w:val="auto"/>
                <w:szCs w:val="21"/>
              </w:rPr>
              <w:t>。</w:t>
            </w:r>
          </w:p>
          <w:p w14:paraId="3753039F">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9</w:t>
            </w:r>
            <w:r>
              <w:rPr>
                <w:rFonts w:hint="eastAsia" w:asciiTheme="majorEastAsia" w:hAnsiTheme="majorEastAsia" w:eastAsiaTheme="majorEastAsia"/>
                <w:color w:val="auto"/>
                <w:kern w:val="0"/>
                <w:szCs w:val="21"/>
              </w:rPr>
              <w:t>、能按科室、时间段等查询各科、各治疗室、各患者的治疗项目情况。</w:t>
            </w:r>
            <w:r>
              <w:rPr>
                <w:rFonts w:hint="eastAsia" w:asciiTheme="majorEastAsia" w:hAnsiTheme="majorEastAsia" w:eastAsiaTheme="majorEastAsia"/>
                <w:color w:val="auto"/>
                <w:szCs w:val="21"/>
              </w:rPr>
              <w:t>提供全院各医技科室检查人次、治疗人次、医生工作量等统计报表</w:t>
            </w:r>
          </w:p>
          <w:p w14:paraId="785A97FD">
            <w:pPr>
              <w:spacing w:line="440" w:lineRule="exact"/>
              <w:ind w:firstLine="420" w:firstLineChars="200"/>
              <w:rPr>
                <w:rFonts w:cs="宋体"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10、能</w:t>
            </w:r>
            <w:r>
              <w:rPr>
                <w:rFonts w:hint="eastAsia" w:cs="宋体" w:asciiTheme="majorEastAsia" w:hAnsiTheme="majorEastAsia" w:eastAsiaTheme="majorEastAsia"/>
                <w:color w:val="auto"/>
                <w:kern w:val="0"/>
                <w:szCs w:val="21"/>
              </w:rPr>
              <w:t>书写并记录治疗评估单，提供符合国际ICF标准的评定量表。具体量表数量根据医院实际需要在维保期内免费提供</w:t>
            </w:r>
            <w:r>
              <w:rPr>
                <w:rFonts w:cs="宋体" w:asciiTheme="majorEastAsia" w:hAnsiTheme="majorEastAsia" w:eastAsiaTheme="majorEastAsia"/>
                <w:color w:val="auto"/>
                <w:kern w:val="0"/>
                <w:szCs w:val="21"/>
              </w:rPr>
              <w:t>。</w:t>
            </w:r>
          </w:p>
          <w:p w14:paraId="5811DBE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11</w:t>
            </w:r>
            <w:r>
              <w:rPr>
                <w:rFonts w:hint="eastAsia" w:asciiTheme="majorEastAsia" w:hAnsiTheme="majorEastAsia" w:eastAsiaTheme="majorEastAsia"/>
                <w:color w:val="auto"/>
                <w:szCs w:val="21"/>
              </w:rPr>
              <w:t>、门诊</w:t>
            </w:r>
            <w:r>
              <w:rPr>
                <w:rFonts w:asciiTheme="majorEastAsia" w:hAnsiTheme="majorEastAsia" w:eastAsiaTheme="majorEastAsia"/>
                <w:color w:val="auto"/>
                <w:szCs w:val="21"/>
              </w:rPr>
              <w:t>、住院</w:t>
            </w:r>
            <w:r>
              <w:rPr>
                <w:rFonts w:hint="eastAsia" w:asciiTheme="majorEastAsia" w:hAnsiTheme="majorEastAsia" w:eastAsiaTheme="majorEastAsia"/>
                <w:color w:val="auto"/>
                <w:szCs w:val="21"/>
              </w:rPr>
              <w:t>患者</w:t>
            </w:r>
            <w:r>
              <w:rPr>
                <w:rFonts w:asciiTheme="majorEastAsia" w:hAnsiTheme="majorEastAsia" w:eastAsiaTheme="majorEastAsia"/>
                <w:color w:val="auto"/>
                <w:szCs w:val="21"/>
              </w:rPr>
              <w:t>到各治疗区进行治疗时，可扫</w:t>
            </w:r>
            <w:r>
              <w:rPr>
                <w:rFonts w:hint="eastAsia" w:asciiTheme="majorEastAsia" w:hAnsiTheme="majorEastAsia" w:eastAsiaTheme="majorEastAsia"/>
                <w:color w:val="auto"/>
                <w:szCs w:val="21"/>
              </w:rPr>
              <w:t>患者</w:t>
            </w:r>
            <w:r>
              <w:rPr>
                <w:rFonts w:asciiTheme="majorEastAsia" w:hAnsiTheme="majorEastAsia" w:eastAsiaTheme="majorEastAsia"/>
                <w:color w:val="auto"/>
                <w:szCs w:val="21"/>
              </w:rPr>
              <w:t>腕带</w:t>
            </w:r>
            <w:r>
              <w:rPr>
                <w:rFonts w:hint="eastAsia" w:asciiTheme="majorEastAsia" w:hAnsiTheme="majorEastAsia" w:eastAsiaTheme="majorEastAsia"/>
                <w:color w:val="auto"/>
                <w:szCs w:val="21"/>
              </w:rPr>
              <w:t>身份条码（或</w:t>
            </w:r>
            <w:r>
              <w:rPr>
                <w:rFonts w:asciiTheme="majorEastAsia" w:hAnsiTheme="majorEastAsia" w:eastAsiaTheme="majorEastAsia"/>
                <w:color w:val="auto"/>
                <w:szCs w:val="21"/>
              </w:rPr>
              <w:t>二维码</w:t>
            </w:r>
            <w:r>
              <w:rPr>
                <w:rFonts w:hint="eastAsia" w:asciiTheme="majorEastAsia" w:hAnsiTheme="majorEastAsia" w:eastAsiaTheme="majorEastAsia"/>
                <w:color w:val="auto"/>
                <w:szCs w:val="21"/>
              </w:rPr>
              <w:t>）完成</w:t>
            </w:r>
            <w:r>
              <w:rPr>
                <w:rFonts w:asciiTheme="majorEastAsia" w:hAnsiTheme="majorEastAsia" w:eastAsiaTheme="majorEastAsia"/>
                <w:color w:val="auto"/>
                <w:szCs w:val="21"/>
              </w:rPr>
              <w:t>治疗登记、</w:t>
            </w:r>
            <w:r>
              <w:rPr>
                <w:rFonts w:hint="eastAsia" w:asciiTheme="majorEastAsia" w:hAnsiTheme="majorEastAsia" w:eastAsiaTheme="majorEastAsia"/>
                <w:color w:val="auto"/>
                <w:szCs w:val="21"/>
              </w:rPr>
              <w:t>治疗</w:t>
            </w:r>
            <w:r>
              <w:rPr>
                <w:rFonts w:asciiTheme="majorEastAsia" w:hAnsiTheme="majorEastAsia" w:eastAsiaTheme="majorEastAsia"/>
                <w:color w:val="auto"/>
                <w:szCs w:val="21"/>
              </w:rPr>
              <w:t>确认，并生</w:t>
            </w:r>
            <w:r>
              <w:rPr>
                <w:rFonts w:hint="eastAsia" w:asciiTheme="majorEastAsia" w:hAnsiTheme="majorEastAsia" w:eastAsiaTheme="majorEastAsia"/>
                <w:color w:val="auto"/>
                <w:szCs w:val="21"/>
              </w:rPr>
              <w:t>成</w:t>
            </w:r>
            <w:r>
              <w:rPr>
                <w:rFonts w:asciiTheme="majorEastAsia" w:hAnsiTheme="majorEastAsia" w:eastAsiaTheme="majorEastAsia"/>
                <w:color w:val="auto"/>
                <w:szCs w:val="21"/>
              </w:rPr>
              <w:t>后台治疗执行凭据，以备治疗真实性</w:t>
            </w:r>
            <w:r>
              <w:rPr>
                <w:rFonts w:hint="eastAsia" w:asciiTheme="majorEastAsia" w:hAnsiTheme="majorEastAsia" w:eastAsiaTheme="majorEastAsia"/>
                <w:color w:val="auto"/>
                <w:szCs w:val="21"/>
              </w:rPr>
              <w:t>核查</w:t>
            </w:r>
            <w:r>
              <w:rPr>
                <w:rFonts w:asciiTheme="majorEastAsia" w:hAnsiTheme="majorEastAsia" w:eastAsiaTheme="majorEastAsia"/>
                <w:color w:val="auto"/>
                <w:szCs w:val="21"/>
              </w:rPr>
              <w:t>。</w:t>
            </w:r>
          </w:p>
          <w:p w14:paraId="6D1A1823">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szCs w:val="21"/>
              </w:rPr>
              <w:t>12、</w:t>
            </w:r>
            <w:r>
              <w:rPr>
                <w:rFonts w:asciiTheme="majorEastAsia" w:hAnsiTheme="majorEastAsia" w:eastAsiaTheme="majorEastAsia"/>
                <w:color w:val="auto"/>
                <w:szCs w:val="21"/>
              </w:rPr>
              <w:t>能将医保检查所存在的例如治疗项目禁忌、治疗次数限制、项目间开具冲突等问题形成重要弹窗提醒；</w:t>
            </w:r>
          </w:p>
          <w:p w14:paraId="78AAB8CE">
            <w:pPr>
              <w:spacing w:line="440" w:lineRule="exact"/>
              <w:ind w:firstLine="420" w:firstLineChars="200"/>
              <w:rPr>
                <w:rFonts w:cs="宋体" w:asciiTheme="majorEastAsia" w:hAnsiTheme="majorEastAsia" w:eastAsiaTheme="majorEastAsia"/>
                <w:color w:val="auto"/>
                <w:szCs w:val="21"/>
              </w:rPr>
            </w:pPr>
            <w:r>
              <w:rPr>
                <w:rFonts w:hint="eastAsia" w:asciiTheme="majorEastAsia" w:hAnsiTheme="majorEastAsia" w:eastAsiaTheme="majorEastAsia"/>
                <w:color w:val="auto"/>
                <w:szCs w:val="21"/>
              </w:rPr>
              <w:t>13、患者办理出院及转科时，医师可对治疗科室进行费用核算的弹窗提醒，以便及时处理康复治疗医嘱。</w:t>
            </w:r>
          </w:p>
        </w:tc>
        <w:tc>
          <w:tcPr>
            <w:tcW w:w="379" w:type="pct"/>
            <w:tcBorders>
              <w:top w:val="single" w:color="auto" w:sz="4" w:space="0"/>
              <w:left w:val="single" w:color="auto" w:sz="4" w:space="0"/>
              <w:bottom w:val="single" w:color="auto" w:sz="4" w:space="0"/>
              <w:right w:val="single" w:color="auto" w:sz="4" w:space="0"/>
            </w:tcBorders>
            <w:vAlign w:val="center"/>
          </w:tcPr>
          <w:p w14:paraId="32587440">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33D72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AC8DBA4">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C0208C7">
            <w:pPr>
              <w:spacing w:line="440" w:lineRule="exact"/>
              <w:jc w:val="left"/>
              <w:rPr>
                <w:rFonts w:cs="宋体" w:asciiTheme="majorEastAsia" w:hAnsiTheme="majorEastAsia" w:eastAsiaTheme="majorEastAsia"/>
                <w:color w:val="auto"/>
                <w:szCs w:val="21"/>
              </w:rPr>
            </w:pPr>
            <w:bookmarkStart w:id="40" w:name="门诊发药管理系统"/>
            <w:r>
              <w:rPr>
                <w:rFonts w:hint="eastAsia" w:cs="宋体" w:asciiTheme="majorEastAsia" w:hAnsiTheme="majorEastAsia" w:eastAsiaTheme="majorEastAsia"/>
                <w:color w:val="auto"/>
                <w:szCs w:val="21"/>
              </w:rPr>
              <w:t>门诊发药管理系统</w:t>
            </w:r>
            <w:bookmarkEnd w:id="40"/>
          </w:p>
        </w:tc>
        <w:tc>
          <w:tcPr>
            <w:tcW w:w="3788" w:type="pct"/>
            <w:tcBorders>
              <w:top w:val="single" w:color="auto" w:sz="4" w:space="0"/>
              <w:left w:val="single" w:color="auto" w:sz="4" w:space="0"/>
              <w:bottom w:val="single" w:color="auto" w:sz="4" w:space="0"/>
              <w:right w:val="single" w:color="auto" w:sz="4" w:space="0"/>
            </w:tcBorders>
            <w:vAlign w:val="center"/>
          </w:tcPr>
          <w:p w14:paraId="081C2A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实现各药房、自动包药机、自动发药机的发药流程管理以及退药等功能管理，实现与自动发药机进行对接，确保用药安全，实现药品的可追溯。具体功能包括：门诊处方审核、门诊药房配发药、门诊退药处理等。</w:t>
            </w:r>
          </w:p>
          <w:p w14:paraId="0092F13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1、门诊摆药条件设置</w:t>
            </w:r>
          </w:p>
          <w:p w14:paraId="705FC2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实现设置手动设置摆药后台窗口和发药前台窗口，并关联摆药后台和发药前台窗口，保证摆完的药固定给某个或某几个窗口发放。</w:t>
            </w:r>
          </w:p>
          <w:p w14:paraId="328610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2、药房自动接单</w:t>
            </w:r>
          </w:p>
          <w:p w14:paraId="320181A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完成结算后，医院若无需取药签到，医嘱信息自动发送至药房后台系统，并根据规则分配后台摆药窗口，药师、自动取药机根据已接单的医嘱信息，进行摆药若医院取药前需要签到，患者取药签到后，医嘱信息自动发送至药房后台系统。</w:t>
            </w:r>
          </w:p>
          <w:p w14:paraId="18A50D3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3、门诊处方审核</w:t>
            </w:r>
          </w:p>
          <w:p w14:paraId="3EEE24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摆药后台全面展示待审核的处方信息，同时提示患者的基本体征信息、过敏史、诊断、肝肾功能以及其他个体化信息，药师在审核过程中根据实际情况可调取患者的病历、检查检验结果等数据，审核维度覆盖患者个体化（如体重、年龄、性别、肝肾功能、过敏史等方面）、药物相互作用、用药剂量、用药禁忌等。</w:t>
            </w:r>
            <w:r>
              <w:rPr>
                <w:rFonts w:hint="eastAsia" w:cs="宋体" w:asciiTheme="majorEastAsia" w:hAnsiTheme="majorEastAsia" w:eastAsiaTheme="majorEastAsia"/>
                <w:color w:val="auto"/>
                <w:szCs w:val="21"/>
              </w:rPr>
              <w:t>审核有问题处方可将处方和原因返回医生，医生可进行双签后再次提交药房。</w:t>
            </w:r>
          </w:p>
          <w:p w14:paraId="1CD7A0E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4、门诊药房摆药</w:t>
            </w:r>
          </w:p>
          <w:p w14:paraId="1BCD0C4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系统根据已接单医嘱，自动打印药品清单和口服卡、输液卡、用药说明标签、中药饮片膏方标签等，由药师、发药机按药品清单摆药，摆药完成后，手动点击（自动摆药机自动确认）完成摆药，</w:t>
            </w:r>
            <w:r>
              <w:rPr>
                <w:rFonts w:hint="eastAsia" w:cs="宋体" w:asciiTheme="majorEastAsia" w:hAnsiTheme="majorEastAsia" w:eastAsiaTheme="majorEastAsia"/>
                <w:color w:val="auto"/>
                <w:szCs w:val="21"/>
              </w:rPr>
              <w:t>同时扣减库存；若无需药师手动确认发药，则扣减库存时点为门诊处方审核通过确认</w:t>
            </w:r>
            <w:r>
              <w:rPr>
                <w:rFonts w:hint="eastAsia" w:cs="宋体" w:asciiTheme="majorEastAsia" w:hAnsiTheme="majorEastAsia" w:eastAsiaTheme="majorEastAsia"/>
                <w:color w:val="auto"/>
                <w:szCs w:val="21"/>
              </w:rPr>
              <w:t>。实现电子处方预览功能，包括但不限于毒麻处方、精神类处方及儿科处方等。</w:t>
            </w:r>
          </w:p>
          <w:p w14:paraId="200F84F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5、门诊摆药重制</w:t>
            </w:r>
          </w:p>
          <w:p w14:paraId="51C6F0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实现对该门诊科室内的所有处方进行重制，根据摆药时间过滤显示，可重制处方、输液卡、瓶签。</w:t>
            </w:r>
          </w:p>
          <w:p w14:paraId="1BE69391">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、门诊药房发药</w:t>
            </w:r>
          </w:p>
          <w:p w14:paraId="1D144BF3">
            <w:pPr>
              <w:spacing w:line="440" w:lineRule="exact"/>
              <w:ind w:firstLine="420" w:firstLineChars="200"/>
              <w:rPr>
                <w:rFonts w:ascii="宋体" w:hAnsi="宋体" w:cs="宋体"/>
                <w:color w:val="auto"/>
                <w:szCs w:val="21"/>
              </w:rPr>
            </w:pPr>
            <w:r>
              <w:rPr>
                <w:rFonts w:hint="eastAsia" w:cs="宋体" w:asciiTheme="majorEastAsia" w:hAnsiTheme="majorEastAsia" w:eastAsiaTheme="majorEastAsia"/>
                <w:color w:val="auto"/>
                <w:szCs w:val="21"/>
              </w:rPr>
              <w:t>实现扫码发药，发药界面有易发错药品图片提醒和用药交代提醒功能。</w:t>
            </w:r>
            <w:r>
              <w:rPr>
                <w:rFonts w:hint="eastAsia" w:ascii="宋体" w:hAnsi="宋体" w:cs="宋体"/>
                <w:color w:val="auto"/>
                <w:szCs w:val="21"/>
              </w:rPr>
              <w:t>支持发送取药提醒信息。</w:t>
            </w:r>
          </w:p>
          <w:p w14:paraId="20B237E3">
            <w:pPr>
              <w:spacing w:line="440" w:lineRule="exact"/>
              <w:ind w:firstLine="420" w:firstLineChars="200"/>
              <w:rPr>
                <w:rFonts w:ascii="宋体" w:hAnsi="宋体" w:cs="宋体"/>
                <w:color w:val="auto"/>
                <w:szCs w:val="21"/>
              </w:rPr>
            </w:pPr>
            <w:r>
              <w:rPr>
                <w:rFonts w:hint="eastAsia" w:ascii="宋体" w:hAnsi="宋体" w:cs="宋体"/>
                <w:color w:val="auto"/>
                <w:szCs w:val="21"/>
              </w:rPr>
              <w:t>7、门诊药房退药</w:t>
            </w:r>
          </w:p>
          <w:p w14:paraId="5C9F84D7">
            <w:pPr>
              <w:spacing w:line="440" w:lineRule="exact"/>
              <w:ind w:firstLine="420" w:firstLineChars="200"/>
              <w:rPr>
                <w:rFonts w:hint="eastAsia" w:ascii="宋体" w:hAnsi="宋体" w:eastAsia="宋体" w:cs="宋体"/>
                <w:color w:val="auto"/>
                <w:szCs w:val="21"/>
                <w:lang w:val="en-US" w:eastAsia="zh-CN"/>
              </w:rPr>
            </w:pPr>
            <w:r>
              <w:rPr>
                <w:rFonts w:hint="eastAsia" w:ascii="宋体" w:hAnsi="宋体" w:cs="宋体"/>
                <w:color w:val="auto"/>
                <w:szCs w:val="21"/>
              </w:rPr>
              <w:t>针对门诊退费并退药情况，以药师确认收药为确认时点</w:t>
            </w:r>
            <w:r>
              <w:rPr>
                <w:rFonts w:hint="eastAsia" w:ascii="宋体" w:hAnsi="宋体" w:cs="宋体"/>
                <w:color w:val="auto"/>
                <w:szCs w:val="21"/>
                <w:lang w:eastAsia="zh-CN"/>
              </w:rPr>
              <w:t>。</w:t>
            </w:r>
            <w:r>
              <w:rPr>
                <w:rFonts w:hint="eastAsia" w:ascii="宋体" w:hAnsi="宋体" w:cs="宋体"/>
                <w:color w:val="auto"/>
                <w:szCs w:val="21"/>
              </w:rPr>
              <w:br w:type="textWrapping"/>
            </w:r>
            <w:r>
              <w:rPr>
                <w:rFonts w:hint="eastAsia" w:ascii="宋体" w:hAnsi="宋体" w:cs="宋体"/>
                <w:color w:val="auto"/>
                <w:szCs w:val="21"/>
              </w:rPr>
              <w:t>增加“不退费不退药”、“只退费不退药”、“退费退药”两种情境处理，“只不退费不退药”为默认</w:t>
            </w:r>
            <w:r>
              <w:rPr>
                <w:rFonts w:hint="eastAsia" w:ascii="宋体" w:hAnsi="宋体" w:cs="宋体"/>
                <w:color w:val="auto"/>
                <w:szCs w:val="21"/>
                <w:lang w:val="en-US" w:eastAsia="zh-CN"/>
              </w:rPr>
              <w:t>场景。</w:t>
            </w:r>
          </w:p>
          <w:p w14:paraId="59BC73D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8、具备接收全院处方、仅本药房处方、仅本窗口处方并发药功能。</w:t>
            </w:r>
          </w:p>
          <w:p w14:paraId="1D0E511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9、具备药品追溯码处理功能，自动将追溯码与患者进行绑定，用于后续药品的追溯。</w:t>
            </w:r>
          </w:p>
          <w:p w14:paraId="794C27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10、各药房可分别为门诊/住院设置不同角色查阅天数限定。</w:t>
            </w:r>
          </w:p>
        </w:tc>
        <w:tc>
          <w:tcPr>
            <w:tcW w:w="379" w:type="pct"/>
            <w:tcBorders>
              <w:top w:val="single" w:color="auto" w:sz="4" w:space="0"/>
              <w:left w:val="single" w:color="auto" w:sz="4" w:space="0"/>
              <w:bottom w:val="single" w:color="auto" w:sz="4" w:space="0"/>
              <w:right w:val="single" w:color="auto" w:sz="4" w:space="0"/>
            </w:tcBorders>
            <w:vAlign w:val="center"/>
          </w:tcPr>
          <w:p w14:paraId="6CFA28F7">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4D85D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1C06441A">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05F44EF">
            <w:pPr>
              <w:spacing w:line="440" w:lineRule="exact"/>
              <w:jc w:val="left"/>
              <w:rPr>
                <w:rFonts w:cs="宋体" w:asciiTheme="majorEastAsia" w:hAnsiTheme="majorEastAsia" w:eastAsiaTheme="majorEastAsia"/>
                <w:color w:val="auto"/>
                <w:szCs w:val="21"/>
              </w:rPr>
            </w:pPr>
            <w:bookmarkStart w:id="41" w:name="住院配药管理系统"/>
            <w:r>
              <w:rPr>
                <w:rFonts w:hint="eastAsia" w:cs="宋体" w:asciiTheme="majorEastAsia" w:hAnsiTheme="majorEastAsia" w:eastAsiaTheme="majorEastAsia"/>
                <w:color w:val="auto"/>
                <w:szCs w:val="21"/>
              </w:rPr>
              <w:t>住院配药管理系统</w:t>
            </w:r>
            <w:bookmarkEnd w:id="41"/>
          </w:p>
        </w:tc>
        <w:tc>
          <w:tcPr>
            <w:tcW w:w="3788" w:type="pct"/>
            <w:tcBorders>
              <w:top w:val="single" w:color="auto" w:sz="4" w:space="0"/>
              <w:left w:val="single" w:color="auto" w:sz="4" w:space="0"/>
              <w:bottom w:val="single" w:color="auto" w:sz="4" w:space="0"/>
              <w:right w:val="single" w:color="auto" w:sz="4" w:space="0"/>
            </w:tcBorders>
            <w:vAlign w:val="center"/>
          </w:tcPr>
          <w:p w14:paraId="18F887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实现各药房、自动包药机、自动发药机的发药流程管理以及退药等功能管理，实现与自动发药机进行对接，确保用药安全，实现药品的可追溯。具体功能包括：住院发药审核、住院药房配发药、住院退药处理等。</w:t>
            </w:r>
          </w:p>
          <w:p w14:paraId="55D7D9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1、住院摆药条件设置</w:t>
            </w:r>
          </w:p>
          <w:p w14:paraId="6113F5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实现根据医院管理要求，设置不同摆药条件的药品规则，打单时根据摆药条件打印摆药单。</w:t>
            </w:r>
          </w:p>
          <w:p w14:paraId="1D6D8D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2、住院药房摆药</w:t>
            </w:r>
          </w:p>
          <w:p w14:paraId="4803A5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病区申请执行后，药房摆药后台接到申请摆药的药品信息，选择病区或科室批量打印摆药单，根据摆药单打印出的数量进行摆药，同时系统扣减库存,</w:t>
            </w:r>
            <w:r>
              <w:rPr>
                <w:rFonts w:hint="eastAsia" w:cs="宋体" w:asciiTheme="majorEastAsia" w:hAnsiTheme="majorEastAsia" w:eastAsiaTheme="majorEastAsia"/>
                <w:color w:val="auto"/>
                <w:szCs w:val="21"/>
              </w:rPr>
              <w:t>扣减库存的确认时点为药师点击发药确认，若药师无需手动确认发药，扣减库存确认时点为处方审核通过确认。</w:t>
            </w:r>
            <w:r>
              <w:rPr>
                <w:rFonts w:hint="eastAsia" w:cs="宋体" w:asciiTheme="majorEastAsia" w:hAnsiTheme="majorEastAsia" w:eastAsiaTheme="majorEastAsia"/>
                <w:color w:val="auto"/>
                <w:szCs w:val="21"/>
              </w:rPr>
              <w:t>实现随单生成二维码。</w:t>
            </w:r>
          </w:p>
          <w:p w14:paraId="0C363A1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3、住院摆药重制</w:t>
            </w:r>
          </w:p>
          <w:p w14:paraId="672020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提供住院摆药单重制功能，选择摆药时间，系统展示时间段内所有摆药单，选择相应病区或者患者，重制摆药单。</w:t>
            </w:r>
          </w:p>
          <w:p w14:paraId="6CD7573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4、住院退药处理</w:t>
            </w:r>
          </w:p>
          <w:p w14:paraId="43968CF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1）退药开单</w:t>
            </w:r>
          </w:p>
          <w:p w14:paraId="5F5801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实现医生发起住院退药申请，或者医嘱停止后，由系统自动判断需要退药的药品，护士进行住院退药申请。</w:t>
            </w:r>
          </w:p>
          <w:p w14:paraId="2C94D0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2）退药执行</w:t>
            </w:r>
          </w:p>
          <w:p w14:paraId="4E946B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护士复核退药单，将药物送还药房，</w:t>
            </w:r>
            <w:r>
              <w:rPr>
                <w:rFonts w:hint="eastAsia" w:cs="宋体" w:asciiTheme="majorEastAsia" w:hAnsiTheme="majorEastAsia" w:eastAsiaTheme="majorEastAsia"/>
                <w:color w:val="auto"/>
                <w:szCs w:val="21"/>
              </w:rPr>
              <w:t>药师确认收药，并在</w:t>
            </w:r>
            <w:r>
              <w:rPr>
                <w:rFonts w:hint="eastAsia" w:cs="宋体" w:asciiTheme="majorEastAsia" w:hAnsiTheme="majorEastAsia" w:eastAsiaTheme="majorEastAsia"/>
                <w:color w:val="auto"/>
                <w:szCs w:val="21"/>
              </w:rPr>
              <w:t>药房系统进行确认</w:t>
            </w:r>
            <w:r>
              <w:rPr>
                <w:rFonts w:hint="eastAsia" w:cs="宋体" w:asciiTheme="majorEastAsia" w:hAnsiTheme="majorEastAsia" w:eastAsiaTheme="majorEastAsia"/>
                <w:color w:val="auto"/>
                <w:szCs w:val="21"/>
              </w:rPr>
              <w:t>库存回流</w:t>
            </w:r>
            <w:r>
              <w:rPr>
                <w:rFonts w:hint="eastAsia" w:cs="宋体" w:asciiTheme="majorEastAsia" w:hAnsiTheme="majorEastAsia" w:eastAsiaTheme="majorEastAsia"/>
                <w:color w:val="auto"/>
                <w:szCs w:val="21"/>
              </w:rPr>
              <w:t>，退药完成。单退药可选择实物退药处理或冲抵处理（冲抵退药的药品可从病区医嘱抵扣）。可查询医嘱退药状态明细。</w:t>
            </w:r>
          </w:p>
          <w:p w14:paraId="1B1188B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3）汇总退药查询</w:t>
            </w:r>
          </w:p>
          <w:p w14:paraId="045793D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实现查询历史退药和冲抵信息功能，可根据退药日期、退药状态、科室查询相应的退药历史及明细信息。</w:t>
            </w:r>
          </w:p>
          <w:p w14:paraId="0A7F7FC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5、缺药处理</w:t>
            </w:r>
          </w:p>
          <w:p w14:paraId="43387A5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若科室使用药物存在缺药，实现药品高低储报警，可以设置报警系数，可通过线上消息通知形式告知提醒中心</w:t>
            </w:r>
            <w:r>
              <w:rPr>
                <w:rFonts w:cs="宋体" w:asciiTheme="majorEastAsia" w:hAnsiTheme="majorEastAsia" w:eastAsiaTheme="majorEastAsia"/>
                <w:color w:val="auto"/>
                <w:szCs w:val="21"/>
              </w:rPr>
              <w:t>药房进行备药</w:t>
            </w:r>
            <w:r>
              <w:rPr>
                <w:rFonts w:hint="eastAsia"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维持现行HIS系统药品控制规则，病区在中心药房缺药的情况下，不能使用药柜库存。</w:t>
            </w:r>
          </w:p>
          <w:p w14:paraId="2120D0DD">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6、具备住院药房领药单取货核对功能。药房发药后根据发药单、货架号扫码定位领药信息进行核对，核对完成后再交给配送人员，同时记录配送人、配送时间信息，待病区护士签收后记录签收人相关信息，实现中心药房病区药品配送的闭环管理。</w:t>
            </w:r>
          </w:p>
        </w:tc>
        <w:tc>
          <w:tcPr>
            <w:tcW w:w="379" w:type="pct"/>
            <w:tcBorders>
              <w:top w:val="single" w:color="auto" w:sz="4" w:space="0"/>
              <w:left w:val="single" w:color="auto" w:sz="4" w:space="0"/>
              <w:bottom w:val="single" w:color="auto" w:sz="4" w:space="0"/>
              <w:right w:val="single" w:color="auto" w:sz="4" w:space="0"/>
            </w:tcBorders>
            <w:vAlign w:val="center"/>
          </w:tcPr>
          <w:p w14:paraId="1F743C6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D8642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C1F1A5D">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B4A487D">
            <w:pPr>
              <w:spacing w:line="440" w:lineRule="exact"/>
              <w:jc w:val="left"/>
              <w:rPr>
                <w:rFonts w:cs="宋体" w:asciiTheme="majorEastAsia" w:hAnsiTheme="majorEastAsia" w:eastAsiaTheme="majorEastAsia"/>
                <w:color w:val="auto"/>
                <w:szCs w:val="21"/>
              </w:rPr>
            </w:pPr>
            <w:bookmarkStart w:id="42" w:name="药库管理系统"/>
            <w:r>
              <w:rPr>
                <w:rFonts w:hint="eastAsia" w:cs="宋体" w:asciiTheme="majorEastAsia" w:hAnsiTheme="majorEastAsia" w:eastAsiaTheme="majorEastAsia"/>
                <w:color w:val="auto"/>
                <w:szCs w:val="21"/>
              </w:rPr>
              <w:t>药库管理系统</w:t>
            </w:r>
            <w:bookmarkEnd w:id="42"/>
          </w:p>
        </w:tc>
        <w:tc>
          <w:tcPr>
            <w:tcW w:w="3788" w:type="pct"/>
            <w:tcBorders>
              <w:top w:val="single" w:color="auto" w:sz="4" w:space="0"/>
              <w:left w:val="single" w:color="auto" w:sz="4" w:space="0"/>
              <w:bottom w:val="single" w:color="auto" w:sz="4" w:space="0"/>
              <w:right w:val="single" w:color="auto" w:sz="4" w:space="0"/>
            </w:tcBorders>
            <w:vAlign w:val="center"/>
          </w:tcPr>
          <w:p w14:paraId="551643A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实现医院各级药库、药房的药品进销存管理，</w:t>
            </w:r>
            <w:r>
              <w:rPr>
                <w:rFonts w:hint="eastAsia"/>
                <w:color w:val="auto"/>
              </w:rPr>
              <w:t>各级药库、药房每月末自动月结（提供反月结功能），系统自动生成各级药库药房的进销存明细表与汇总表，并按现用财务报表格式生成各类财务报表、统计表。所有报表、统计表提供筛选按钮，筛选条件包含但不限于药房名称、药品账簿类别、统计期间。增加各级药库、药房药品盘点完成后至月结节点前出入库情况的统计汇总表及明细表。</w:t>
            </w:r>
            <w:r>
              <w:rPr>
                <w:rFonts w:hint="eastAsia" w:cs="宋体" w:asciiTheme="majorEastAsia" w:hAnsiTheme="majorEastAsia" w:eastAsiaTheme="majorEastAsia"/>
                <w:color w:val="auto"/>
                <w:szCs w:val="21"/>
              </w:rPr>
              <w:t>可接收院外药品供应链信息，提供完整的药品账务管理，通过药品标识码，实现药品批次追溯功能。</w:t>
            </w:r>
          </w:p>
          <w:p w14:paraId="3917B1F5">
            <w:pPr>
              <w:spacing w:line="440" w:lineRule="exact"/>
              <w:ind w:firstLine="420" w:firstLineChars="200"/>
              <w:rPr>
                <w:rFonts w:hint="default" w:eastAsia="宋体" w:cs="宋体" w:asciiTheme="majorEastAsia" w:hAnsiTheme="majorEastAsia"/>
                <w:color w:val="auto"/>
                <w:szCs w:val="21"/>
                <w:lang w:val="en-US" w:eastAsia="zh-CN"/>
              </w:rPr>
            </w:pPr>
            <w:r>
              <w:rPr>
                <w:rFonts w:hint="eastAsia"/>
                <w:color w:val="auto"/>
              </w:rPr>
              <w:t>实现医院系统与国家招采子平台信息交互，实现采购计划自动上传子平台；实现发票信息与子平台“收货确认模块”信息自动核对，无误则在子平台自动收货；实现发票信息与子平台“结算申请管理模块”信息进行核对，无误则将该发票信息在HIS系统推送给财务，以备后续财务验收。</w:t>
            </w:r>
            <w:r>
              <w:rPr>
                <w:rFonts w:hint="eastAsia"/>
                <w:color w:val="auto"/>
                <w:lang w:val="en-US" w:eastAsia="zh-CN"/>
              </w:rPr>
              <w:t>具体实现以国家招采子平台是否开放接口为准。</w:t>
            </w:r>
          </w:p>
          <w:p w14:paraId="5C0AAE1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药库管理系统包含药品采购入库、药品出库、药品盘点、药品账页查询等功能，具体如下：</w:t>
            </w:r>
          </w:p>
          <w:p w14:paraId="67D85AB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1、可扩展到多个药库库存单元（中、西、成）。</w:t>
            </w:r>
          </w:p>
          <w:p w14:paraId="29864E4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2、实现根据药品时间段内耗量或库存限量自动生成采购计划；实现采购计划的多级审核；实现采购单的发送及到货确认功能；实现采购单转成入库单；</w:t>
            </w:r>
          </w:p>
          <w:p w14:paraId="63F0322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入库单的生成根据库管收货确认信息，按药品明细生成入库单，并与扫码后的发票信息自动匹配关联，关联成功的入库单，自动填写发票号信息。</w:t>
            </w:r>
          </w:p>
          <w:p w14:paraId="2CED2B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暂时无法关联发票号信息的入库单，做预入库处理并设置标记，发票号关联成功后做预入库转出，标记自动取消</w:t>
            </w:r>
          </w:p>
          <w:p w14:paraId="688555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入库单生成过程设置条件：一张入库单不可关联多张发票；未完全关联的发票应弹窗报错提示库管补计划或退发票，同时该发票成功关联的入库单均不填写发票号信息，做预入库处理。</w:t>
            </w:r>
          </w:p>
          <w:p w14:paraId="7C46AED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手工生成的入库单及药品退回供应商所生成的药品退库单或入库冲红单，应备注原因，并实现多级审核。同时提供发票状态查询，添加备注功能</w:t>
            </w:r>
          </w:p>
          <w:p w14:paraId="617C11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药品的采购入库、退药入库、盘盈入库、赠送入库、调拨入库、领用出库、报损出库、退货出库、盘亏出库、调拨出库等多种出入库类别，且可根据要求增删。可自动接收科室领药单，并转化为出库单，并实现校验院内限购标准；</w:t>
            </w:r>
          </w:p>
          <w:p w14:paraId="32CAFDF4">
            <w:pPr>
              <w:spacing w:line="440" w:lineRule="exact"/>
              <w:ind w:firstLine="420" w:firstLineChars="200"/>
              <w:rPr>
                <w:rFonts w:cs="宋体" w:asciiTheme="majorEastAsia" w:hAnsiTheme="majorEastAsia" w:eastAsiaTheme="majorEastAsia"/>
                <w:strike/>
                <w:color w:val="auto"/>
                <w:szCs w:val="21"/>
              </w:rPr>
            </w:pPr>
            <w:r>
              <w:rPr>
                <w:rFonts w:hint="eastAsia" w:cs="宋体" w:asciiTheme="majorEastAsia" w:hAnsiTheme="majorEastAsia" w:eastAsiaTheme="majorEastAsia"/>
                <w:color w:val="auto"/>
                <w:szCs w:val="21"/>
              </w:rPr>
              <w:t>4、在录入出入库单药品信息时，可自动获取药品名称、规格、批号、发票号、进货价、零售价、生产厂家、供货商、包装单位、发药单位等药品信息，以及医疗保险信息中的医疗保险类别、医保代码、处方药标志、中标标志等并可随时生成各种药品的入库明细、出库明细、盘点明细、调价明细、调拨明细、报损明细、退药明细以及上面各项的汇总数据，且提供打印功能；</w:t>
            </w:r>
          </w:p>
          <w:p w14:paraId="13A5CB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具备生成采购计划，提供计划报警查询，同时进行药品效期、高低储系数及预警阀值设置的功能。支持按消耗量和预购天数自动生成采购计划单；支持对采购计划单进行审核。支持最佳采购量生成采购计划单。缺药处理若科室使用药物存在缺药，实现药品高低储报警，可以设置报警系数，可通过线上消息通知形式告知提醒中心药房进行备药。</w:t>
            </w:r>
          </w:p>
          <w:p w14:paraId="7A6F7C7C">
            <w:pPr>
              <w:spacing w:line="440" w:lineRule="exact"/>
              <w:ind w:firstLine="420" w:firstLineChars="200"/>
              <w:rPr>
                <w:rFonts w:hint="eastAsia" w:cs="宋体" w:asciiTheme="majorEastAsia" w:hAnsiTheme="majorEastAsia" w:eastAsiaTheme="majorEastAsia"/>
                <w:color w:val="auto"/>
                <w:szCs w:val="21"/>
                <w:lang w:eastAsia="zh-CN"/>
              </w:rPr>
            </w:pPr>
            <w:r>
              <w:rPr>
                <w:rFonts w:hint="eastAsia" w:cs="宋体" w:asciiTheme="majorEastAsia" w:hAnsiTheme="majorEastAsia" w:eastAsiaTheme="majorEastAsia"/>
                <w:color w:val="auto"/>
                <w:szCs w:val="21"/>
              </w:rPr>
              <w:t>6、实现汇款凭证根据</w:t>
            </w:r>
            <w:r>
              <w:rPr>
                <w:rFonts w:hint="eastAsia" w:cs="宋体" w:asciiTheme="majorEastAsia" w:hAnsiTheme="majorEastAsia" w:eastAsiaTheme="majorEastAsia"/>
                <w:color w:val="auto"/>
                <w:szCs w:val="21"/>
              </w:rPr>
              <w:t>财务核验通过后的发票信息进行汇总统计</w:t>
            </w:r>
            <w:r>
              <w:rPr>
                <w:rFonts w:hint="eastAsia" w:cs="宋体" w:asciiTheme="majorEastAsia" w:hAnsiTheme="majorEastAsia" w:eastAsiaTheme="majorEastAsia"/>
                <w:color w:val="auto"/>
                <w:szCs w:val="21"/>
                <w:lang w:eastAsia="zh-CN"/>
              </w:rPr>
              <w:t>。</w:t>
            </w:r>
          </w:p>
          <w:p w14:paraId="6F2276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7、提供药品库存的日结、月结、年结功能，并能校对账目及库存的平衡关系；</w:t>
            </w:r>
          </w:p>
          <w:p w14:paraId="2DDA3A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8、可追踪各个药品的明细流水账，可随时查验任一品种的库存变化入、出、存明细信息。提供药品的核算功能，可统计分析各药房的消耗、库存；</w:t>
            </w:r>
          </w:p>
          <w:p w14:paraId="6E6304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9、提供药品字典库维护功能（如品种、价格、单位、计量、多类别特殊标志等）实现自定义增加修改，</w:t>
            </w:r>
            <w:r>
              <w:rPr>
                <w:rFonts w:hint="eastAsia" w:cs="宋体" w:asciiTheme="majorEastAsia" w:hAnsiTheme="majorEastAsia" w:eastAsiaTheme="majorEastAsia"/>
                <w:color w:val="auto"/>
                <w:szCs w:val="21"/>
              </w:rPr>
              <w:t>包括：新增、修改、停用药品，新增药品分类，规格、产地切换功能。</w:t>
            </w:r>
            <w:r>
              <w:rPr>
                <w:rFonts w:hint="eastAsia" w:cs="宋体" w:asciiTheme="majorEastAsia" w:hAnsiTheme="majorEastAsia" w:eastAsiaTheme="majorEastAsia"/>
                <w:color w:val="auto"/>
                <w:szCs w:val="21"/>
              </w:rPr>
              <w:t>实现一药多名操作，判断识别，实现统一规范药品名称；药库药品信息导出表格可实现自定义勾选表头字段。</w:t>
            </w:r>
            <w:r>
              <w:rPr>
                <w:rFonts w:hint="eastAsia"/>
                <w:color w:val="auto"/>
              </w:rPr>
              <w:t>药品信息维护留痕，实现可自定义查询可打印。</w:t>
            </w:r>
          </w:p>
          <w:p w14:paraId="530E01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10、提供药品的有效期管理、可自动报警和统计过期药品的品种数和金额，并有库存量，全院库存分布提示功能；</w:t>
            </w:r>
          </w:p>
          <w:p w14:paraId="2189410C">
            <w:pPr>
              <w:spacing w:line="440" w:lineRule="exact"/>
              <w:ind w:firstLine="420" w:firstLineChars="200"/>
              <w:rPr>
                <w:rFonts w:ascii="宋体" w:hAnsi="宋体" w:cs="宋体"/>
                <w:color w:val="auto"/>
                <w:szCs w:val="21"/>
              </w:rPr>
            </w:pPr>
            <w:r>
              <w:rPr>
                <w:rFonts w:hint="eastAsia" w:cs="宋体" w:asciiTheme="majorEastAsia" w:hAnsiTheme="majorEastAsia" w:eastAsiaTheme="majorEastAsia"/>
                <w:color w:val="auto"/>
                <w:szCs w:val="21"/>
              </w:rPr>
              <w:t>11、对毒麻药品、精神药品的种类、贵重药品、院内制剂、进口药品、自费药等均有特定的判断识别处理；</w:t>
            </w:r>
            <w:r>
              <w:rPr>
                <w:rFonts w:hint="eastAsia" w:ascii="宋体" w:hAnsi="宋体" w:cs="宋体"/>
                <w:color w:val="auto"/>
                <w:szCs w:val="21"/>
              </w:rPr>
              <w:t>具备带量采购、带量级别、带量议价标志及重点监控药品标志、国家谈判药品、国家医保谈判药品标志的维护功能。</w:t>
            </w:r>
          </w:p>
          <w:p w14:paraId="2836B870">
            <w:pPr>
              <w:spacing w:line="440" w:lineRule="exact"/>
              <w:ind w:firstLine="420" w:firstLineChars="200"/>
              <w:rPr>
                <w:rFonts w:cs="宋体" w:asciiTheme="majorEastAsia" w:hAnsiTheme="majorEastAsia" w:eastAsiaTheme="majorEastAsia"/>
                <w:color w:val="auto"/>
                <w:szCs w:val="21"/>
              </w:rPr>
            </w:pPr>
            <w:r>
              <w:rPr>
                <w:rFonts w:hint="eastAsia" w:ascii="宋体" w:hAnsi="宋体" w:cs="宋体"/>
                <w:color w:val="auto"/>
                <w:szCs w:val="21"/>
              </w:rPr>
              <w:t>12、具备药品批次控制</w:t>
            </w:r>
            <w:r>
              <w:rPr>
                <w:rFonts w:hint="eastAsia" w:ascii="宋体" w:hAnsi="宋体" w:cs="宋体"/>
                <w:color w:val="auto"/>
                <w:szCs w:val="21"/>
                <w:lang w:val="en-US" w:eastAsia="zh-CN"/>
              </w:rPr>
              <w:t>功能</w:t>
            </w:r>
            <w:r>
              <w:rPr>
                <w:rFonts w:hint="eastAsia" w:ascii="宋体" w:hAnsi="宋体" w:cs="宋体"/>
                <w:color w:val="auto"/>
                <w:szCs w:val="21"/>
              </w:rPr>
              <w:t>，被控制的批次药品将不能进行出库、发药等操作，同时提供恢复被控制的批次药品功能。</w:t>
            </w:r>
          </w:p>
          <w:p w14:paraId="666E91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可根据参数设置药品“先入先出”或“效期先出”原则；实现药库库存禁用管理；</w:t>
            </w:r>
          </w:p>
          <w:p w14:paraId="6BED55B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13、可根据物价部门的现行调价文件实现全院统一调价，提供自动调价确认和手动调价确认两种方式；并可记录调价的明细、时间及调价原因，记录调价的盈亏等信息，传送到药品会计和财务会计；</w:t>
            </w:r>
          </w:p>
          <w:p w14:paraId="224B200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14、统计查询：实现以上所有工作相关统计、查询和打印功能；</w:t>
            </w:r>
          </w:p>
          <w:p w14:paraId="466E58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15、实现批次管理功能，且效期和批号可修改；</w:t>
            </w:r>
          </w:p>
          <w:p w14:paraId="2BB959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16、具有药品停用和缺药的标识；</w:t>
            </w:r>
          </w:p>
          <w:p w14:paraId="32DBE59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17、实现按批次、批号或有效期出库的规则；</w:t>
            </w:r>
          </w:p>
          <w:p w14:paraId="4FA99D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18、提供根据药品库存的上下限、同期或临近期间消耗量等多种方法生成药品采购计划的参考量的功能；</w:t>
            </w:r>
          </w:p>
          <w:p w14:paraId="620A987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19、实现药品通用名、商品名、别名管理功能；</w:t>
            </w:r>
          </w:p>
          <w:p w14:paraId="3ABB9C8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20、实现药品换包装功能；</w:t>
            </w:r>
          </w:p>
          <w:p w14:paraId="505BCE1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21、药库操作人员按角色进行管理，如入库、出库、审核角色功能各不相同；</w:t>
            </w:r>
          </w:p>
          <w:p w14:paraId="7D13CB8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22、</w:t>
            </w:r>
            <w:r>
              <w:rPr>
                <w:rFonts w:cs="宋体" w:asciiTheme="majorEastAsia" w:hAnsiTheme="majorEastAsia" w:eastAsiaTheme="majorEastAsia"/>
                <w:color w:val="auto"/>
                <w:szCs w:val="21"/>
              </w:rPr>
              <w:t>要求</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通过PDA实现</w:t>
            </w:r>
            <w:r>
              <w:rPr>
                <w:rFonts w:hint="eastAsia" w:cs="宋体" w:asciiTheme="majorEastAsia" w:hAnsiTheme="majorEastAsia" w:eastAsiaTheme="majorEastAsia"/>
                <w:color w:val="auto"/>
                <w:szCs w:val="21"/>
              </w:rPr>
              <w:t>药库</w:t>
            </w:r>
            <w:r>
              <w:rPr>
                <w:rFonts w:cs="宋体" w:asciiTheme="majorEastAsia" w:hAnsiTheme="majorEastAsia" w:eastAsiaTheme="majorEastAsia"/>
                <w:color w:val="auto"/>
                <w:szCs w:val="21"/>
              </w:rPr>
              <w:t>的全流程扫码管理。</w:t>
            </w:r>
            <w:r>
              <w:rPr>
                <w:rFonts w:hint="eastAsia" w:cs="宋体" w:asciiTheme="majorEastAsia" w:hAnsiTheme="majorEastAsia" w:eastAsiaTheme="majorEastAsia"/>
                <w:color w:val="auto"/>
                <w:szCs w:val="21"/>
              </w:rPr>
              <w:t>能够实现条码化管理；覆盖药品入库、盘点、出库，实现扫码入库，二维码对接供应商药品信息。</w:t>
            </w:r>
            <w:r>
              <w:rPr>
                <w:rFonts w:hint="eastAsia" w:cs="宋体" w:asciiTheme="majorEastAsia" w:hAnsiTheme="majorEastAsia" w:eastAsiaTheme="majorEastAsia"/>
                <w:color w:val="auto"/>
                <w:szCs w:val="21"/>
              </w:rPr>
              <w:t>全流程扫码管理应覆盖药品“两票制”管理，实现</w:t>
            </w:r>
            <w:r>
              <w:rPr>
                <w:rFonts w:hint="eastAsia"/>
                <w:color w:val="auto"/>
              </w:rPr>
              <w:t>药品两票信息的自动核对、建立电子化资料库，并提供查询和打印功能。库管可通过扫描药品一票、二票发票二维码，实现两票信息自动核对，两票信息异常弹窗报错，无误则将二票信息与入库单自动核对，再次核对无误后则可确认验收入库单，并在入库单上填写二票发票号信息。财务可通过扫描发票二维码信息，获取关联入库单信息，并与HIS系统推送过来的发票信息（该发票信息已与子平台“结算申请管理模块”信息核对无误）进行核对，核对无误后自动对该发票进行财务验收 。</w:t>
            </w:r>
          </w:p>
          <w:p w14:paraId="04744E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23、提供药品效期、库存的自动报警。</w:t>
            </w:r>
          </w:p>
          <w:p w14:paraId="6EBC93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24、实现条形码、二维码、RFID等3种药物识别方式。</w:t>
            </w:r>
          </w:p>
          <w:p w14:paraId="772927A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25、具备基本报表功能，如：进销存月报、特殊药品统计报表、药品帐单汇总表、药品帐单明细表、进货排行榜、药品进货历史表、出库排行榜、药品出库历史表、供应商联系单、药品申购表、药品入库汇总表、在途药品统计表、药品计时统计表的功能，并提供外挂报表。</w:t>
            </w:r>
          </w:p>
        </w:tc>
        <w:tc>
          <w:tcPr>
            <w:tcW w:w="379" w:type="pct"/>
            <w:tcBorders>
              <w:top w:val="single" w:color="auto" w:sz="4" w:space="0"/>
              <w:left w:val="single" w:color="auto" w:sz="4" w:space="0"/>
              <w:bottom w:val="single" w:color="auto" w:sz="4" w:space="0"/>
              <w:right w:val="single" w:color="auto" w:sz="4" w:space="0"/>
            </w:tcBorders>
            <w:vAlign w:val="center"/>
          </w:tcPr>
          <w:p w14:paraId="1A3991D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AEA3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2" w:type="pct"/>
            <w:vMerge w:val="continue"/>
            <w:tcBorders>
              <w:left w:val="single" w:color="auto" w:sz="4" w:space="0"/>
              <w:right w:val="single" w:color="auto" w:sz="4" w:space="0"/>
            </w:tcBorders>
            <w:vAlign w:val="center"/>
          </w:tcPr>
          <w:p w14:paraId="23B5423B">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4A28288">
            <w:pPr>
              <w:spacing w:line="440" w:lineRule="exact"/>
              <w:jc w:val="center"/>
              <w:rPr>
                <w:rFonts w:cs="宋体" w:asciiTheme="majorEastAsia" w:hAnsiTheme="majorEastAsia" w:eastAsiaTheme="majorEastAsia"/>
                <w:color w:val="auto"/>
                <w:szCs w:val="21"/>
              </w:rPr>
            </w:pPr>
            <w:bookmarkStart w:id="43" w:name="门急诊药房管理系统"/>
            <w:r>
              <w:rPr>
                <w:rFonts w:hint="eastAsia" w:cs="宋体" w:asciiTheme="majorEastAsia" w:hAnsiTheme="majorEastAsia" w:eastAsiaTheme="majorEastAsia"/>
                <w:color w:val="auto"/>
                <w:szCs w:val="21"/>
              </w:rPr>
              <w:t>门急诊药房管理系统</w:t>
            </w:r>
            <w:bookmarkEnd w:id="43"/>
          </w:p>
        </w:tc>
        <w:tc>
          <w:tcPr>
            <w:tcW w:w="3788" w:type="pct"/>
            <w:tcBorders>
              <w:top w:val="single" w:color="auto" w:sz="4" w:space="0"/>
              <w:left w:val="single" w:color="auto" w:sz="4" w:space="0"/>
              <w:bottom w:val="single" w:color="auto" w:sz="4" w:space="0"/>
              <w:right w:val="single" w:color="auto" w:sz="4" w:space="0"/>
            </w:tcBorders>
            <w:vAlign w:val="center"/>
          </w:tcPr>
          <w:p w14:paraId="37CD2E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药房管理系统主要对门急诊药房库存、药品批次、药品有效期、药品结存、病区药品发药等进行有效管理。具有可用库存数量及库存量预减管理功能，以便医生开单或处方输入后减少可用库存，下次处方能根据可用库存控制开单数量，保证发药时库存充分（发药后减少实际库存）。</w:t>
            </w:r>
            <w:r>
              <w:rPr>
                <w:rFonts w:hint="eastAsia"/>
                <w:color w:val="auto"/>
              </w:rPr>
              <w:t>药房每月末自动月结（提供反月结功能），系统自动生成药房的进销存明细表与汇总表，并按现用财务报表格式生成各类财务报表、统计表。所有报表、统计表提供筛选按钮，筛选条件包含但不限于药房名称、药品账簿类别、统计期间。增加药房药品盘点完成后至月结节点前出入库情况的统计汇总表及明细表。</w:t>
            </w:r>
          </w:p>
          <w:p w14:paraId="584342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具体功能如下：</w:t>
            </w:r>
          </w:p>
          <w:p w14:paraId="1E72319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1、可自动获取药品名称、规格、批号、价格、生产厂家、药品来源、药品剂型、属性、类别和门急诊患者等药品基本信息；</w:t>
            </w:r>
          </w:p>
          <w:p w14:paraId="4AEE4D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2、实现根据药品时间段内耗量或库存限量自动生成药品请领单，并发送至相关科室。</w:t>
            </w:r>
          </w:p>
          <w:p w14:paraId="3E9E44F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3、实现药品的退药入库、盘盈入库、领用入库、调拨入库、处方出库、报损出库、退药出库、盘亏出库、调拨出库等多种出入库类别，且可根据要求增删。可自动接收科室领药单，并转化为出库单。</w:t>
            </w:r>
          </w:p>
          <w:p w14:paraId="048325F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4、药房具有可用库存数量及库存量预减管理功能，以便医生开单或处方输入后减少可用库存，下次处方能根据可用库存控制开单数量，保证发药时库存充分（发药后减少实际库存）。</w:t>
            </w:r>
          </w:p>
          <w:p w14:paraId="476702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5、提供对药库发到本药房的药品的出库单或其他药房发送的调拨单进行入库确认。对缺药药品入库有相应提醒。</w:t>
            </w:r>
          </w:p>
          <w:p w14:paraId="4B7642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6、具有药房药品的日结、月结和年结算功能，并自动比较会计账及实物账的</w:t>
            </w:r>
          </w:p>
          <w:p w14:paraId="77A245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7、可根据用户权限随时查询某日和任意时间段的入库药品消耗，以及任意某一药品的入、出、存明细账。</w:t>
            </w:r>
          </w:p>
          <w:p w14:paraId="066804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8、提供药品的有效期管理、可自动报警和统计过期药品的品种数和金额。</w:t>
            </w:r>
          </w:p>
          <w:p w14:paraId="1975DB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9、对毒麻药品、精神药品的种类、贵重药品、院内制剂、进口药品、自费药等均有特定的判断识别处理。</w:t>
            </w:r>
          </w:p>
          <w:p w14:paraId="6977A11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10、实现药品批次管理；可根据参数设置药品“先入先出”或“效期先出”原则。</w:t>
            </w:r>
          </w:p>
          <w:p w14:paraId="6D9A8F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11、统计查询：实现以上所有工作相关统计、查询和打印功能。实现统计药师工作量。</w:t>
            </w:r>
          </w:p>
          <w:p w14:paraId="4C5A92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12、具有分别按患者的处方执行确认上账功能，并自动生成针剂、片剂、输液、毒麻和其他等类型的摆药单和统领单；</w:t>
            </w:r>
          </w:p>
          <w:p w14:paraId="13D3F65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13、可对门急诊患者的退药单进行执行确认，同时返回费用给病人。对取消退费和重新收费处方有相应标示。</w:t>
            </w:r>
          </w:p>
          <w:p w14:paraId="7E3F3B7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14、对每一张配药单均有唯一的标示号识别。</w:t>
            </w:r>
          </w:p>
          <w:p w14:paraId="10D91AB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15、实现动态药房，护士可到任意药房领药，并减发药药房的库存。</w:t>
            </w:r>
          </w:p>
          <w:p w14:paraId="1DD5DE5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16、实现根据药品分类摆药（如大输液、片剂药品等）。</w:t>
            </w:r>
          </w:p>
          <w:p w14:paraId="7A55570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17、实现出院病人带药功能。</w:t>
            </w:r>
          </w:p>
          <w:p w14:paraId="4F563760">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18</w:t>
            </w:r>
            <w:r>
              <w:rPr>
                <w:rFonts w:hint="eastAsia" w:cs="宋体" w:asciiTheme="majorEastAsia" w:hAnsiTheme="majorEastAsia" w:eastAsiaTheme="majorEastAsia"/>
                <w:color w:val="auto"/>
                <w:szCs w:val="21"/>
              </w:rPr>
              <w:t>、开具中药饮片用法为“代煎”时自动收取代煎项目费用。</w:t>
            </w:r>
          </w:p>
          <w:p w14:paraId="239ABA79">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19</w:t>
            </w:r>
            <w:r>
              <w:rPr>
                <w:rFonts w:hint="eastAsia" w:cs="宋体" w:asciiTheme="majorEastAsia" w:hAnsiTheme="majorEastAsia" w:eastAsiaTheme="majorEastAsia"/>
                <w:color w:val="auto"/>
                <w:szCs w:val="21"/>
              </w:rPr>
              <w:t>、开具中药饮片当前批号数量不足时实现自动收费下一批号。</w:t>
            </w:r>
          </w:p>
          <w:p w14:paraId="411C7239">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20、实现门诊药房库存禁用管理</w:t>
            </w:r>
            <w:r>
              <w:rPr>
                <w:rFonts w:hint="eastAsia" w:asciiTheme="majorEastAsia" w:hAnsiTheme="majorEastAsia" w:eastAsiaTheme="majorEastAsia"/>
                <w:color w:val="auto"/>
                <w:szCs w:val="21"/>
              </w:rPr>
              <w:t>，</w:t>
            </w:r>
            <w:r>
              <w:rPr>
                <w:rFonts w:hint="eastAsia" w:asciiTheme="majorEastAsia" w:hAnsiTheme="majorEastAsia" w:eastAsiaTheme="majorEastAsia"/>
                <w:color w:val="auto"/>
                <w:kern w:val="0"/>
                <w:szCs w:val="21"/>
              </w:rPr>
              <w:t>药品信息维护实现门急诊药房发药取整方式。</w:t>
            </w:r>
          </w:p>
          <w:p w14:paraId="06BDCA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21、提供窗口自动均衡／完全平均／日处方量平均的分配方式。</w:t>
            </w:r>
          </w:p>
        </w:tc>
        <w:tc>
          <w:tcPr>
            <w:tcW w:w="379" w:type="pct"/>
            <w:tcBorders>
              <w:top w:val="single" w:color="auto" w:sz="4" w:space="0"/>
              <w:left w:val="single" w:color="auto" w:sz="4" w:space="0"/>
              <w:bottom w:val="single" w:color="auto" w:sz="4" w:space="0"/>
              <w:right w:val="single" w:color="auto" w:sz="4" w:space="0"/>
            </w:tcBorders>
            <w:vAlign w:val="center"/>
          </w:tcPr>
          <w:p w14:paraId="29B1D5E4">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52ABA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0779552E">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600AA15E">
            <w:pPr>
              <w:spacing w:line="440" w:lineRule="exact"/>
              <w:jc w:val="left"/>
              <w:rPr>
                <w:rFonts w:cs="宋体" w:asciiTheme="majorEastAsia" w:hAnsiTheme="majorEastAsia" w:eastAsiaTheme="majorEastAsia"/>
                <w:color w:val="auto"/>
                <w:szCs w:val="21"/>
              </w:rPr>
            </w:pPr>
            <w:bookmarkStart w:id="44" w:name="住院药房管理系统"/>
            <w:r>
              <w:rPr>
                <w:rFonts w:hint="eastAsia" w:cs="宋体" w:asciiTheme="majorEastAsia" w:hAnsiTheme="majorEastAsia" w:eastAsiaTheme="majorEastAsia"/>
                <w:color w:val="auto"/>
                <w:szCs w:val="21"/>
              </w:rPr>
              <w:t>住院药房管理系统</w:t>
            </w:r>
            <w:bookmarkEnd w:id="44"/>
          </w:p>
        </w:tc>
        <w:tc>
          <w:tcPr>
            <w:tcW w:w="3788" w:type="pct"/>
            <w:tcBorders>
              <w:top w:val="single" w:color="auto" w:sz="4" w:space="0"/>
              <w:left w:val="single" w:color="auto" w:sz="4" w:space="0"/>
              <w:bottom w:val="single" w:color="auto" w:sz="4" w:space="0"/>
              <w:right w:val="single" w:color="auto" w:sz="4" w:space="0"/>
            </w:tcBorders>
            <w:vAlign w:val="center"/>
          </w:tcPr>
          <w:p w14:paraId="586EC1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药房管理系统主要对住院药房库存、药品批次、药品有效期、药品结存、病区药品发药等进行有效管理。具有可用库存数量及库存量预减管理功能，以便医生开单或处方输入后减少可用库存，下次处方能根据可用库存控制开单数量，保证发药时库存充分（发药后减少实际库存）。</w:t>
            </w:r>
            <w:r>
              <w:rPr>
                <w:rFonts w:hint="eastAsia"/>
                <w:color w:val="auto"/>
              </w:rPr>
              <w:t>药房每月末自动月结（提供反月结功能），系统自动生成药房的进销存明细表与汇总表，并按现用财务报表格式生成各类财务报表、统计表。所有报表、统计表提供筛选按钮，筛选条件包含但不限于药房名称、药品账簿类别、统计期间。增加药房药品盘点完成后至月结节点前出入库情况的统计汇总表及明细表。</w:t>
            </w:r>
          </w:p>
          <w:p w14:paraId="413D383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具体功能如下：</w:t>
            </w:r>
          </w:p>
          <w:p w14:paraId="17E1176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1、可自动获取药品名称、规格、批号、价格、生产厂家、药品来源、药品剂型、属性、类别和住院患者等药品基本信息；</w:t>
            </w:r>
          </w:p>
          <w:p w14:paraId="2083715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2、实现根据药品时间段内耗量或库存限量自动生成药品请领单，并发送至相关科室。</w:t>
            </w:r>
          </w:p>
          <w:p w14:paraId="706D97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3、实现药品的退药入库、盘盈入库、领用入库、调拨入库、处方出库、报损出库、退药出库、盘亏出库、调拨出库等多种出入库类别，且可根据要求增删。可自动接收科室领药单，并转化为出库单。</w:t>
            </w:r>
          </w:p>
          <w:p w14:paraId="276819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4、药房具有可用库存数量及库存量预减管理功能，以便医生开单或处方输入后减少可用库存，下次处方能根据可用库存控制开单数量，保证发药时库存充分（发药后减少实际库存）。</w:t>
            </w:r>
          </w:p>
          <w:p w14:paraId="07A70D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5、提供对药库发到本药房的药品的出库单或其他药房发送的调拨单进行入库确认。</w:t>
            </w:r>
          </w:p>
          <w:p w14:paraId="6750E02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6、具有药房药品的日结、月结和年结算功能，并自动比较会计账及实物账的</w:t>
            </w:r>
          </w:p>
          <w:p w14:paraId="562DE1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7、可随时查询某日和任意时间段的入库药品消耗，以及任意某一药品的入、出、存明细账。</w:t>
            </w:r>
          </w:p>
          <w:p w14:paraId="1A089F3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8、提供药品的有效期管理、可自动报警和统计过期药品的品种数和金额。</w:t>
            </w:r>
          </w:p>
          <w:p w14:paraId="6204333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9、对毒麻药品、精神药品的种类、贵重药品、院内制剂、进口药品、自费药等均有特定的判断识别处理。</w:t>
            </w:r>
          </w:p>
          <w:p w14:paraId="2ED940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10、实现药品批次管理；可根据参数设置药品“先入先出”或“效期先出”原则。</w:t>
            </w:r>
          </w:p>
          <w:p w14:paraId="3402964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11、统计查询：实现以上所有工作相关统计、查询和打印功能。</w:t>
            </w:r>
          </w:p>
          <w:p w14:paraId="4EEFA4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12、具有分别按患者的临时医嘱和长期医嘱执行确认上账功能，并自动生成针剂、片剂、输液、毒麻和其他等类型的摆药单和统领单，同时追踪各药品的库存及患者的押金等，打印中草药处方单，并实现对特殊医嘱、隔日医嘱等的处理；可设立摆药机独立库存，摆药医嘱独立从该库房出库。</w:t>
            </w:r>
          </w:p>
          <w:p w14:paraId="2CEDB50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13、可对病区的退药单进行执行确认，同时返回预交金至病人住院预交金余额。</w:t>
            </w:r>
          </w:p>
          <w:p w14:paraId="41AED1A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14、提供对隔日医嘱的处理，并实现预发多日用药。</w:t>
            </w:r>
          </w:p>
          <w:p w14:paraId="11520A9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15、对每一张配药单均有唯一的标示号识别。</w:t>
            </w:r>
          </w:p>
          <w:p w14:paraId="7AD365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16、实现动态药房，护士可到任意药房领药，并减发药药房的库存。</w:t>
            </w:r>
          </w:p>
          <w:p w14:paraId="1FAB6A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17、实现根据药品分类摆药（如大输液、片剂药品等）。</w:t>
            </w:r>
          </w:p>
          <w:p w14:paraId="49531D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18、实现出院病人带药功能。</w:t>
            </w:r>
          </w:p>
          <w:p w14:paraId="19F0E8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9</w:t>
            </w:r>
            <w:r>
              <w:rPr>
                <w:rFonts w:hint="eastAsia" w:cs="宋体" w:asciiTheme="majorEastAsia" w:hAnsiTheme="majorEastAsia" w:eastAsiaTheme="majorEastAsia"/>
                <w:color w:val="auto"/>
                <w:szCs w:val="21"/>
              </w:rPr>
              <w:t>、盘点功能中盘点数据汇总界面可直接更改录入数据。</w:t>
            </w:r>
          </w:p>
          <w:p w14:paraId="305ADCA8">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szCs w:val="21"/>
              </w:rPr>
              <w:t>20、</w:t>
            </w:r>
            <w:r>
              <w:rPr>
                <w:rFonts w:hint="eastAsia" w:cs="宋体" w:asciiTheme="majorEastAsia" w:hAnsiTheme="majorEastAsia" w:eastAsiaTheme="majorEastAsia"/>
                <w:color w:val="auto"/>
                <w:szCs w:val="21"/>
              </w:rPr>
              <w:t>实现住院药房库存禁用管理</w:t>
            </w:r>
            <w:r>
              <w:rPr>
                <w:rFonts w:hint="eastAsia" w:asciiTheme="majorEastAsia" w:hAnsiTheme="majorEastAsia" w:eastAsiaTheme="majorEastAsia"/>
                <w:color w:val="auto"/>
                <w:szCs w:val="21"/>
              </w:rPr>
              <w:t>，药品信息维护实现住院药房发药取整方式。</w:t>
            </w:r>
          </w:p>
        </w:tc>
        <w:tc>
          <w:tcPr>
            <w:tcW w:w="379" w:type="pct"/>
            <w:tcBorders>
              <w:top w:val="single" w:color="auto" w:sz="4" w:space="0"/>
              <w:left w:val="single" w:color="auto" w:sz="4" w:space="0"/>
              <w:bottom w:val="single" w:color="auto" w:sz="4" w:space="0"/>
              <w:right w:val="single" w:color="auto" w:sz="4" w:space="0"/>
            </w:tcBorders>
            <w:vAlign w:val="center"/>
          </w:tcPr>
          <w:p w14:paraId="289CDDD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502F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15D4D55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6B475F1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静配中心系统</w:t>
            </w:r>
          </w:p>
        </w:tc>
        <w:tc>
          <w:tcPr>
            <w:tcW w:w="3788" w:type="pct"/>
            <w:tcBorders>
              <w:top w:val="single" w:color="auto" w:sz="4" w:space="0"/>
              <w:left w:val="single" w:color="auto" w:sz="4" w:space="0"/>
              <w:bottom w:val="single" w:color="auto" w:sz="4" w:space="0"/>
              <w:right w:val="single" w:color="auto" w:sz="4" w:space="0"/>
            </w:tcBorders>
            <w:vAlign w:val="center"/>
          </w:tcPr>
          <w:p w14:paraId="27D258F8">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静配（医嘱）审核</w:t>
            </w:r>
          </w:p>
          <w:p w14:paraId="2799AEBC">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接收病区患者医嘱</w:t>
            </w:r>
            <w:r>
              <w:rPr>
                <w:rFonts w:hint="eastAsia" w:cs="宋体" w:asciiTheme="majorEastAsia" w:hAnsiTheme="majorEastAsia" w:eastAsiaTheme="majorEastAsia"/>
                <w:color w:val="auto"/>
                <w:szCs w:val="21"/>
              </w:rPr>
              <w:t>或门诊患者处方</w:t>
            </w:r>
            <w:r>
              <w:rPr>
                <w:rFonts w:cs="宋体" w:asciiTheme="majorEastAsia" w:hAnsiTheme="majorEastAsia" w:eastAsiaTheme="majorEastAsia"/>
                <w:color w:val="auto"/>
                <w:szCs w:val="21"/>
              </w:rPr>
              <w:t>。静配中心药师对各科室的医嘱进行合理用药审查。</w:t>
            </w: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在系统中设置自定义的审方规则。</w:t>
            </w:r>
          </w:p>
          <w:p w14:paraId="44BBBB93">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审查界面可查阅该病人的长期或临时医嘱用药，及各项实验室检查结果。</w:t>
            </w:r>
          </w:p>
          <w:p w14:paraId="30E6C2A4">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用药审查包含TPN审方模块，如患者TPN的详细医嘱信息、患者TPN 审查信息（指标计算值和指标范围）、TPN基本营养配比结构等</w:t>
            </w:r>
          </w:p>
          <w:p w14:paraId="00FA5207">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TPN审查计算包含总热量、单位热量、三大营养物质热量比例、非蛋白热量、糖脂比、热氮比、葡萄糖供给量、脂肪乳供给量、氨基酸供给量、丙氨酰谷氨酰胺用量占比、渗透压、最少输液时间、氨基酸浓度（%）、脂肪乳浓度（%）、葡萄糖浓度（%）、单价阳离子浓度、二价阳离子浓度等参数计算，并对患者某项超出范围的值予以标识。</w:t>
            </w:r>
          </w:p>
          <w:p w14:paraId="1AE7B59F">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静配中心药师可将不合理医嘱打回到病房系统（住院医生或住院护士），打回时需要填写打回原因。</w:t>
            </w:r>
          </w:p>
          <w:p w14:paraId="5B57D4F6">
            <w:pPr>
              <w:spacing w:line="440" w:lineRule="exact"/>
              <w:ind w:firstLine="210" w:firstLineChars="1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审核通过后，当前医嘱才能进入静配中心业务流程。</w:t>
            </w:r>
          </w:p>
          <w:p w14:paraId="01B19E6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瓶贴打印</w:t>
            </w:r>
          </w:p>
          <w:p w14:paraId="7A978FDC">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  </w:t>
            </w:r>
            <w:r>
              <w:rPr>
                <w:rFonts w:hint="eastAsia" w:cs="宋体" w:asciiTheme="majorEastAsia" w:hAnsiTheme="majorEastAsia" w:eastAsiaTheme="majorEastAsia"/>
                <w:color w:val="auto"/>
                <w:szCs w:val="21"/>
                <w:lang w:val="en-US" w:eastAsia="zh-CN"/>
              </w:rPr>
              <w:t>实现</w:t>
            </w:r>
            <w:r>
              <w:rPr>
                <w:rFonts w:hint="eastAsia" w:cs="宋体" w:asciiTheme="majorEastAsia" w:hAnsiTheme="majorEastAsia" w:eastAsiaTheme="majorEastAsia"/>
                <w:color w:val="auto"/>
                <w:szCs w:val="21"/>
              </w:rPr>
              <w:t>静配药师完成需要配药的医嘱摆药前的准备工作：包含打印输液标签、打印摆药单、分配人员（摆药人、贴签核对人、成品核对人、配置人）、分配配置台；</w:t>
            </w:r>
          </w:p>
          <w:p w14:paraId="21BEC606">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自由选择批次、单科室或多科室的标签打印；打印格式个性化处理，如显示抗生素标识，使用剂量“实心粗下划线”对不完整用药的药品进行标识；系统集成了二维条码打印功能，为后续条码扫描功能提供支持。</w:t>
            </w:r>
          </w:p>
          <w:p w14:paraId="4A6E760B">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静配核对</w:t>
            </w:r>
          </w:p>
          <w:p w14:paraId="099C94C4">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静配核对确认后，记录排药核对人员和排药核对时间。</w:t>
            </w:r>
          </w:p>
          <w:p w14:paraId="40BEDA0D">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静配发药</w:t>
            </w:r>
          </w:p>
          <w:p w14:paraId="0738C49F">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配送人员可打印界面上所有输液单的配送清单。</w:t>
            </w:r>
          </w:p>
          <w:p w14:paraId="23DFCE72">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配送人员可打印界面上所有输液单的批次汇总单，用于配送时贴在箱子上。</w:t>
            </w:r>
          </w:p>
          <w:p w14:paraId="5AA93E92">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静配退药</w:t>
            </w:r>
          </w:p>
          <w:p w14:paraId="34948CAA">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静脉用药调配中心已配送的打包药品，在护士站按退药录入后，在静脉用药调配中心进行退药确认，退药确认后冲回病人费用，并增加对应药房的药品库存。</w:t>
            </w:r>
          </w:p>
          <w:p w14:paraId="5332F837">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静配药品对可退药的医嘱操作同普通药品，可执行冲抵处理。（有新增相同医嘱优先使用冲抵退药药品）。可查询医嘱退药状态明细。</w:t>
            </w:r>
          </w:p>
          <w:p w14:paraId="566AD7E3">
            <w:pPr>
              <w:spacing w:line="440" w:lineRule="exact"/>
              <w:ind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有新的病区退药提交信息提醒。</w:t>
            </w:r>
          </w:p>
          <w:p w14:paraId="6D1EF0E5">
            <w:pPr>
              <w:spacing w:line="440" w:lineRule="exact"/>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6、实现门诊业务静配流程</w:t>
            </w:r>
            <w:r>
              <w:rPr>
                <w:rFonts w:asciiTheme="majorEastAsia" w:hAnsiTheme="majorEastAsia" w:eastAsiaTheme="majorEastAsia"/>
                <w:color w:val="auto"/>
                <w:kern w:val="0"/>
                <w:szCs w:val="21"/>
              </w:rPr>
              <w:t>。</w:t>
            </w:r>
          </w:p>
          <w:p w14:paraId="2E3BD6B8">
            <w:pPr>
              <w:spacing w:line="440" w:lineRule="exact"/>
              <w:rPr>
                <w:rFonts w:ascii="宋体" w:hAnsi="宋体"/>
                <w:color w:val="auto"/>
                <w:kern w:val="0"/>
                <w:szCs w:val="21"/>
              </w:rPr>
            </w:pPr>
            <w:r>
              <w:rPr>
                <w:rFonts w:hint="eastAsia" w:ascii="宋体" w:hAnsi="宋体"/>
                <w:color w:val="auto"/>
                <w:kern w:val="0"/>
                <w:szCs w:val="21"/>
              </w:rPr>
              <w:t>7、批次规则维护</w:t>
            </w:r>
          </w:p>
          <w:p w14:paraId="6C94753C">
            <w:pPr>
              <w:spacing w:line="440" w:lineRule="exact"/>
              <w:rPr>
                <w:rFonts w:ascii="宋体" w:hAnsi="宋体"/>
                <w:color w:val="auto"/>
                <w:kern w:val="0"/>
                <w:szCs w:val="21"/>
              </w:rPr>
            </w:pPr>
            <w:r>
              <w:rPr>
                <w:rFonts w:hint="eastAsia" w:ascii="宋体" w:hAnsi="宋体"/>
                <w:color w:val="auto"/>
                <w:kern w:val="0"/>
                <w:szCs w:val="21"/>
              </w:rPr>
              <w:t>1）、</w:t>
            </w:r>
            <w:r>
              <w:rPr>
                <w:rFonts w:hint="eastAsia" w:ascii="宋体" w:hAnsi="宋体"/>
                <w:color w:val="auto"/>
                <w:kern w:val="0"/>
                <w:szCs w:val="21"/>
                <w:lang w:val="en-US" w:eastAsia="zh-CN"/>
              </w:rPr>
              <w:t>实现</w:t>
            </w:r>
            <w:r>
              <w:rPr>
                <w:rFonts w:hint="eastAsia" w:ascii="宋体" w:hAnsi="宋体"/>
                <w:color w:val="auto"/>
                <w:kern w:val="0"/>
                <w:szCs w:val="21"/>
              </w:rPr>
              <w:t>维护自动分批规则</w:t>
            </w:r>
            <w:r>
              <w:rPr>
                <w:rFonts w:hint="eastAsia" w:ascii="宋体" w:hAnsi="宋体"/>
                <w:color w:val="auto"/>
                <w:kern w:val="0"/>
                <w:szCs w:val="21"/>
                <w:lang w:val="en-US" w:eastAsia="zh-CN"/>
              </w:rPr>
              <w:t>功能</w:t>
            </w:r>
            <w:r>
              <w:rPr>
                <w:rFonts w:hint="eastAsia" w:ascii="宋体" w:hAnsi="宋体"/>
                <w:color w:val="auto"/>
                <w:kern w:val="0"/>
                <w:szCs w:val="21"/>
              </w:rPr>
              <w:t>，维护后批次决策页面会按照设定规则自动对医嘱进行分批。</w:t>
            </w:r>
          </w:p>
          <w:p w14:paraId="3209197D">
            <w:pPr>
              <w:spacing w:line="440" w:lineRule="exact"/>
              <w:rPr>
                <w:rFonts w:ascii="宋体" w:hAnsi="宋体"/>
                <w:color w:val="auto"/>
                <w:kern w:val="0"/>
                <w:szCs w:val="21"/>
              </w:rPr>
            </w:pPr>
            <w:r>
              <w:rPr>
                <w:rFonts w:hint="eastAsia" w:ascii="宋体" w:hAnsi="宋体"/>
                <w:color w:val="auto"/>
                <w:kern w:val="0"/>
                <w:szCs w:val="21"/>
              </w:rPr>
              <w:t>2）、前置规则：</w:t>
            </w:r>
            <w:r>
              <w:rPr>
                <w:rFonts w:hint="eastAsia" w:ascii="宋体" w:hAnsi="宋体"/>
                <w:color w:val="auto"/>
                <w:kern w:val="0"/>
                <w:szCs w:val="21"/>
                <w:lang w:val="en-US" w:eastAsia="zh-CN"/>
              </w:rPr>
              <w:t>实现</w:t>
            </w:r>
            <w:r>
              <w:rPr>
                <w:rFonts w:hint="eastAsia" w:ascii="宋体" w:hAnsi="宋体"/>
                <w:color w:val="auto"/>
                <w:kern w:val="0"/>
                <w:szCs w:val="21"/>
              </w:rPr>
              <w:t>根据前置规则</w:t>
            </w:r>
            <w:r>
              <w:rPr>
                <w:rFonts w:hint="eastAsia" w:ascii="宋体" w:hAnsi="宋体"/>
                <w:color w:val="auto"/>
                <w:kern w:val="0"/>
                <w:szCs w:val="21"/>
                <w:lang w:val="en-US" w:eastAsia="zh-CN"/>
              </w:rPr>
              <w:t>功能</w:t>
            </w:r>
            <w:r>
              <w:rPr>
                <w:rFonts w:hint="eastAsia" w:ascii="宋体" w:hAnsi="宋体"/>
                <w:color w:val="auto"/>
                <w:kern w:val="0"/>
                <w:szCs w:val="21"/>
              </w:rPr>
              <w:t>，对需要打包的医嘱进行提前分批。</w:t>
            </w:r>
          </w:p>
          <w:p w14:paraId="546C42F6">
            <w:pPr>
              <w:spacing w:line="440" w:lineRule="exact"/>
              <w:rPr>
                <w:rFonts w:ascii="宋体" w:hAnsi="宋体"/>
                <w:color w:val="auto"/>
                <w:kern w:val="0"/>
                <w:szCs w:val="21"/>
              </w:rPr>
            </w:pPr>
            <w:r>
              <w:rPr>
                <w:rFonts w:hint="eastAsia" w:ascii="宋体" w:hAnsi="宋体"/>
                <w:color w:val="auto"/>
                <w:kern w:val="0"/>
                <w:szCs w:val="21"/>
              </w:rPr>
              <w:t>3）、长期医嘱规则：支持按照设定的规则对长期医嘱按照频率、药品分类、药品病区规则进行分批。</w:t>
            </w:r>
          </w:p>
          <w:p w14:paraId="7620CBDD">
            <w:pPr>
              <w:spacing w:line="440" w:lineRule="exact"/>
              <w:rPr>
                <w:rFonts w:ascii="宋体" w:hAnsi="宋体"/>
                <w:color w:val="auto"/>
                <w:kern w:val="0"/>
                <w:szCs w:val="21"/>
              </w:rPr>
            </w:pPr>
            <w:r>
              <w:rPr>
                <w:rFonts w:hint="eastAsia" w:ascii="宋体" w:hAnsi="宋体"/>
                <w:color w:val="auto"/>
                <w:kern w:val="0"/>
                <w:szCs w:val="21"/>
              </w:rPr>
              <w:t>（1）频率规则：设定不同批次的的多次用药分至哪些批次。</w:t>
            </w:r>
          </w:p>
          <w:p w14:paraId="70449ADC">
            <w:pPr>
              <w:spacing w:line="440" w:lineRule="exact"/>
              <w:rPr>
                <w:rFonts w:ascii="宋体" w:hAnsi="宋体"/>
                <w:color w:val="auto"/>
                <w:kern w:val="0"/>
                <w:szCs w:val="21"/>
              </w:rPr>
            </w:pPr>
            <w:r>
              <w:rPr>
                <w:rFonts w:hint="eastAsia" w:ascii="宋体" w:hAnsi="宋体"/>
                <w:color w:val="auto"/>
                <w:kern w:val="0"/>
                <w:szCs w:val="21"/>
              </w:rPr>
              <w:t>（2）药品分类规则：设定不同的药品分类首次用药需要分配到哪个批次（例：抗生素类需要优先分到第一批）。</w:t>
            </w:r>
          </w:p>
          <w:p w14:paraId="24FF3548">
            <w:pPr>
              <w:spacing w:line="440" w:lineRule="exact"/>
              <w:rPr>
                <w:rFonts w:ascii="宋体" w:hAnsi="宋体"/>
                <w:color w:val="auto"/>
                <w:kern w:val="0"/>
                <w:szCs w:val="21"/>
              </w:rPr>
            </w:pPr>
            <w:r>
              <w:rPr>
                <w:rFonts w:hint="eastAsia" w:ascii="宋体" w:hAnsi="宋体"/>
                <w:color w:val="auto"/>
                <w:kern w:val="0"/>
                <w:szCs w:val="21"/>
              </w:rPr>
              <w:t>（3）病区药品规则：特殊病区的特殊药品首批用药分至哪个批次。</w:t>
            </w:r>
          </w:p>
          <w:p w14:paraId="70539D3F">
            <w:pPr>
              <w:spacing w:line="440" w:lineRule="exact"/>
              <w:rPr>
                <w:rFonts w:ascii="宋体" w:hAnsi="宋体"/>
                <w:color w:val="auto"/>
                <w:kern w:val="0"/>
                <w:szCs w:val="21"/>
              </w:rPr>
            </w:pPr>
            <w:r>
              <w:rPr>
                <w:rFonts w:hint="eastAsia" w:ascii="宋体" w:hAnsi="宋体"/>
                <w:color w:val="auto"/>
                <w:kern w:val="0"/>
                <w:szCs w:val="21"/>
              </w:rPr>
              <w:t>（4）优先级：当医嘱命中多个规则时，优先按照哪个规则进行分批。</w:t>
            </w:r>
          </w:p>
          <w:p w14:paraId="17198916">
            <w:pPr>
              <w:spacing w:line="440" w:lineRule="exact"/>
              <w:rPr>
                <w:rFonts w:ascii="宋体" w:hAnsi="宋体"/>
                <w:color w:val="auto"/>
                <w:kern w:val="0"/>
                <w:szCs w:val="21"/>
              </w:rPr>
            </w:pPr>
            <w:r>
              <w:rPr>
                <w:rFonts w:hint="eastAsia" w:ascii="宋体" w:hAnsi="宋体"/>
                <w:color w:val="auto"/>
                <w:kern w:val="0"/>
                <w:szCs w:val="21"/>
              </w:rPr>
              <w:t>4）、临时医嘱规则：</w:t>
            </w:r>
            <w:r>
              <w:rPr>
                <w:rFonts w:hint="eastAsia" w:ascii="宋体" w:hAnsi="宋体"/>
                <w:color w:val="auto"/>
                <w:kern w:val="0"/>
                <w:szCs w:val="21"/>
                <w:lang w:val="en-US" w:eastAsia="zh-CN"/>
              </w:rPr>
              <w:t>实现</w:t>
            </w:r>
            <w:r>
              <w:rPr>
                <w:rFonts w:hint="eastAsia" w:ascii="宋体" w:hAnsi="宋体"/>
                <w:color w:val="auto"/>
                <w:kern w:val="0"/>
                <w:szCs w:val="21"/>
              </w:rPr>
              <w:t>针对临时医嘱设置对应的批次规则</w:t>
            </w:r>
            <w:r>
              <w:rPr>
                <w:rFonts w:hint="eastAsia" w:ascii="宋体" w:hAnsi="宋体"/>
                <w:color w:val="auto"/>
                <w:kern w:val="0"/>
                <w:szCs w:val="21"/>
                <w:lang w:val="en-US" w:eastAsia="zh-CN"/>
              </w:rPr>
              <w:t>功能</w:t>
            </w:r>
            <w:r>
              <w:rPr>
                <w:rFonts w:hint="eastAsia" w:ascii="宋体" w:hAnsi="宋体"/>
                <w:color w:val="auto"/>
                <w:kern w:val="0"/>
                <w:szCs w:val="21"/>
              </w:rPr>
              <w:t>。</w:t>
            </w:r>
          </w:p>
          <w:p w14:paraId="685AFB4E">
            <w:pPr>
              <w:spacing w:line="440" w:lineRule="exact"/>
              <w:rPr>
                <w:rFonts w:ascii="宋体" w:hAnsi="宋体"/>
                <w:color w:val="auto"/>
                <w:kern w:val="0"/>
                <w:szCs w:val="21"/>
              </w:rPr>
            </w:pPr>
            <w:r>
              <w:rPr>
                <w:rFonts w:hint="eastAsia" w:ascii="宋体" w:hAnsi="宋体"/>
                <w:color w:val="auto"/>
                <w:kern w:val="0"/>
                <w:szCs w:val="21"/>
              </w:rPr>
              <w:t>5）、病区容积规则：支持兜底规则，用于设置单人某个批次的最大配药量，累加超出配药量的医嘱会分配至其他批次。</w:t>
            </w:r>
          </w:p>
          <w:p w14:paraId="00C65F04">
            <w:pPr>
              <w:spacing w:line="440" w:lineRule="exact"/>
              <w:rPr>
                <w:rFonts w:ascii="宋体" w:hAnsi="宋体"/>
                <w:color w:val="auto"/>
                <w:szCs w:val="21"/>
              </w:rPr>
            </w:pPr>
            <w:r>
              <w:rPr>
                <w:rFonts w:hint="eastAsia" w:ascii="宋体" w:hAnsi="宋体"/>
                <w:color w:val="auto"/>
                <w:szCs w:val="21"/>
              </w:rPr>
              <w:t>8、药品特殊属性维护</w:t>
            </w:r>
          </w:p>
          <w:p w14:paraId="18D4DE4A">
            <w:pPr>
              <w:spacing w:line="440" w:lineRule="exact"/>
              <w:rPr>
                <w:rFonts w:ascii="宋体" w:hAnsi="宋体"/>
                <w:color w:val="auto"/>
                <w:szCs w:val="21"/>
              </w:rPr>
            </w:pPr>
            <w:r>
              <w:rPr>
                <w:rFonts w:hint="eastAsia" w:ascii="宋体" w:hAnsi="宋体"/>
                <w:color w:val="auto"/>
                <w:szCs w:val="21"/>
              </w:rPr>
              <w:t>1、药品审方规则：支持维护自动审方规则后，医嘱审核页面会根据规则对触发规则的医嘱进行提示，辅助用户快速审方.</w:t>
            </w:r>
          </w:p>
          <w:p w14:paraId="081BA4E6">
            <w:pPr>
              <w:spacing w:line="440" w:lineRule="exact"/>
              <w:rPr>
                <w:rFonts w:ascii="宋体" w:hAnsi="宋体"/>
                <w:color w:val="auto"/>
                <w:szCs w:val="21"/>
              </w:rPr>
            </w:pPr>
            <w:r>
              <w:rPr>
                <w:rFonts w:hint="eastAsia" w:ascii="宋体" w:hAnsi="宋体"/>
                <w:color w:val="auto"/>
                <w:szCs w:val="21"/>
              </w:rPr>
              <w:t>1）配伍禁忌：用于维护药品间的配伍关系分为：与某药同组提示、与某药不同组提示等。</w:t>
            </w:r>
          </w:p>
          <w:p w14:paraId="7502234D">
            <w:pPr>
              <w:spacing w:line="440" w:lineRule="exact"/>
              <w:rPr>
                <w:rFonts w:ascii="宋体" w:hAnsi="宋体"/>
                <w:color w:val="auto"/>
                <w:szCs w:val="21"/>
              </w:rPr>
            </w:pPr>
            <w:r>
              <w:rPr>
                <w:rFonts w:hint="eastAsia" w:ascii="宋体" w:hAnsi="宋体"/>
                <w:color w:val="auto"/>
                <w:szCs w:val="21"/>
              </w:rPr>
              <w:t>2）用法禁忌：用于维护药品限制或者限用用法的维护。</w:t>
            </w:r>
          </w:p>
          <w:p w14:paraId="0DD56F28">
            <w:pPr>
              <w:spacing w:line="440" w:lineRule="exact"/>
              <w:rPr>
                <w:rFonts w:ascii="宋体" w:hAnsi="宋体"/>
                <w:color w:val="auto"/>
                <w:szCs w:val="21"/>
              </w:rPr>
            </w:pPr>
            <w:r>
              <w:rPr>
                <w:rFonts w:hint="eastAsia" w:ascii="宋体" w:hAnsi="宋体"/>
                <w:color w:val="auto"/>
                <w:szCs w:val="21"/>
              </w:rPr>
              <w:t>3）频次禁忌：用于维护药品限制或者限用频次的维护。</w:t>
            </w:r>
          </w:p>
          <w:p w14:paraId="75E2FC15">
            <w:pPr>
              <w:spacing w:line="440" w:lineRule="exact"/>
              <w:rPr>
                <w:rFonts w:asciiTheme="majorEastAsia" w:hAnsiTheme="majorEastAsia" w:eastAsiaTheme="majorEastAsia"/>
                <w:color w:val="auto"/>
                <w:szCs w:val="21"/>
              </w:rPr>
            </w:pPr>
            <w:r>
              <w:rPr>
                <w:rFonts w:hint="eastAsia" w:ascii="宋体" w:hAnsi="宋体"/>
                <w:color w:val="auto"/>
                <w:szCs w:val="21"/>
              </w:rPr>
              <w:t>4）当医嘱触发规则进行驳回时，支持选择驳回原因的维护。</w:t>
            </w:r>
          </w:p>
        </w:tc>
        <w:tc>
          <w:tcPr>
            <w:tcW w:w="379" w:type="pct"/>
            <w:tcBorders>
              <w:top w:val="single" w:color="auto" w:sz="4" w:space="0"/>
              <w:left w:val="single" w:color="auto" w:sz="4" w:space="0"/>
              <w:bottom w:val="single" w:color="auto" w:sz="4" w:space="0"/>
              <w:right w:val="single" w:color="auto" w:sz="4" w:space="0"/>
            </w:tcBorders>
            <w:vAlign w:val="center"/>
          </w:tcPr>
          <w:p w14:paraId="2368141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55CF4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452" w:type="pct"/>
            <w:vMerge w:val="continue"/>
            <w:tcBorders>
              <w:left w:val="single" w:color="auto" w:sz="4" w:space="0"/>
              <w:right w:val="single" w:color="auto" w:sz="4" w:space="0"/>
            </w:tcBorders>
            <w:vAlign w:val="center"/>
          </w:tcPr>
          <w:p w14:paraId="586CB12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507EEAE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临床药学系统</w:t>
            </w:r>
          </w:p>
        </w:tc>
        <w:tc>
          <w:tcPr>
            <w:tcW w:w="3788" w:type="pct"/>
            <w:tcBorders>
              <w:top w:val="single" w:color="auto" w:sz="4" w:space="0"/>
              <w:left w:val="single" w:color="auto" w:sz="4" w:space="0"/>
              <w:bottom w:val="single" w:color="auto" w:sz="4" w:space="0"/>
              <w:right w:val="single" w:color="auto" w:sz="4" w:space="0"/>
            </w:tcBorders>
            <w:vAlign w:val="center"/>
          </w:tcPr>
          <w:p w14:paraId="394A242A">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、配备his系统移动设备</w:t>
            </w:r>
          </w:p>
          <w:p w14:paraId="52B5F045">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可浏览患者病史病历信息、诊断、医嘱、检查检验、手术信息等，</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移动</w:t>
            </w:r>
            <w:r>
              <w:rPr>
                <w:rFonts w:hint="eastAsia" w:cs="宋体" w:asciiTheme="majorEastAsia" w:hAnsiTheme="majorEastAsia" w:eastAsiaTheme="majorEastAsia"/>
                <w:color w:val="auto"/>
                <w:szCs w:val="21"/>
              </w:rPr>
              <w:t>办公</w:t>
            </w:r>
            <w:r>
              <w:rPr>
                <w:rFonts w:cs="宋体" w:asciiTheme="majorEastAsia" w:hAnsiTheme="majorEastAsia" w:eastAsiaTheme="majorEastAsia"/>
                <w:color w:val="auto"/>
                <w:szCs w:val="21"/>
              </w:rPr>
              <w:t>，药师可在移动端查看患者诊疗信息、查看会诊申请、回复咨询。</w:t>
            </w:r>
          </w:p>
          <w:p w14:paraId="550A9897">
            <w:pPr>
              <w:spacing w:line="440" w:lineRule="exact"/>
              <w:ind w:firstLine="525" w:firstLineChars="25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三级医院绩效考核</w:t>
            </w:r>
            <w:r>
              <w:rPr>
                <w:rFonts w:hint="eastAsia" w:cs="宋体" w:asciiTheme="majorEastAsia" w:hAnsiTheme="majorEastAsia" w:eastAsiaTheme="majorEastAsia"/>
                <w:color w:val="auto"/>
                <w:szCs w:val="21"/>
              </w:rPr>
              <w:t>数据一键查询</w:t>
            </w:r>
          </w:p>
          <w:p w14:paraId="51F6B72F">
            <w:pPr>
              <w:spacing w:line="440" w:lineRule="exact"/>
              <w:ind w:firstLine="525" w:firstLineChars="25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系统主页能显示门诊/住院点评率、合理率、抗菌药物使用强度、门诊基本药物占比、住院静脉输液使用率、集采使用占比、药品费用占比、等指标。</w:t>
            </w:r>
          </w:p>
          <w:p w14:paraId="72E71325">
            <w:pPr>
              <w:spacing w:line="440" w:lineRule="exact"/>
              <w:ind w:firstLine="315" w:firstLineChars="15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满足三级公立医院绩效考核数据上报的相关工作，通过任务自动生成绩效考核的院区、科室、医生多维度的数据，提高绩效考核数据上报的工作</w:t>
            </w:r>
            <w:r>
              <w:rPr>
                <w:rFonts w:hint="eastAsia" w:cs="宋体" w:asciiTheme="majorEastAsia" w:hAnsiTheme="majorEastAsia" w:eastAsiaTheme="majorEastAsia"/>
                <w:color w:val="auto"/>
                <w:szCs w:val="21"/>
              </w:rPr>
              <w:t>效率。临床科室可通过科室管理员系统查看本科室的</w:t>
            </w:r>
            <w:r>
              <w:rPr>
                <w:rFonts w:cs="宋体" w:asciiTheme="majorEastAsia" w:hAnsiTheme="majorEastAsia" w:eastAsiaTheme="majorEastAsia"/>
                <w:color w:val="auto"/>
                <w:szCs w:val="21"/>
              </w:rPr>
              <w:t>绩效考核</w:t>
            </w:r>
            <w:r>
              <w:rPr>
                <w:rFonts w:hint="eastAsia" w:cs="宋体" w:asciiTheme="majorEastAsia" w:hAnsiTheme="majorEastAsia" w:eastAsiaTheme="majorEastAsia"/>
                <w:color w:val="auto"/>
                <w:szCs w:val="21"/>
              </w:rPr>
              <w:t>数据，科室管理员可对本科室的考核数据进行自定义提取。</w:t>
            </w:r>
          </w:p>
          <w:p w14:paraId="285FD1FF">
            <w:pPr>
              <w:spacing w:line="440" w:lineRule="exact"/>
              <w:ind w:firstLine="525" w:firstLineChars="25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 xml:space="preserve">、用药监控 </w:t>
            </w:r>
          </w:p>
          <w:p w14:paraId="4A9C7E4D">
            <w:pPr>
              <w:spacing w:line="440" w:lineRule="exact"/>
              <w:ind w:firstLine="525" w:firstLineChars="25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要求系统</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手术用药预警和用药路径监测。</w:t>
            </w:r>
            <w:r>
              <w:rPr>
                <w:rFonts w:hint="eastAsia" w:cs="宋体" w:asciiTheme="majorEastAsia" w:hAnsiTheme="majorEastAsia" w:eastAsiaTheme="majorEastAsia"/>
                <w:color w:val="auto"/>
                <w:szCs w:val="21"/>
              </w:rPr>
              <w:t>手术用药预警要求提供统计出手术用药预警信息，</w:t>
            </w:r>
            <w:r>
              <w:rPr>
                <w:rFonts w:cs="宋体" w:asciiTheme="majorEastAsia" w:hAnsiTheme="majorEastAsia" w:eastAsiaTheme="majorEastAsia"/>
                <w:color w:val="auto"/>
                <w:szCs w:val="21"/>
              </w:rPr>
              <w:t>用药路径监测要求可以监测患者用药路径。</w:t>
            </w:r>
          </w:p>
          <w:p w14:paraId="6FFB9C07">
            <w:pPr>
              <w:spacing w:line="440" w:lineRule="exact"/>
              <w:ind w:firstLine="525" w:firstLineChars="25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、不良反应上报</w:t>
            </w:r>
          </w:p>
          <w:p w14:paraId="1ECAEE0B">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实现按照国家药品监督管理局药品评价中心填报标准填报不良反应，自动拉取患者信息、药品信息、病历内容等。</w:t>
            </w:r>
          </w:p>
        </w:tc>
        <w:tc>
          <w:tcPr>
            <w:tcW w:w="379" w:type="pct"/>
            <w:tcBorders>
              <w:top w:val="single" w:color="auto" w:sz="4" w:space="0"/>
              <w:left w:val="single" w:color="auto" w:sz="4" w:space="0"/>
              <w:bottom w:val="single" w:color="auto" w:sz="4" w:space="0"/>
              <w:right w:val="single" w:color="auto" w:sz="4" w:space="0"/>
            </w:tcBorders>
            <w:vAlign w:val="center"/>
          </w:tcPr>
          <w:p w14:paraId="0F1BE73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257C3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15E1F526">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61610B28">
            <w:pPr>
              <w:spacing w:line="440" w:lineRule="exact"/>
              <w:jc w:val="left"/>
              <w:rPr>
                <w:rFonts w:cs="宋体" w:asciiTheme="majorEastAsia" w:hAnsiTheme="majorEastAsia" w:eastAsiaTheme="majorEastAsia"/>
                <w:color w:val="auto"/>
                <w:szCs w:val="21"/>
              </w:rPr>
            </w:pPr>
            <w:bookmarkStart w:id="45" w:name="医保对账管理系统"/>
            <w:r>
              <w:rPr>
                <w:rFonts w:hint="eastAsia" w:cs="宋体" w:asciiTheme="majorEastAsia" w:hAnsiTheme="majorEastAsia" w:eastAsiaTheme="majorEastAsia"/>
                <w:color w:val="auto"/>
                <w:szCs w:val="21"/>
              </w:rPr>
              <w:t>医保对账管理系统</w:t>
            </w:r>
            <w:bookmarkEnd w:id="45"/>
          </w:p>
        </w:tc>
        <w:tc>
          <w:tcPr>
            <w:tcW w:w="3788" w:type="pct"/>
            <w:tcBorders>
              <w:top w:val="single" w:color="auto" w:sz="4" w:space="0"/>
              <w:left w:val="single" w:color="auto" w:sz="4" w:space="0"/>
              <w:bottom w:val="single" w:color="auto" w:sz="4" w:space="0"/>
              <w:right w:val="single" w:color="auto" w:sz="4" w:space="0"/>
            </w:tcBorders>
            <w:vAlign w:val="center"/>
          </w:tcPr>
          <w:p w14:paraId="200CBF0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于专业医保知识库为医院端提供医保控费管理，能辅助医院做好医保费用的合理管控，为医院医疗运营管理提供决策支持。具体功能包括：医保项目审核、医保指标分解、医保实时监控、医保拒付管理、医保合理性考核、医保政策查询等。实现医保结算限额提醒、DRGs。</w:t>
            </w:r>
          </w:p>
          <w:p w14:paraId="3968803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1、医保项目审核</w:t>
            </w:r>
          </w:p>
          <w:p w14:paraId="584EB02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对上传的结算数据中医保报销项目进行审核、反馈。根据医保报销规则对医保报销项目进行审核，判断其是否违反医保规定，同时对报销总金额进行审核，判断是否超标。</w:t>
            </w:r>
          </w:p>
          <w:p w14:paraId="03F003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2、医保指标分解</w:t>
            </w:r>
          </w:p>
          <w:p w14:paraId="06F0654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将医院医保整体指标按照科室、人员等进行分解，按业务科室进行调整。可查看全院关键指标数据情况功能，根据时间、科室筛选，可针对单个数据做同比、环比及趋势分析；医保基金运营情况分析，包含医疗收入、医保基金支出、医保基金使用进度、医保患者费用、医保拒付等综合分析。</w:t>
            </w:r>
          </w:p>
          <w:p w14:paraId="32CB6C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3、医保实时监控</w:t>
            </w:r>
          </w:p>
          <w:p w14:paraId="03B9ADD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对医院医保指标执行情况实时监控，对违反医保报销规则、报销指标超额等情况进行实时提醒。</w:t>
            </w:r>
          </w:p>
          <w:p w14:paraId="383D14F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4、医保拒付</w:t>
            </w:r>
          </w:p>
          <w:p w14:paraId="56C593F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将医保款项被扣或被拒的信息进行集中管理、综合分析，形成统计表。具备对医保局下发的违规数据、院内事后规则引擎校验的违规数据下发给对应的医生功能，具备自定义违规项目功能，项目字段包括违规项目编码、违规项目名称、违规时间等，具备医护人员对违规及扣款情况、审核结果填写违规原因进行申诉功能。</w:t>
            </w:r>
          </w:p>
          <w:p w14:paraId="6F228B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5、医保合理性考核</w:t>
            </w:r>
          </w:p>
          <w:p w14:paraId="7BD281A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设定相关医保合理性指标，对临床科室进行考核，对考核结果进行通报，医院定期总结并调整指标。</w:t>
            </w:r>
          </w:p>
          <w:p w14:paraId="701099C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6、医保政策查询</w:t>
            </w:r>
          </w:p>
          <w:p w14:paraId="2A9F00E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实现临床医生或者医院医保管理工作人员实时查询医保相关政策，辅助医院医保政策的执行。</w:t>
            </w:r>
          </w:p>
        </w:tc>
        <w:tc>
          <w:tcPr>
            <w:tcW w:w="379" w:type="pct"/>
            <w:tcBorders>
              <w:top w:val="single" w:color="auto" w:sz="4" w:space="0"/>
              <w:left w:val="single" w:color="auto" w:sz="4" w:space="0"/>
              <w:bottom w:val="single" w:color="auto" w:sz="4" w:space="0"/>
              <w:right w:val="single" w:color="auto" w:sz="4" w:space="0"/>
            </w:tcBorders>
            <w:vAlign w:val="center"/>
          </w:tcPr>
          <w:p w14:paraId="1E90642D">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7512A0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5B20A44B">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1A7BDF61">
            <w:pPr>
              <w:spacing w:line="440" w:lineRule="exact"/>
              <w:jc w:val="left"/>
              <w:rPr>
                <w:rFonts w:cs="宋体" w:asciiTheme="majorEastAsia" w:hAnsiTheme="majorEastAsia" w:eastAsiaTheme="majorEastAsia"/>
                <w:color w:val="auto"/>
                <w:szCs w:val="21"/>
              </w:rPr>
            </w:pPr>
            <w:bookmarkStart w:id="46" w:name="临床路径管理系统"/>
            <w:r>
              <w:rPr>
                <w:rFonts w:hint="eastAsia" w:cs="宋体" w:asciiTheme="majorEastAsia" w:hAnsiTheme="majorEastAsia" w:eastAsiaTheme="majorEastAsia"/>
                <w:color w:val="auto"/>
                <w:szCs w:val="21"/>
              </w:rPr>
              <w:t>临床路径管理系统</w:t>
            </w:r>
            <w:bookmarkEnd w:id="46"/>
          </w:p>
        </w:tc>
        <w:tc>
          <w:tcPr>
            <w:tcW w:w="3788" w:type="pct"/>
            <w:tcBorders>
              <w:top w:val="single" w:color="auto" w:sz="4" w:space="0"/>
              <w:left w:val="single" w:color="auto" w:sz="4" w:space="0"/>
              <w:bottom w:val="single" w:color="auto" w:sz="4" w:space="0"/>
              <w:right w:val="single" w:color="auto" w:sz="4" w:space="0"/>
            </w:tcBorders>
            <w:vAlign w:val="center"/>
          </w:tcPr>
          <w:p w14:paraId="3934D8A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临床路径管理指导原则（试行）》，实现疾病规范化的医疗服务。医生根据患者的临床诊断，通过诊断库定义路径准入条件，判断符合准入条件的患者进入临床路径，并选择临床路径模板，按照国家路径标准定义每个阶段的诊疗、医嘱、护理内容等内容。临床路径的内容定义出现变异项目后，记录路径发生变化时的变异记录。当患者病情变化不符合当前路径时，选择出径并进行记录。职能管理部门制定临床路径统计指标，进行路径使用分析。具体功能包括：入出路径管理、变异管理、路径维护、查询统计等。</w:t>
            </w:r>
          </w:p>
          <w:p w14:paraId="5013156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47" w:name="临床路径维护"/>
            <w:r>
              <w:rPr>
                <w:rFonts w:hint="eastAsia" w:cs="宋体" w:asciiTheme="majorEastAsia" w:hAnsiTheme="majorEastAsia" w:eastAsiaTheme="majorEastAsia"/>
                <w:color w:val="auto"/>
                <w:szCs w:val="21"/>
              </w:rPr>
              <w:t>临床路径维护</w:t>
            </w:r>
            <w:bookmarkEnd w:id="47"/>
          </w:p>
          <w:p w14:paraId="4F2A3D13">
            <w:pPr>
              <w:spacing w:line="440" w:lineRule="exact"/>
              <w:ind w:firstLine="420" w:firstLineChars="200"/>
              <w:rPr>
                <w:rFonts w:cs="宋体" w:asciiTheme="majorEastAsia" w:hAnsiTheme="majorEastAsia" w:eastAsiaTheme="majorEastAsia"/>
                <w:b/>
                <w:bCs/>
                <w:color w:val="auto"/>
                <w:szCs w:val="21"/>
              </w:rPr>
            </w:pPr>
            <w:r>
              <w:rPr>
                <w:rFonts w:hint="eastAsia" w:cs="宋体" w:asciiTheme="majorEastAsia" w:hAnsiTheme="majorEastAsia" w:eastAsiaTheme="majorEastAsia"/>
                <w:color w:val="auto"/>
                <w:szCs w:val="21"/>
              </w:rPr>
              <w:t>临床路径维护管理主要实现病种维护、路径方案维护、变更字典维护等相关业务管理。具体功能包括：临床路径病种维护、临床路径方案维护、变更原因维护、常用诊疗工作维护、常用护理工作维护等功能。其中路径方案维护包含路径基本信息、准入条件、标准文本、医嘱方案等维护功能。路径数量不限使用。</w:t>
            </w:r>
          </w:p>
          <w:p w14:paraId="19DD35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1）临床路径病种维护</w:t>
            </w:r>
          </w:p>
          <w:p w14:paraId="2418BF8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主要用于维护临床路径的类别和病种字典。主要功能包括类别和病种的增、改、查和作废等操作，可导入国家卫健委规定的1010个临床路径病种，允许医院自定义增加。路径数量不限使用。</w:t>
            </w:r>
          </w:p>
          <w:p w14:paraId="72C2C92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2）临床路径维护</w:t>
            </w:r>
          </w:p>
          <w:p w14:paraId="3AE89C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主要用于查看和维护项目组临床路径的基本信息、准入条件、标准文本、医嘱项目、豁免变异药品/治疗、住院流程和路径预览等功能。路径数量不限使用。</w:t>
            </w:r>
          </w:p>
          <w:p w14:paraId="38FC52F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路径执行时，系统自动检测路径诊疗方案中是否包含入径前已完成的医嘱项目，并弹窗由医生确认，路径诊疗方案中的医嘱，是否需要重复执行。</w:t>
            </w:r>
          </w:p>
          <w:p w14:paraId="7118C3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3）变更原因维护</w:t>
            </w:r>
          </w:p>
          <w:p w14:paraId="044268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主要用于维护变更的类型和变更原因字典。包括变更类型和变更原因字典的增、改、查、作废操作。</w:t>
            </w:r>
          </w:p>
          <w:p w14:paraId="773B5B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4）常用诊疗工作维护</w:t>
            </w:r>
          </w:p>
          <w:p w14:paraId="06AA27D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常用的诊疗工作维护主要将标准文本中常用的诊疗工作项目维护成字典，方便后续路径方案的标准文本维护。主要功能包括常用诊疗工作字典项目的增加、删除、修改和查询。</w:t>
            </w:r>
          </w:p>
          <w:p w14:paraId="17A84C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5）常用护理工作维护</w:t>
            </w:r>
          </w:p>
          <w:p w14:paraId="2FDF69C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常用护理工作维护主要将标准文本中常用的护理工作项目维护成字典，方便后续路径方案的标准文本维护。主要功能包括常用护理工作字典项目的增加、删除、修改和查询。</w:t>
            </w:r>
          </w:p>
          <w:p w14:paraId="1D3B180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6）路径医嘱方案维护</w:t>
            </w:r>
          </w:p>
          <w:p w14:paraId="07C5E9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医嘱方案维护主要用于将某一类药品或治疗项目在路径中都可用的维护成医嘱方案。路径维护时对于此类药品或治疗项目选择医嘱方案即可。路径应用时根据患者的实际应用需求灵活选择具体的药品和治疗项目。</w:t>
            </w:r>
          </w:p>
          <w:p w14:paraId="79F7B9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7）标准路径维护</w:t>
            </w:r>
          </w:p>
          <w:p w14:paraId="4CA64D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标准路径维护管理主要用建立标准的临床路径文本库字典作为项目临床路径的字典，项目组可直接引用该标准临床路径文本库进行二次维护使用。标准临床路径管理主要包含：路径基本信息、路径准入条件、路径标准文本、住院流程维护和路径预览。</w:t>
            </w:r>
          </w:p>
          <w:p w14:paraId="2C289B7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48" w:name="临床路径应用"/>
            <w:r>
              <w:rPr>
                <w:rFonts w:hint="eastAsia" w:cs="宋体" w:asciiTheme="majorEastAsia" w:hAnsiTheme="majorEastAsia" w:eastAsiaTheme="majorEastAsia"/>
                <w:color w:val="auto"/>
                <w:szCs w:val="21"/>
              </w:rPr>
              <w:t>临床路径应用</w:t>
            </w:r>
            <w:bookmarkEnd w:id="48"/>
          </w:p>
          <w:p w14:paraId="4A28E95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临床路径应用主要实现病人进入路径后的整个路径执行周期内的医嘱和诊疗信息的管理，功能包括：进入路径、执行路径、退出路径、完成路径、路径内医嘱执行全过程管理。</w:t>
            </w:r>
          </w:p>
          <w:p w14:paraId="6B9C59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1）路径准入管理</w:t>
            </w:r>
          </w:p>
          <w:p w14:paraId="5FC6C3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临床路径实施小组的主管医师把握患者进入路径标准和退出路径标准，根据路径文本并结合患者的病情特点实施临床路径。</w:t>
            </w:r>
          </w:p>
          <w:p w14:paraId="3FDF80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可自动获取患者入径所需相关信息，包括且不限于诊断编码、年龄、性别、并发症等。</w:t>
            </w:r>
          </w:p>
          <w:p w14:paraId="40C3578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患者入径所需相关信息与入径标准信息进行对比，自动推荐进入适合的临床路径。</w:t>
            </w:r>
          </w:p>
          <w:p w14:paraId="171F0FC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主管医生根据推荐，选择进入合适的临床路径。如，选择不进入路径，需录入说明。</w:t>
            </w:r>
          </w:p>
          <w:p w14:paraId="63B6F7E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2）路径执行管理</w:t>
            </w:r>
          </w:p>
          <w:p w14:paraId="3B5DBAD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系统根据临床路径文本中医嘱起始时间和关键日，在日程中显示当天的主要诊疗工作和重点医嘱。主管医师对显示的主要诊疗工作和重点医嘱进行确认操作。</w:t>
            </w:r>
          </w:p>
          <w:p w14:paraId="084E4E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主管医师根据实际情况判断，是否需执行或停止重点医嘱。确认执行的医嘱，自动产生长/临医嘱并自动发送到护士站执行。实现新增路径内医嘱和路径外医嘱（HIS），必要时，可操作选择进入分支路径。</w:t>
            </w:r>
          </w:p>
          <w:p w14:paraId="3E2CBF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3）路径预警管理</w:t>
            </w:r>
          </w:p>
          <w:p w14:paraId="6A8BB0E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选择路径预警功能（全部患者）或路径管理界面（单患者），可提供路径预警功能，实现提醒未完成工作（包括未确认执行的诊疗、医嘱、护理）。</w:t>
            </w:r>
          </w:p>
          <w:p w14:paraId="49E77FE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4）路径变异管理</w:t>
            </w:r>
          </w:p>
          <w:p w14:paraId="30B4F2E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根据路径变更现象字典的维护，在路径执行时对以下变异进行提醒，并记录变异原因。</w:t>
            </w:r>
          </w:p>
          <w:p w14:paraId="0A08BB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5）路径退出管理</w:t>
            </w:r>
          </w:p>
          <w:p w14:paraId="3D09A22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患者出现严重并发症、合并症，发现诊断有误或患者要求出院、转院或需要改变主要诊疗计划时可以退出临床路径。</w:t>
            </w:r>
          </w:p>
          <w:p w14:paraId="2F4F22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6）路径完成管理</w:t>
            </w:r>
          </w:p>
          <w:p w14:paraId="02D735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主管医师根据路径文本方案执行所有日程后，并且病情达到预期的效果结束路径。完成路径时进行按照评价方案进行自我评价。</w:t>
            </w:r>
          </w:p>
          <w:p w14:paraId="74AA8A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49" w:name="查询统计"/>
            <w:r>
              <w:rPr>
                <w:rFonts w:hint="eastAsia" w:cs="宋体" w:asciiTheme="majorEastAsia" w:hAnsiTheme="majorEastAsia" w:eastAsiaTheme="majorEastAsia"/>
                <w:color w:val="auto"/>
                <w:szCs w:val="21"/>
              </w:rPr>
              <w:t>查询统计</w:t>
            </w:r>
            <w:bookmarkEnd w:id="49"/>
          </w:p>
          <w:p w14:paraId="2238C95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面向医院管理层、临床科室管理者、临床路径执行者等不同级别的查询功能。</w:t>
            </w:r>
            <w:r>
              <w:rPr>
                <w:rFonts w:hint="eastAsia" w:asciiTheme="majorEastAsia" w:hAnsiTheme="majorEastAsia" w:eastAsiaTheme="majorEastAsia"/>
                <w:color w:val="auto"/>
                <w:szCs w:val="21"/>
              </w:rPr>
              <w:t>能根据时间节点（包括出院时间等）查询</w:t>
            </w:r>
            <w:r>
              <w:rPr>
                <w:rFonts w:hint="eastAsia" w:cs="宋体" w:asciiTheme="majorEastAsia" w:hAnsiTheme="majorEastAsia" w:eastAsiaTheme="majorEastAsia"/>
                <w:color w:val="auto"/>
                <w:szCs w:val="21"/>
              </w:rPr>
              <w:t>包括但不限于全院级、科室级使用的各个临床路径的使用人次、变更人次、终止人次、完成人次、执行率、治愈率、变异率、平均住院费用、平均住院天数等指标的统计分析。</w:t>
            </w:r>
          </w:p>
          <w:p w14:paraId="172DB27C">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路径使用统计：统计各路径的使用人次、完成人次、退出人次。</w:t>
            </w:r>
          </w:p>
          <w:p w14:paraId="452A0C64">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路径执行情况统计：统计各路径的执行情况和未完成项目。</w:t>
            </w:r>
          </w:p>
          <w:p w14:paraId="787C4E20">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变异记录统计：统计各路径的变异情况。</w:t>
            </w:r>
          </w:p>
          <w:p w14:paraId="1483F2F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治愈率统计：统计各路径执行后，病人的治愈率。</w:t>
            </w:r>
          </w:p>
        </w:tc>
        <w:tc>
          <w:tcPr>
            <w:tcW w:w="379" w:type="pct"/>
            <w:tcBorders>
              <w:top w:val="single" w:color="auto" w:sz="4" w:space="0"/>
              <w:left w:val="single" w:color="auto" w:sz="4" w:space="0"/>
              <w:bottom w:val="single" w:color="auto" w:sz="4" w:space="0"/>
              <w:right w:val="single" w:color="auto" w:sz="4" w:space="0"/>
            </w:tcBorders>
            <w:vAlign w:val="center"/>
          </w:tcPr>
          <w:p w14:paraId="216C2FA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4FCAE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0BDCFC46">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44EA784">
            <w:pPr>
              <w:spacing w:line="440" w:lineRule="exact"/>
              <w:jc w:val="left"/>
              <w:rPr>
                <w:rFonts w:cs="宋体" w:asciiTheme="majorEastAsia" w:hAnsiTheme="majorEastAsia" w:eastAsiaTheme="majorEastAsia"/>
                <w:color w:val="auto"/>
                <w:szCs w:val="21"/>
              </w:rPr>
            </w:pPr>
            <w:bookmarkStart w:id="50" w:name="手术分级管理系统"/>
            <w:r>
              <w:rPr>
                <w:rFonts w:hint="eastAsia" w:cs="宋体" w:asciiTheme="majorEastAsia" w:hAnsiTheme="majorEastAsia" w:eastAsiaTheme="majorEastAsia"/>
                <w:color w:val="auto"/>
                <w:szCs w:val="21"/>
              </w:rPr>
              <w:t>手术分级管理系统</w:t>
            </w:r>
            <w:bookmarkEnd w:id="50"/>
          </w:p>
        </w:tc>
        <w:tc>
          <w:tcPr>
            <w:tcW w:w="3788" w:type="pct"/>
            <w:tcBorders>
              <w:top w:val="single" w:color="auto" w:sz="4" w:space="0"/>
              <w:left w:val="single" w:color="auto" w:sz="4" w:space="0"/>
              <w:bottom w:val="single" w:color="auto" w:sz="4" w:space="0"/>
              <w:right w:val="single" w:color="auto" w:sz="4" w:space="0"/>
            </w:tcBorders>
            <w:vAlign w:val="center"/>
          </w:tcPr>
          <w:p w14:paraId="6B3468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手术分级目录为基础，为具有不同专业技术职务任职资格的手术医生授予相应的手术权限，在手术申请流程中实现分级审批，保障手术安全进行。具体功能包括：手术等级设置、手术分级授权、分级审批流程等。</w:t>
            </w:r>
          </w:p>
          <w:p w14:paraId="7D3108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1、手术等级设置</w:t>
            </w:r>
          </w:p>
          <w:p w14:paraId="18DB1A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根据医疗机构级别和登记的诊疗科目，遵循国家、地方级的手术分级标准及ICD-10手术编码设置不同的手术等级。</w:t>
            </w:r>
          </w:p>
          <w:p w14:paraId="1C5619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2、手术分级授权</w:t>
            </w:r>
          </w:p>
          <w:p w14:paraId="72F8A9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实现按医生手术职称自动或人工进行手术分级授权和审核，包括手术分级授权的新增、修改、删除、查询等功能。</w:t>
            </w:r>
          </w:p>
          <w:p w14:paraId="5A5156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3、手术级别管理</w:t>
            </w:r>
          </w:p>
          <w:p w14:paraId="5521458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医生开具手术申请单时，根据手术技术难度、复杂性和风险度（如麻醉类型、是否输血、是否有附加手术等条件）进行手术级别确认。</w:t>
            </w:r>
          </w:p>
          <w:p w14:paraId="4B5BE3E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4、分级审批管理</w:t>
            </w:r>
          </w:p>
          <w:p w14:paraId="20F55A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实现对不同级别手术由不同级别医生进行审批，对资格准入手术、高度风险手术、急诊手术、新技术新项目科研手术等特殊手术分级审批。</w:t>
            </w:r>
          </w:p>
          <w:p w14:paraId="538FB7E3">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5</w:t>
            </w:r>
            <w:r>
              <w:rPr>
                <w:rFonts w:hint="eastAsia" w:asciiTheme="majorEastAsia" w:hAnsiTheme="majorEastAsia" w:eastAsiaTheme="majorEastAsia"/>
                <w:color w:val="auto"/>
                <w:kern w:val="0"/>
                <w:szCs w:val="21"/>
              </w:rPr>
              <w:t>、手术统计管理</w:t>
            </w:r>
          </w:p>
          <w:p w14:paraId="5CBA3D19">
            <w:pPr>
              <w:spacing w:line="440" w:lineRule="exact"/>
              <w:ind w:firstLine="384"/>
              <w:rPr>
                <w:rFonts w:asciiTheme="majorEastAsia" w:hAnsiTheme="majorEastAsia" w:eastAsiaTheme="majorEastAsia"/>
                <w:color w:val="auto"/>
                <w:szCs w:val="21"/>
              </w:rPr>
            </w:pPr>
            <w:r>
              <w:rPr>
                <w:rFonts w:hint="eastAsia" w:asciiTheme="majorEastAsia" w:hAnsiTheme="majorEastAsia" w:eastAsiaTheme="majorEastAsia"/>
                <w:color w:val="auto"/>
                <w:szCs w:val="21"/>
              </w:rPr>
              <w:t>（1）对四级手术、微创等特殊手术能标识，方便识别。能根据时间节点（含出院时间）统计手术科室、手术级别、手术医生、手术例数、手术人数并能自动生成、导出报表，同时能提供患者信息、手术科室、入院日期、出院日期、入院科室、出院科室、手术名称、手术名称、手术时间</w:t>
            </w:r>
            <w:r>
              <w:rPr>
                <w:rFonts w:asciiTheme="majorEastAsia" w:hAnsiTheme="majorEastAsia" w:eastAsiaTheme="majorEastAsia"/>
                <w:color w:val="auto"/>
                <w:szCs w:val="21"/>
              </w:rPr>
              <w:t>、A</w:t>
            </w:r>
            <w:r>
              <w:rPr>
                <w:rFonts w:hint="eastAsia" w:asciiTheme="majorEastAsia" w:hAnsiTheme="majorEastAsia" w:eastAsiaTheme="majorEastAsia"/>
                <w:color w:val="auto"/>
                <w:szCs w:val="21"/>
              </w:rPr>
              <w:t>SA分级等患者信息明细表。能根据时间节点查询手术医生手术例数、手术级别、手术名称、手术时间等信息，能自动生成报表并导出。</w:t>
            </w:r>
          </w:p>
          <w:p w14:paraId="1E1436B8">
            <w:pPr>
              <w:spacing w:line="440" w:lineRule="exact"/>
              <w:ind w:firstLine="384"/>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（2）对非计划再次手术（4</w:t>
            </w:r>
            <w:r>
              <w:rPr>
                <w:rFonts w:cs="宋体" w:asciiTheme="majorEastAsia" w:hAnsiTheme="majorEastAsia" w:eastAsiaTheme="majorEastAsia"/>
                <w:color w:val="auto"/>
                <w:szCs w:val="21"/>
              </w:rPr>
              <w:t>8</w:t>
            </w:r>
            <w:r>
              <w:rPr>
                <w:rFonts w:hint="eastAsia" w:cs="宋体" w:asciiTheme="majorEastAsia" w:hAnsiTheme="majorEastAsia" w:eastAsiaTheme="majorEastAsia"/>
                <w:color w:val="auto"/>
                <w:szCs w:val="21"/>
              </w:rPr>
              <w:t>小时、3</w:t>
            </w: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天重返手术室）有提醒和统计功能。</w:t>
            </w:r>
          </w:p>
        </w:tc>
        <w:tc>
          <w:tcPr>
            <w:tcW w:w="379" w:type="pct"/>
            <w:tcBorders>
              <w:top w:val="single" w:color="auto" w:sz="4" w:space="0"/>
              <w:left w:val="single" w:color="auto" w:sz="4" w:space="0"/>
              <w:bottom w:val="single" w:color="auto" w:sz="4" w:space="0"/>
              <w:right w:val="single" w:color="auto" w:sz="4" w:space="0"/>
            </w:tcBorders>
            <w:vAlign w:val="center"/>
          </w:tcPr>
          <w:p w14:paraId="7DE9B26D">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7B593F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6A4E89B">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57C2D2E3">
            <w:pPr>
              <w:spacing w:line="440" w:lineRule="exact"/>
              <w:jc w:val="center"/>
              <w:rPr>
                <w:rFonts w:cs="宋体" w:asciiTheme="majorEastAsia" w:hAnsiTheme="majorEastAsia" w:eastAsiaTheme="majorEastAsia"/>
                <w:color w:val="auto"/>
                <w:szCs w:val="21"/>
              </w:rPr>
            </w:pPr>
            <w:bookmarkStart w:id="51" w:name="抗生素分级管理系统"/>
            <w:r>
              <w:rPr>
                <w:rFonts w:hint="eastAsia" w:cs="宋体" w:asciiTheme="majorEastAsia" w:hAnsiTheme="majorEastAsia" w:eastAsiaTheme="majorEastAsia"/>
                <w:color w:val="auto"/>
                <w:szCs w:val="21"/>
              </w:rPr>
              <w:t>抗生素分级管理系统</w:t>
            </w:r>
            <w:bookmarkEnd w:id="51"/>
          </w:p>
        </w:tc>
        <w:tc>
          <w:tcPr>
            <w:tcW w:w="3788" w:type="pct"/>
            <w:tcBorders>
              <w:top w:val="single" w:color="auto" w:sz="4" w:space="0"/>
              <w:left w:val="single" w:color="auto" w:sz="4" w:space="0"/>
              <w:bottom w:val="single" w:color="auto" w:sz="4" w:space="0"/>
              <w:right w:val="single" w:color="auto" w:sz="4" w:space="0"/>
            </w:tcBorders>
            <w:vAlign w:val="center"/>
          </w:tcPr>
          <w:p w14:paraId="70F5912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抗菌药物实现分级管控权限设置，监控抗菌药物在临床（尤其是围手术期）的使用情况，进行抗菌药物使用的全程干预、警示、评估和点评。具体功能包括：抗菌药物知识库、抗菌药物分级授权、用药效果评估、抗菌药物指标统计等。</w:t>
            </w:r>
          </w:p>
          <w:p w14:paraId="17B59AD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1、抗菌药物知识库</w:t>
            </w:r>
          </w:p>
          <w:p w14:paraId="437290D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提供符合《抗菌药物临床应用指导原则》的抗菌药物知识库维护功能，包含抗菌药物的适应症、注意事项和使用级别，以及各种细菌性感染疾病的治疗原则、经验治疗和宜选、可选药品等信息。</w:t>
            </w:r>
          </w:p>
          <w:p w14:paraId="5FEDF25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2、抗菌药物分级授权</w:t>
            </w:r>
          </w:p>
          <w:p w14:paraId="47AFD9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实现抗菌药物分级管理，包括非限制使用级、限制使用级和特殊使用级。</w:t>
            </w:r>
          </w:p>
          <w:p w14:paraId="3D868A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非限制使用级、限制使用级抗菌药物使用授权：根据医生抗菌药物使用权限，可提供抗菌药物使用全过程监控和提醒，确保抗菌药物分级管理的可控性。</w:t>
            </w:r>
          </w:p>
          <w:p w14:paraId="7A94C3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特殊使用级抗菌药物使用授权。可以限制只有高级专业技术职务任职资格的医师才能开立特殊使用级抗菌药物处方，处方需经特殊使用级抗菌药物专家组会诊审批通过后有效。</w:t>
            </w:r>
          </w:p>
          <w:p w14:paraId="28EC22E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3、抗菌药物使用干预、警示</w:t>
            </w:r>
          </w:p>
          <w:p w14:paraId="31AA283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对抗菌药物的使用包括预防性抗菌药物使用和治疗性抗菌药物使用。</w:t>
            </w:r>
          </w:p>
          <w:p w14:paraId="6A50DA6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预防性抗菌药物使用。可以区分非手术患者、围术期患者和侵入性诊疗操作患者，分别进行用药干预和警示。</w:t>
            </w:r>
          </w:p>
          <w:p w14:paraId="288445F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治疗性抗菌药物使用。可以根据诊断或细菌培养结果，自动建议可以使用的抗生素药品种类。</w:t>
            </w:r>
          </w:p>
          <w:p w14:paraId="43FB935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4、药效果评估</w:t>
            </w:r>
          </w:p>
          <w:p w14:paraId="1C7B27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实现医生根据患者基本信息、临床诊断、手术名称、手术时间、术前用药、术后用药时间、切口愈合情况、药品名称、用法用量、用药天数等信息对抗菌药物用药效果进行分类评估。</w:t>
            </w:r>
          </w:p>
          <w:p w14:paraId="26F512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5、抗菌药物指标统计</w:t>
            </w:r>
          </w:p>
          <w:p w14:paraId="1E59AE21">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实现实时获取抗菌药物使用的统计数据，包括门诊处方抗菌药物使用比例、住院抗菌药物使用比例、住院抗菌药物使用强度、越级使用抗菌药物统计、围术期预防使用抗菌药物统计、抗菌药物分类统计、国家上报指标等。临床科室可通过科室管理员系统查看本科室的抗菌药物指标统计数据，科室管理员可对本科室的统计数据进行自定义提取。</w:t>
            </w:r>
          </w:p>
        </w:tc>
        <w:tc>
          <w:tcPr>
            <w:tcW w:w="379" w:type="pct"/>
            <w:tcBorders>
              <w:top w:val="single" w:color="auto" w:sz="4" w:space="0"/>
              <w:left w:val="single" w:color="auto" w:sz="4" w:space="0"/>
              <w:bottom w:val="single" w:color="auto" w:sz="4" w:space="0"/>
              <w:right w:val="single" w:color="auto" w:sz="4" w:space="0"/>
            </w:tcBorders>
            <w:vAlign w:val="center"/>
          </w:tcPr>
          <w:p w14:paraId="5BC48AAD">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18DFF2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00189732">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38A9A98">
            <w:pPr>
              <w:spacing w:line="440" w:lineRule="exact"/>
              <w:jc w:val="left"/>
              <w:rPr>
                <w:rFonts w:cs="宋体" w:asciiTheme="majorEastAsia" w:hAnsiTheme="majorEastAsia" w:eastAsiaTheme="majorEastAsia"/>
                <w:color w:val="auto"/>
                <w:szCs w:val="21"/>
              </w:rPr>
            </w:pPr>
            <w:bookmarkStart w:id="52" w:name="物价管理系统"/>
            <w:r>
              <w:rPr>
                <w:rFonts w:hint="eastAsia" w:cs="宋体" w:asciiTheme="majorEastAsia" w:hAnsiTheme="majorEastAsia" w:eastAsiaTheme="majorEastAsia"/>
                <w:color w:val="auto"/>
                <w:szCs w:val="21"/>
              </w:rPr>
              <w:t>物价管理系统</w:t>
            </w:r>
            <w:bookmarkEnd w:id="52"/>
          </w:p>
        </w:tc>
        <w:tc>
          <w:tcPr>
            <w:tcW w:w="3788" w:type="pct"/>
            <w:tcBorders>
              <w:top w:val="single" w:color="auto" w:sz="4" w:space="0"/>
              <w:left w:val="single" w:color="auto" w:sz="4" w:space="0"/>
              <w:bottom w:val="single" w:color="auto" w:sz="4" w:space="0"/>
              <w:right w:val="single" w:color="auto" w:sz="4" w:space="0"/>
            </w:tcBorders>
            <w:vAlign w:val="center"/>
          </w:tcPr>
          <w:p w14:paraId="746E9C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价表即医疗服务收费项目的价格表。医院信息系统中引入价表，一是要对系统中所有的收费项目制定统一的、规范的收费标准，并为所有收费相关的功能模块提供价格服务。价表中不存在的收费项目，在系统中不能进行收费。二是对系统中价格实行集中管理。三是对收费项目和与收费因素有关的内容，如物价文件说明、基金支付说明、不同身份患者的收费标准等内容进行管理。四是为物价管理部门（如物价局）提供方便、快捷的各类医疗收费标准的查询。五是能保存价格变动记录，可以实现出院患者收费情况的核查。</w:t>
            </w:r>
          </w:p>
          <w:p w14:paraId="02AB2F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价格管理要实现医院物价管理部门对医院信息系统所需的各种诊疗服务收费项目的维护。包括收费项目维护、诊疗项目维护、医保项目维护、费别收费配置等。</w:t>
            </w:r>
          </w:p>
          <w:p w14:paraId="20DA9E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价格调整、停用收费项目等基本功能。</w:t>
            </w:r>
          </w:p>
          <w:p w14:paraId="673D02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（1）收费项目维护</w:t>
            </w:r>
          </w:p>
          <w:p w14:paraId="165AC0E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按物价管理部门提供的医疗服务项目规范维护收费项目，包括项目标准编码（国家编码、物价编码）、项目名称、单位、单价、发票类别、核算类别（医保分类、财务分类）、折扣规则、相关文号、备注等。</w:t>
            </w:r>
          </w:p>
          <w:p w14:paraId="4B47AB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提供收费项目的修改、停用、恢复、调价等操作。</w:t>
            </w:r>
          </w:p>
          <w:p w14:paraId="3E5122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提供收费项目的申请、执行权限向科室分发功能。</w:t>
            </w:r>
          </w:p>
          <w:p w14:paraId="2150B85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（2）诊疗项目维护</w:t>
            </w:r>
          </w:p>
          <w:p w14:paraId="4ABC86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诊疗项目维护是按临床要求将常用项目组合，以便于临床部门快速开单。维护内容包括项目名称、单位、单价（自动计算）、关联收费项目、备注等。</w:t>
            </w:r>
          </w:p>
          <w:p w14:paraId="3BEE51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提供诊疗项目的修改、停用、恢复等操作。</w:t>
            </w:r>
          </w:p>
          <w:p w14:paraId="520DAE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提供诊疗项目的申请、执行权限向科室分发功能。</w:t>
            </w:r>
          </w:p>
          <w:p w14:paraId="5772FB1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（3）医保项目维护</w:t>
            </w:r>
          </w:p>
          <w:p w14:paraId="2D3F25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医保项目维护包括医保类别字典、医保特殊病种字典、医保项目字典、医保对照字典的维护。</w:t>
            </w:r>
          </w:p>
          <w:p w14:paraId="3DAAD8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（4）费别收费配置</w:t>
            </w:r>
          </w:p>
          <w:p w14:paraId="69868C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设置和维护不同费别对该诊疗项目的特殊收费比例。</w:t>
            </w:r>
          </w:p>
          <w:p w14:paraId="45F797DE">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1</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因执行科室不同，维护多条相同医疗服务项目的问题</w:t>
            </w:r>
            <w:r>
              <w:rPr>
                <w:rFonts w:hint="eastAsia" w:asciiTheme="majorEastAsia" w:hAnsiTheme="majorEastAsia" w:eastAsiaTheme="majorEastAsia"/>
                <w:color w:val="auto"/>
                <w:kern w:val="0"/>
                <w:szCs w:val="21"/>
              </w:rPr>
              <w:t>；</w:t>
            </w:r>
          </w:p>
          <w:p w14:paraId="5E046A5A">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2</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项目组合，因1</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存在多条相同医疗服务项目</w:t>
            </w:r>
            <w:r>
              <w:rPr>
                <w:rFonts w:hint="eastAsia" w:asciiTheme="majorEastAsia" w:hAnsiTheme="majorEastAsia" w:eastAsiaTheme="majorEastAsia"/>
                <w:color w:val="auto"/>
                <w:kern w:val="0"/>
                <w:szCs w:val="21"/>
              </w:rPr>
              <w:t>；</w:t>
            </w:r>
          </w:p>
          <w:p w14:paraId="51A97C0B">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3</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医技科室申请单、手麻系统</w:t>
            </w:r>
            <w:r>
              <w:rPr>
                <w:rFonts w:hint="eastAsia" w:asciiTheme="majorEastAsia" w:hAnsiTheme="majorEastAsia" w:eastAsiaTheme="majorEastAsia"/>
                <w:color w:val="auto"/>
                <w:kern w:val="0"/>
                <w:szCs w:val="21"/>
              </w:rPr>
              <w:t>；</w:t>
            </w:r>
          </w:p>
          <w:p w14:paraId="0ACF2D49">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4</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耗材维护（规格型号）</w:t>
            </w:r>
            <w:r>
              <w:rPr>
                <w:rFonts w:hint="eastAsia" w:asciiTheme="majorEastAsia" w:hAnsiTheme="majorEastAsia" w:eastAsiaTheme="majorEastAsia"/>
                <w:color w:val="auto"/>
                <w:kern w:val="0"/>
                <w:szCs w:val="21"/>
              </w:rPr>
              <w:t>；</w:t>
            </w:r>
          </w:p>
          <w:p w14:paraId="54C321B3">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5</w:t>
            </w:r>
            <w:r>
              <w:rPr>
                <w:rFonts w:hint="eastAsia" w:asciiTheme="majorEastAsia" w:hAnsiTheme="majorEastAsia" w:eastAsiaTheme="majorEastAsia"/>
                <w:color w:val="auto"/>
                <w:kern w:val="0"/>
                <w:szCs w:val="21"/>
              </w:rPr>
              <w:t>）</w:t>
            </w:r>
            <w:r>
              <w:rPr>
                <w:rFonts w:asciiTheme="majorEastAsia" w:hAnsiTheme="majorEastAsia" w:eastAsiaTheme="majorEastAsia"/>
                <w:color w:val="auto"/>
                <w:kern w:val="0"/>
                <w:szCs w:val="21"/>
              </w:rPr>
              <w:t>首页费用分类</w:t>
            </w:r>
            <w:r>
              <w:rPr>
                <w:rFonts w:hint="eastAsia" w:asciiTheme="majorEastAsia" w:hAnsiTheme="majorEastAsia" w:eastAsiaTheme="majorEastAsia"/>
                <w:color w:val="auto"/>
                <w:kern w:val="0"/>
                <w:szCs w:val="21"/>
              </w:rPr>
              <w:t>；</w:t>
            </w:r>
          </w:p>
          <w:p w14:paraId="7E42B3A3">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6）以上维护均实现批量新增、批量调整、批量停用、批量同步等功能。</w:t>
            </w:r>
          </w:p>
          <w:p w14:paraId="3396BC06">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szCs w:val="21"/>
              </w:rPr>
              <w:t>实现多院区和下级卫生医疗机构使用</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根据医疗机构等级不同，实现不同收费标准的执行。</w:t>
            </w:r>
          </w:p>
        </w:tc>
        <w:tc>
          <w:tcPr>
            <w:tcW w:w="379" w:type="pct"/>
            <w:tcBorders>
              <w:top w:val="single" w:color="auto" w:sz="4" w:space="0"/>
              <w:left w:val="single" w:color="auto" w:sz="4" w:space="0"/>
              <w:bottom w:val="single" w:color="auto" w:sz="4" w:space="0"/>
              <w:right w:val="single" w:color="auto" w:sz="4" w:space="0"/>
            </w:tcBorders>
            <w:vAlign w:val="center"/>
          </w:tcPr>
          <w:p w14:paraId="7CD6FAEB">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4F06F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9AF526F">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612A51F">
            <w:pPr>
              <w:spacing w:line="440" w:lineRule="exact"/>
              <w:jc w:val="center"/>
              <w:rPr>
                <w:rFonts w:cs="宋体" w:asciiTheme="majorEastAsia" w:hAnsiTheme="majorEastAsia" w:eastAsiaTheme="majorEastAsia"/>
                <w:color w:val="auto"/>
                <w:szCs w:val="21"/>
              </w:rPr>
            </w:pPr>
            <w:bookmarkStart w:id="53" w:name="实施管理系统"/>
            <w:r>
              <w:rPr>
                <w:rFonts w:hint="eastAsia" w:cs="宋体" w:asciiTheme="majorEastAsia" w:hAnsiTheme="majorEastAsia" w:eastAsiaTheme="majorEastAsia"/>
                <w:color w:val="auto"/>
                <w:szCs w:val="21"/>
              </w:rPr>
              <w:t>实施管理</w:t>
            </w:r>
            <w:bookmarkEnd w:id="53"/>
            <w:r>
              <w:rPr>
                <w:rFonts w:hint="eastAsia" w:cs="宋体" w:asciiTheme="majorEastAsia" w:hAnsiTheme="majorEastAsia" w:eastAsiaTheme="majorEastAsia"/>
                <w:color w:val="auto"/>
                <w:szCs w:val="21"/>
              </w:rPr>
              <w:t>系统</w:t>
            </w:r>
          </w:p>
        </w:tc>
        <w:tc>
          <w:tcPr>
            <w:tcW w:w="3788" w:type="pct"/>
            <w:tcBorders>
              <w:top w:val="single" w:color="auto" w:sz="4" w:space="0"/>
              <w:left w:val="single" w:color="auto" w:sz="4" w:space="0"/>
              <w:bottom w:val="single" w:color="auto" w:sz="4" w:space="0"/>
              <w:right w:val="single" w:color="auto" w:sz="4" w:space="0"/>
            </w:tcBorders>
            <w:vAlign w:val="center"/>
          </w:tcPr>
          <w:p w14:paraId="17C8D8B4">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集中统一地管理全院的基础数据，包括基础字典和参数，实现基础数据的统一来源，以规范数据的统计口径，提高数据质量。</w:t>
            </w:r>
          </w:p>
        </w:tc>
        <w:tc>
          <w:tcPr>
            <w:tcW w:w="379" w:type="pct"/>
            <w:tcBorders>
              <w:top w:val="single" w:color="auto" w:sz="4" w:space="0"/>
              <w:left w:val="single" w:color="auto" w:sz="4" w:space="0"/>
              <w:bottom w:val="single" w:color="auto" w:sz="4" w:space="0"/>
              <w:right w:val="single" w:color="auto" w:sz="4" w:space="0"/>
            </w:tcBorders>
            <w:vAlign w:val="center"/>
          </w:tcPr>
          <w:p w14:paraId="3A492B64">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33F6F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578A4A44">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2947CA1F">
            <w:pPr>
              <w:spacing w:line="440" w:lineRule="exact"/>
              <w:jc w:val="center"/>
              <w:rPr>
                <w:rFonts w:cs="宋体" w:asciiTheme="majorEastAsia" w:hAnsiTheme="majorEastAsia" w:eastAsiaTheme="majorEastAsia"/>
                <w:color w:val="auto"/>
                <w:szCs w:val="21"/>
              </w:rPr>
            </w:pPr>
            <w:bookmarkStart w:id="54" w:name="配置管理系统"/>
            <w:r>
              <w:rPr>
                <w:rFonts w:hint="eastAsia" w:cs="宋体" w:asciiTheme="majorEastAsia" w:hAnsiTheme="majorEastAsia" w:eastAsiaTheme="majorEastAsia"/>
                <w:color w:val="auto"/>
                <w:szCs w:val="21"/>
              </w:rPr>
              <w:t>配置管理</w:t>
            </w:r>
            <w:bookmarkEnd w:id="54"/>
            <w:r>
              <w:rPr>
                <w:rFonts w:hint="eastAsia" w:cs="宋体" w:asciiTheme="majorEastAsia" w:hAnsiTheme="majorEastAsia" w:eastAsiaTheme="majorEastAsia"/>
                <w:color w:val="auto"/>
                <w:szCs w:val="21"/>
              </w:rPr>
              <w:t>系统</w:t>
            </w:r>
          </w:p>
        </w:tc>
        <w:tc>
          <w:tcPr>
            <w:tcW w:w="3788" w:type="pct"/>
            <w:tcBorders>
              <w:top w:val="single" w:color="auto" w:sz="4" w:space="0"/>
              <w:left w:val="single" w:color="auto" w:sz="4" w:space="0"/>
              <w:bottom w:val="single" w:color="auto" w:sz="4" w:space="0"/>
              <w:right w:val="single" w:color="auto" w:sz="4" w:space="0"/>
            </w:tcBorders>
            <w:vAlign w:val="center"/>
          </w:tcPr>
          <w:p w14:paraId="7F9847A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实现体温单、产程图、护理记录等表单的灵活配置，可满足不同的病历书写规范，也可随时患者实际情况调整格式。</w:t>
            </w:r>
          </w:p>
        </w:tc>
        <w:tc>
          <w:tcPr>
            <w:tcW w:w="379" w:type="pct"/>
            <w:tcBorders>
              <w:top w:val="single" w:color="auto" w:sz="4" w:space="0"/>
              <w:left w:val="single" w:color="auto" w:sz="4" w:space="0"/>
              <w:bottom w:val="single" w:color="auto" w:sz="4" w:space="0"/>
              <w:right w:val="single" w:color="auto" w:sz="4" w:space="0"/>
            </w:tcBorders>
            <w:vAlign w:val="center"/>
          </w:tcPr>
          <w:p w14:paraId="2379FA3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564F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3DE37AFC">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D732513">
            <w:pPr>
              <w:spacing w:line="440" w:lineRule="exact"/>
              <w:jc w:val="center"/>
              <w:rPr>
                <w:rFonts w:cs="宋体" w:asciiTheme="majorEastAsia" w:hAnsiTheme="majorEastAsia" w:eastAsiaTheme="majorEastAsia"/>
                <w:color w:val="auto"/>
                <w:szCs w:val="21"/>
              </w:rPr>
            </w:pPr>
            <w:bookmarkStart w:id="55" w:name="个性化门户"/>
            <w:r>
              <w:rPr>
                <w:rFonts w:hint="eastAsia" w:cs="宋体" w:asciiTheme="majorEastAsia" w:hAnsiTheme="majorEastAsia" w:eastAsiaTheme="majorEastAsia"/>
                <w:color w:val="auto"/>
                <w:szCs w:val="21"/>
              </w:rPr>
              <w:t>个性化门户</w:t>
            </w:r>
            <w:bookmarkEnd w:id="55"/>
          </w:p>
        </w:tc>
        <w:tc>
          <w:tcPr>
            <w:tcW w:w="3788" w:type="pct"/>
            <w:tcBorders>
              <w:top w:val="single" w:color="auto" w:sz="4" w:space="0"/>
              <w:left w:val="single" w:color="auto" w:sz="4" w:space="0"/>
              <w:bottom w:val="single" w:color="auto" w:sz="4" w:space="0"/>
              <w:right w:val="single" w:color="auto" w:sz="4" w:space="0"/>
            </w:tcBorders>
            <w:vAlign w:val="center"/>
          </w:tcPr>
          <w:p w14:paraId="35C846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系统可根据科主任、医生、护理等角色人员的需求，提供简单、迅速、客户化配置的信息浏览方式，从而将大量不同来源的医疗信息以一种有效的方式提供给不同使用者。</w:t>
            </w:r>
          </w:p>
        </w:tc>
        <w:tc>
          <w:tcPr>
            <w:tcW w:w="379" w:type="pct"/>
            <w:tcBorders>
              <w:top w:val="single" w:color="auto" w:sz="4" w:space="0"/>
              <w:left w:val="single" w:color="auto" w:sz="4" w:space="0"/>
              <w:bottom w:val="single" w:color="auto" w:sz="4" w:space="0"/>
              <w:right w:val="single" w:color="auto" w:sz="4" w:space="0"/>
            </w:tcBorders>
            <w:vAlign w:val="center"/>
          </w:tcPr>
          <w:p w14:paraId="5C3AA27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9CC0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452" w:type="pct"/>
            <w:vMerge w:val="continue"/>
            <w:tcBorders>
              <w:left w:val="single" w:color="auto" w:sz="4" w:space="0"/>
              <w:right w:val="single" w:color="auto" w:sz="4" w:space="0"/>
            </w:tcBorders>
            <w:vAlign w:val="center"/>
          </w:tcPr>
          <w:p w14:paraId="7045D1F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8716B0C">
            <w:pPr>
              <w:spacing w:line="440" w:lineRule="exact"/>
              <w:jc w:val="center"/>
              <w:rPr>
                <w:rFonts w:asciiTheme="majorEastAsia" w:hAnsiTheme="majorEastAsia" w:eastAsiaTheme="majorEastAsia"/>
                <w:color w:val="auto"/>
                <w:szCs w:val="21"/>
              </w:rPr>
            </w:pPr>
            <w:bookmarkStart w:id="56" w:name="统一身份认证及单点登录"/>
            <w:r>
              <w:rPr>
                <w:rFonts w:hint="eastAsia" w:cs="宋体" w:asciiTheme="majorEastAsia" w:hAnsiTheme="majorEastAsia" w:eastAsiaTheme="majorEastAsia"/>
                <w:color w:val="auto"/>
                <w:szCs w:val="21"/>
              </w:rPr>
              <w:t>统一身份认证及单点登录</w:t>
            </w:r>
            <w:bookmarkEnd w:id="56"/>
          </w:p>
        </w:tc>
        <w:tc>
          <w:tcPr>
            <w:tcW w:w="3788" w:type="pct"/>
            <w:tcBorders>
              <w:top w:val="single" w:color="auto" w:sz="4" w:space="0"/>
              <w:left w:val="single" w:color="auto" w:sz="4" w:space="0"/>
              <w:bottom w:val="single" w:color="auto" w:sz="4" w:space="0"/>
              <w:right w:val="single" w:color="auto" w:sz="4" w:space="0"/>
            </w:tcBorders>
            <w:vAlign w:val="center"/>
          </w:tcPr>
          <w:p w14:paraId="7066FA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提供用户授权管理服务，可实现医院所有应用系统统一门户、一次登录，基本功能包括：</w:t>
            </w:r>
          </w:p>
          <w:p w14:paraId="6EDE761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1、访问平台的所有实体（用户和系统）采用唯一身份标识，并对实体身份进行管理：</w:t>
            </w:r>
          </w:p>
          <w:p w14:paraId="31BD88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1）对平台各类实体信息进行数字身份的定义和标识；</w:t>
            </w:r>
          </w:p>
          <w:p w14:paraId="07ABCA9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2）集中管理用户身份属性信息（包括但不限于姓名、性别、出生日期、民族、婚姻状况、职业、工作单位、住址、有效身份证件号码、联系电话等）；</w:t>
            </w:r>
          </w:p>
          <w:p w14:paraId="2A540CD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3）每个用户具有唯一的身份标识和唯一的身份鉴别信息；</w:t>
            </w:r>
          </w:p>
          <w:p w14:paraId="0D1F6FF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4）如果进行用户和系统之间的相互身份鉴别，则系统必须具有唯一的身份鉴别信息；</w:t>
            </w:r>
          </w:p>
          <w:p w14:paraId="69C4525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2、根据用户对平台使用性质的不同进行用户分类管理：</w:t>
            </w:r>
          </w:p>
          <w:p w14:paraId="0163E97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1）将用户分为业务用户和管理用户两大类，根据用户职责对用户分类进行细化；</w:t>
            </w:r>
          </w:p>
          <w:p w14:paraId="7387B6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2）创建用户角色和工作组，按照一定规则将具有相同属性或特征的用户划分为一组，进行用户组管理。</w:t>
            </w:r>
          </w:p>
          <w:p w14:paraId="3E8C13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3、系统实现对用户、角色、资源和权限的标准化管理，实施权限管理和权限的分配：</w:t>
            </w:r>
          </w:p>
          <w:p w14:paraId="09786B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1）实现基于“用户－角色/用户组－应用资源”的授权模型，制定授权策略；</w:t>
            </w:r>
          </w:p>
          <w:p w14:paraId="13F39A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2）每个授权用户具有唯一的用户标识（ID）和唯一的身份鉴别信息；</w:t>
            </w:r>
          </w:p>
          <w:p w14:paraId="1B30EA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3）提供用户角色创建服务：创建用户角色和工作组，为各使用者分配独立用户名的功能；</w:t>
            </w:r>
          </w:p>
          <w:p w14:paraId="7C2A393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4）为各角色、工作组和用户进行授权并分配相应权限，提供取消用户的功能，用户取消后保留该用户在系统中的历史信息；</w:t>
            </w:r>
          </w:p>
          <w:p w14:paraId="3FCC97E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5）提供增加、修改、删除和查询用户权限的功能；</w:t>
            </w:r>
          </w:p>
          <w:p w14:paraId="44683D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6）业务权限和管理权限严格分开，业务用户不具备管理权限；</w:t>
            </w:r>
          </w:p>
          <w:p w14:paraId="7A889A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7）平台对所有的授权行为进行审计跟踪，提供记录权限修改操作日志的功能。</w:t>
            </w:r>
          </w:p>
          <w:p w14:paraId="6E9D48FF">
            <w:pPr>
              <w:spacing w:line="440" w:lineRule="exact"/>
              <w:rPr>
                <w:rFonts w:cs="新宋体"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 xml:space="preserve">    8）权限设置的颗粒度可以到个人。不同人员可以设置单独的权限。</w:t>
            </w:r>
          </w:p>
        </w:tc>
        <w:tc>
          <w:tcPr>
            <w:tcW w:w="379" w:type="pct"/>
            <w:tcBorders>
              <w:top w:val="single" w:color="auto" w:sz="4" w:space="0"/>
              <w:left w:val="single" w:color="auto" w:sz="4" w:space="0"/>
              <w:bottom w:val="single" w:color="auto" w:sz="4" w:space="0"/>
              <w:right w:val="single" w:color="auto" w:sz="4" w:space="0"/>
            </w:tcBorders>
            <w:vAlign w:val="center"/>
          </w:tcPr>
          <w:p w14:paraId="6AEA1F0B">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49AD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restart"/>
            <w:tcBorders>
              <w:top w:val="single" w:color="auto" w:sz="4" w:space="0"/>
              <w:left w:val="single" w:color="auto" w:sz="4" w:space="0"/>
              <w:right w:val="single" w:color="auto" w:sz="4" w:space="0"/>
            </w:tcBorders>
            <w:vAlign w:val="center"/>
          </w:tcPr>
          <w:p w14:paraId="50F57A8B">
            <w:pPr>
              <w:spacing w:line="440" w:lineRule="exact"/>
              <w:jc w:val="left"/>
              <w:rPr>
                <w:rFonts w:cs="宋体" w:asciiTheme="majorEastAsia" w:hAnsiTheme="majorEastAsia" w:eastAsiaTheme="majorEastAsia"/>
                <w:b/>
                <w:bCs/>
                <w:color w:val="auto"/>
                <w:szCs w:val="21"/>
              </w:rPr>
            </w:pPr>
            <w:r>
              <w:rPr>
                <w:rFonts w:hint="eastAsia" w:cs="宋体" w:asciiTheme="majorEastAsia" w:hAnsiTheme="majorEastAsia" w:eastAsiaTheme="majorEastAsia"/>
                <w:color w:val="auto"/>
                <w:szCs w:val="21"/>
              </w:rPr>
              <w:t>★EMR（电子病历系统）</w:t>
            </w:r>
          </w:p>
        </w:tc>
        <w:tc>
          <w:tcPr>
            <w:tcW w:w="380" w:type="pct"/>
            <w:tcBorders>
              <w:top w:val="single" w:color="auto" w:sz="4" w:space="0"/>
              <w:left w:val="single" w:color="auto" w:sz="4" w:space="0"/>
              <w:bottom w:val="single" w:color="auto" w:sz="4" w:space="0"/>
              <w:right w:val="single" w:color="auto" w:sz="4" w:space="0"/>
            </w:tcBorders>
            <w:vAlign w:val="center"/>
          </w:tcPr>
          <w:p w14:paraId="3D9060C5">
            <w:pPr>
              <w:spacing w:line="440" w:lineRule="exact"/>
              <w:jc w:val="left"/>
              <w:rPr>
                <w:rFonts w:cs="宋体" w:asciiTheme="majorEastAsia" w:hAnsiTheme="majorEastAsia" w:eastAsiaTheme="majorEastAsia"/>
                <w:color w:val="auto"/>
                <w:szCs w:val="21"/>
              </w:rPr>
            </w:pPr>
            <w:bookmarkStart w:id="57" w:name="门诊电子病历系统"/>
            <w:r>
              <w:rPr>
                <w:rFonts w:hint="eastAsia" w:cs="宋体" w:asciiTheme="majorEastAsia" w:hAnsiTheme="majorEastAsia" w:eastAsiaTheme="majorEastAsia"/>
                <w:color w:val="auto"/>
                <w:szCs w:val="21"/>
              </w:rPr>
              <w:t>门诊电子病历系统</w:t>
            </w:r>
            <w:bookmarkEnd w:id="57"/>
          </w:p>
        </w:tc>
        <w:tc>
          <w:tcPr>
            <w:tcW w:w="3788" w:type="pct"/>
            <w:tcBorders>
              <w:top w:val="single" w:color="auto" w:sz="4" w:space="0"/>
              <w:left w:val="single" w:color="auto" w:sz="4" w:space="0"/>
              <w:bottom w:val="single" w:color="auto" w:sz="4" w:space="0"/>
              <w:right w:val="single" w:color="auto" w:sz="4" w:space="0"/>
            </w:tcBorders>
            <w:vAlign w:val="center"/>
          </w:tcPr>
          <w:p w14:paraId="4CC94C9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门急诊电子病历是在门、急诊医疗活动中，医护人员通过问诊、查体、辅助检查、诊断、治疗等医疗活动获得有关资料，并进行归纳、分析、整理形成的医疗活动记录。</w:t>
            </w:r>
          </w:p>
          <w:p w14:paraId="451B4C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门诊电子病历系统按照《病历书写基本规范》要求，确保病历书写及时、完整、规范。可以集成到医疗机构的门诊医生站系统中，采用结构化结合自由文本的录入模式。</w:t>
            </w:r>
          </w:p>
          <w:p w14:paraId="7D76F7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主要功能有：</w:t>
            </w:r>
          </w:p>
          <w:p w14:paraId="1D753F7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1、门、急诊电子病历主要包括初诊电子病历、复诊电子病历、急诊电子病历、电子传染病报告、电子出生证明和电子死亡医学证明等。实际病历要求以医院为准。</w:t>
            </w:r>
          </w:p>
          <w:p w14:paraId="3E8FF1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门、急诊病历首页内容包括患者姓名、性别、出生年月日、民族、婚姻状况、职业、工作单位、住址、药物过敏史等项目。药物过敏史使用标红字体强提醒。药物过敏史同步在病人基本信息中，并实现编辑和修正。</w:t>
            </w:r>
          </w:p>
          <w:p w14:paraId="57422D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3、病历记录书写内容包括初诊标识、就诊时间、科别、主诉、现病史、既往史，阳性体征、必要的阴性体征、辅助检查结果、诊断及治疗意见和医师签名等。</w:t>
            </w:r>
          </w:p>
          <w:p w14:paraId="00BB1A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4、提供所见即所得的医疗记录编辑功能。</w:t>
            </w:r>
          </w:p>
          <w:p w14:paraId="05FC592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5、急诊病历书写就诊时间应当具体到分钟。</w:t>
            </w:r>
          </w:p>
          <w:p w14:paraId="5FB5FB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6、提供结构化模板辅助录入功能，也可自由文本录入。</w:t>
            </w:r>
          </w:p>
          <w:p w14:paraId="579612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7、可在病历记录中嵌入图片、表格、多媒体数据等。</w:t>
            </w:r>
          </w:p>
          <w:p w14:paraId="12E06F0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8、提供辅助工具，可输入常用字符、特殊字符。</w:t>
            </w:r>
          </w:p>
          <w:p w14:paraId="2D3A97E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9、常用术语词库辅助录入，术语词库包括症状名称、体征名称、疾病名称、药物名称、手术名称、操作名称等。</w:t>
            </w:r>
          </w:p>
          <w:p w14:paraId="2B2F4A48">
            <w:pPr>
              <w:spacing w:line="440" w:lineRule="exact"/>
              <w:ind w:firstLine="420" w:firstLineChars="20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10、在病历记录录入编辑过程中自动保存编辑内容，并在系统出现异常中断的情况下恢复正在编辑文档。</w:t>
            </w:r>
          </w:p>
          <w:p w14:paraId="08114B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、提供电子传染病报告填写和上报的功能；根据患者诊断自动触发上报录入界面。</w:t>
            </w:r>
          </w:p>
          <w:p w14:paraId="105576A8">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12</w:t>
            </w:r>
            <w:r>
              <w:rPr>
                <w:rFonts w:hint="eastAsia" w:cs="宋体" w:asciiTheme="majorEastAsia" w:hAnsiTheme="majorEastAsia" w:eastAsiaTheme="majorEastAsia"/>
                <w:color w:val="auto"/>
                <w:szCs w:val="21"/>
              </w:rPr>
              <w:t>、提供电子死亡医学证明填写和上报功能，也提供疾病证明等其他证明材料。</w:t>
            </w:r>
          </w:p>
          <w:p w14:paraId="41DCF7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、提供病历记录双签名功能。由实习医师、试用期医务人员代理书写病历时，应当经过本医疗机构注册的医生审阅、修改，并保留书写者与审阅者的双签名。</w:t>
            </w:r>
          </w:p>
          <w:p w14:paraId="348490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、疾病诊断</w:t>
            </w:r>
            <w:r>
              <w:rPr>
                <w:rFonts w:cs="宋体" w:asciiTheme="majorEastAsia" w:hAnsiTheme="majorEastAsia" w:eastAsiaTheme="majorEastAsia"/>
                <w:color w:val="auto"/>
                <w:szCs w:val="21"/>
              </w:rPr>
              <w:t>及手术操作</w:t>
            </w:r>
            <w:r>
              <w:rPr>
                <w:rFonts w:hint="eastAsia" w:cs="宋体" w:asciiTheme="majorEastAsia" w:hAnsiTheme="majorEastAsia" w:eastAsiaTheme="majorEastAsia"/>
                <w:color w:val="auto"/>
                <w:szCs w:val="21"/>
              </w:rPr>
              <w:t>采用ICD10疾病分类编码作字典，可对疾病诊断补充说明。</w:t>
            </w:r>
          </w:p>
          <w:p w14:paraId="03662CB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、医院可自定义诊断，对应到ICD10疾病</w:t>
            </w:r>
            <w:r>
              <w:rPr>
                <w:rFonts w:cs="宋体" w:asciiTheme="majorEastAsia" w:hAnsiTheme="majorEastAsia" w:eastAsiaTheme="majorEastAsia"/>
                <w:color w:val="auto"/>
                <w:szCs w:val="21"/>
              </w:rPr>
              <w:t>及手术操作</w:t>
            </w:r>
            <w:r>
              <w:rPr>
                <w:rFonts w:hint="eastAsia" w:cs="宋体" w:asciiTheme="majorEastAsia" w:hAnsiTheme="majorEastAsia" w:eastAsiaTheme="majorEastAsia"/>
                <w:color w:val="auto"/>
                <w:szCs w:val="21"/>
              </w:rPr>
              <w:t>分类编码。</w:t>
            </w:r>
          </w:p>
          <w:p w14:paraId="4304623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、门、急诊处方和处置记录，自动从门诊医生工作站中获取加载至病历中，不需重复录入。</w:t>
            </w:r>
          </w:p>
          <w:p w14:paraId="2473A12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7</w:t>
            </w:r>
            <w:r>
              <w:rPr>
                <w:rFonts w:hint="eastAsia" w:cs="宋体" w:asciiTheme="majorEastAsia" w:hAnsiTheme="majorEastAsia" w:eastAsiaTheme="majorEastAsia"/>
                <w:color w:val="auto"/>
                <w:szCs w:val="21"/>
              </w:rPr>
              <w:t>、可从患者本机构及跨机构的诊病记录中引用相关信息，包含个人身份识别的基本信息、急诊预检信息、检查检验信息、处方处置信息、既往病历信息、疾病知识库相关知识文本等。</w:t>
            </w:r>
          </w:p>
          <w:p w14:paraId="3FE532A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8</w:t>
            </w:r>
            <w:r>
              <w:rPr>
                <w:rFonts w:hint="eastAsia" w:cs="宋体" w:asciiTheme="majorEastAsia" w:hAnsiTheme="majorEastAsia" w:eastAsiaTheme="majorEastAsia"/>
                <w:color w:val="auto"/>
                <w:szCs w:val="21"/>
              </w:rPr>
              <w:t>、可在既往史中引用患者既往门诊诊疗有关信息，应当至少包括就诊日期、就诊科室、诊断等。</w:t>
            </w:r>
          </w:p>
          <w:p w14:paraId="475F8EAA">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19</w:t>
            </w:r>
            <w:r>
              <w:rPr>
                <w:rFonts w:hint="eastAsia" w:cs="宋体" w:asciiTheme="majorEastAsia" w:hAnsiTheme="majorEastAsia" w:eastAsiaTheme="majorEastAsia"/>
                <w:color w:val="auto"/>
                <w:szCs w:val="21"/>
              </w:rPr>
              <w:t>、针对复诊患者，可选择初诊病历进行复诊续写；自动引用初诊病历的主诉、现病史、既往史和体格检查等信息。</w:t>
            </w:r>
          </w:p>
          <w:p w14:paraId="039912D9">
            <w:pPr>
              <w:spacing w:line="440" w:lineRule="exact"/>
              <w:ind w:firstLine="420" w:firstLineChars="200"/>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20</w:t>
            </w:r>
            <w:r>
              <w:rPr>
                <w:rFonts w:hint="eastAsia" w:cs="宋体" w:asciiTheme="majorEastAsia" w:hAnsiTheme="majorEastAsia" w:eastAsiaTheme="majorEastAsia"/>
                <w:color w:val="auto"/>
                <w:szCs w:val="21"/>
              </w:rPr>
              <w:t>、病历指定内容中可复制、粘贴患者既往病历相同信息</w:t>
            </w:r>
            <w:r>
              <w:rPr>
                <w:rFonts w:cs="宋体" w:asciiTheme="majorEastAsia" w:hAnsiTheme="majorEastAsia" w:eastAsiaTheme="majorEastAsia"/>
                <w:color w:val="auto"/>
                <w:szCs w:val="21"/>
              </w:rPr>
              <w:t>。</w:t>
            </w:r>
          </w:p>
          <w:p w14:paraId="007B0670">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w:t>
            </w: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、可以自主勾选或一键勾选患者检验信息中临床异常指标，并按照勾选内容生产病历。</w:t>
            </w:r>
          </w:p>
          <w:p w14:paraId="78CEAB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、在病历记录中可插入来自系统内部或外部的疾病知识资料库相关知识文本。</w:t>
            </w:r>
          </w:p>
          <w:p w14:paraId="1AB1AF8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、提供结构化病历模板、内容段落模板两级模板。结构化模板可包含单选项、多选项、必填项、填空、不可修改文本等元素。</w:t>
            </w:r>
          </w:p>
          <w:p w14:paraId="1B7B72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、在病历书写过程中，对病历的完整性、规范性、合理性进行自动检查和提醒。</w:t>
            </w:r>
          </w:p>
          <w:p w14:paraId="574908D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、结合预先设置的门诊病历质控规则，自动生成病历质量评分和质量报告。</w:t>
            </w:r>
          </w:p>
          <w:p w14:paraId="3E79396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、针对结构化病历记录项目进行内容合理性检查与提示。</w:t>
            </w:r>
          </w:p>
          <w:p w14:paraId="5B3793E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7</w:t>
            </w:r>
            <w:r>
              <w:rPr>
                <w:rFonts w:hint="eastAsia" w:cs="宋体" w:asciiTheme="majorEastAsia" w:hAnsiTheme="majorEastAsia" w:eastAsiaTheme="majorEastAsia"/>
                <w:color w:val="auto"/>
                <w:szCs w:val="21"/>
              </w:rPr>
              <w:t>、针对有传染病史、过敏史等患者及疾病诊断为传染病的患者，自动给予提醒和警示。</w:t>
            </w:r>
          </w:p>
          <w:p w14:paraId="5D1772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8</w:t>
            </w:r>
            <w:r>
              <w:rPr>
                <w:rFonts w:hint="eastAsia" w:cs="宋体" w:asciiTheme="majorEastAsia" w:hAnsiTheme="majorEastAsia" w:eastAsiaTheme="majorEastAsia"/>
                <w:color w:val="auto"/>
                <w:szCs w:val="21"/>
              </w:rPr>
              <w:t>、提供门诊电子病历诊间打印、集中打印、自助打印功能。</w:t>
            </w:r>
          </w:p>
          <w:p w14:paraId="6DA3C8A1">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29</w:t>
            </w:r>
            <w:r>
              <w:rPr>
                <w:rFonts w:hint="eastAsia" w:cs="宋体" w:asciiTheme="majorEastAsia" w:hAnsiTheme="majorEastAsia" w:eastAsiaTheme="majorEastAsia"/>
                <w:color w:val="auto"/>
                <w:szCs w:val="21"/>
              </w:rPr>
              <w:t>、实现门诊电子病历导出功能，可导出成Word、PDF、XML格式。</w:t>
            </w:r>
          </w:p>
          <w:p w14:paraId="094D3BC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30</w:t>
            </w:r>
            <w:r>
              <w:rPr>
                <w:rFonts w:hint="eastAsia" w:asciiTheme="majorEastAsia" w:hAnsiTheme="majorEastAsia" w:eastAsiaTheme="majorEastAsia"/>
                <w:color w:val="auto"/>
                <w:szCs w:val="21"/>
              </w:rPr>
              <w:t>、实现设置专科模板、专病模板。</w:t>
            </w:r>
          </w:p>
          <w:p w14:paraId="4D056305">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szCs w:val="21"/>
              </w:rPr>
              <w:t>3</w:t>
            </w:r>
            <w:r>
              <w:rPr>
                <w:rFonts w:asciiTheme="majorEastAsia" w:hAnsiTheme="majorEastAsia" w:eastAsiaTheme="majorEastAsia"/>
                <w:color w:val="auto"/>
                <w:szCs w:val="21"/>
              </w:rPr>
              <w:t>1、设置</w:t>
            </w:r>
            <w:r>
              <w:rPr>
                <w:rFonts w:asciiTheme="majorEastAsia" w:hAnsiTheme="majorEastAsia" w:eastAsiaTheme="majorEastAsia"/>
                <w:color w:val="auto"/>
                <w:kern w:val="0"/>
                <w:szCs w:val="21"/>
              </w:rPr>
              <w:t>门急诊知情/拒绝同意书模块</w:t>
            </w:r>
            <w:r>
              <w:rPr>
                <w:rFonts w:hint="eastAsia" w:asciiTheme="majorEastAsia" w:hAnsiTheme="majorEastAsia" w:eastAsiaTheme="majorEastAsia"/>
                <w:color w:val="auto"/>
                <w:szCs w:val="21"/>
              </w:rPr>
              <w:t>（实现自定义通用模板、专科模板）。</w:t>
            </w:r>
          </w:p>
          <w:p w14:paraId="6FF6DCC0">
            <w:pPr>
              <w:spacing w:line="440" w:lineRule="exact"/>
              <w:ind w:firstLine="420" w:firstLineChars="200"/>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32、设置</w:t>
            </w:r>
            <w:r>
              <w:rPr>
                <w:rFonts w:hint="eastAsia" w:asciiTheme="majorEastAsia" w:hAnsiTheme="majorEastAsia" w:eastAsiaTheme="majorEastAsia"/>
                <w:color w:val="auto"/>
                <w:kern w:val="0"/>
                <w:szCs w:val="21"/>
              </w:rPr>
              <w:t>门</w:t>
            </w:r>
            <w:r>
              <w:rPr>
                <w:rFonts w:asciiTheme="majorEastAsia" w:hAnsiTheme="majorEastAsia" w:eastAsiaTheme="majorEastAsia"/>
                <w:color w:val="auto"/>
                <w:kern w:val="0"/>
                <w:szCs w:val="21"/>
              </w:rPr>
              <w:t>急</w:t>
            </w:r>
            <w:r>
              <w:rPr>
                <w:rFonts w:hint="eastAsia" w:asciiTheme="majorEastAsia" w:hAnsiTheme="majorEastAsia" w:eastAsiaTheme="majorEastAsia"/>
                <w:color w:val="auto"/>
                <w:kern w:val="0"/>
                <w:szCs w:val="21"/>
              </w:rPr>
              <w:t>诊操作记录、抢救记录书写模块（实现自定义通用模板、专科模板）。</w:t>
            </w:r>
          </w:p>
          <w:p w14:paraId="37873CDE">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3</w:t>
            </w:r>
            <w:r>
              <w:rPr>
                <w:rFonts w:asciiTheme="majorEastAsia" w:hAnsiTheme="majorEastAsia" w:eastAsiaTheme="majorEastAsia"/>
                <w:color w:val="auto"/>
                <w:kern w:val="0"/>
                <w:szCs w:val="21"/>
              </w:rPr>
              <w:t>3、门急诊病历信息查询功能（可按患者基本信息、就诊时间、书写时间、完成时间等项目查询）</w:t>
            </w:r>
            <w:r>
              <w:rPr>
                <w:rFonts w:hint="eastAsia" w:asciiTheme="majorEastAsia" w:hAnsiTheme="majorEastAsia" w:eastAsiaTheme="majorEastAsia"/>
                <w:color w:val="auto"/>
                <w:kern w:val="0"/>
                <w:szCs w:val="21"/>
              </w:rPr>
              <w:t>。</w:t>
            </w:r>
          </w:p>
          <w:p w14:paraId="17A2BC33">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3</w:t>
            </w:r>
            <w:r>
              <w:rPr>
                <w:rFonts w:asciiTheme="majorEastAsia" w:hAnsiTheme="majorEastAsia" w:eastAsiaTheme="majorEastAsia"/>
                <w:color w:val="auto"/>
                <w:kern w:val="0"/>
                <w:szCs w:val="21"/>
              </w:rPr>
              <w:t>4、设置门急诊病历三级质控及相关权限，可按照给定的评分规则、权重对门急诊病历进行评分</w:t>
            </w:r>
            <w:r>
              <w:rPr>
                <w:rFonts w:hint="eastAsia" w:asciiTheme="majorEastAsia" w:hAnsiTheme="majorEastAsia" w:eastAsiaTheme="majorEastAsia"/>
                <w:color w:val="auto"/>
                <w:kern w:val="0"/>
                <w:szCs w:val="21"/>
              </w:rPr>
              <w:t>/扣分。</w:t>
            </w:r>
          </w:p>
          <w:p w14:paraId="5E212510">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szCs w:val="21"/>
              </w:rPr>
              <w:t>3</w:t>
            </w:r>
            <w:r>
              <w:rPr>
                <w:rFonts w:asciiTheme="majorEastAsia" w:hAnsiTheme="majorEastAsia" w:eastAsiaTheme="majorEastAsia"/>
                <w:color w:val="auto"/>
                <w:szCs w:val="21"/>
              </w:rPr>
              <w:t>5</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w:t>
            </w:r>
            <w:r>
              <w:rPr>
                <w:rFonts w:asciiTheme="majorEastAsia" w:hAnsiTheme="majorEastAsia" w:eastAsiaTheme="majorEastAsia"/>
                <w:color w:val="auto"/>
                <w:kern w:val="0"/>
                <w:szCs w:val="21"/>
              </w:rPr>
              <w:t>急</w:t>
            </w:r>
            <w:r>
              <w:rPr>
                <w:rFonts w:asciiTheme="majorEastAsia" w:hAnsiTheme="majorEastAsia" w:eastAsiaTheme="majorEastAsia"/>
                <w:color w:val="auto"/>
                <w:szCs w:val="21"/>
              </w:rPr>
              <w:t>诊病历评分</w:t>
            </w:r>
            <w:r>
              <w:rPr>
                <w:rFonts w:hint="eastAsia" w:asciiTheme="majorEastAsia" w:hAnsiTheme="majorEastAsia" w:eastAsiaTheme="majorEastAsia"/>
                <w:color w:val="auto"/>
                <w:szCs w:val="21"/>
              </w:rPr>
              <w:t>/扣分查询功能，可生成</w:t>
            </w:r>
            <w:r>
              <w:rPr>
                <w:rFonts w:asciiTheme="majorEastAsia" w:hAnsiTheme="majorEastAsia" w:eastAsiaTheme="majorEastAsia"/>
                <w:color w:val="auto"/>
                <w:szCs w:val="21"/>
              </w:rPr>
              <w:t>各科门</w:t>
            </w:r>
            <w:r>
              <w:rPr>
                <w:rFonts w:asciiTheme="majorEastAsia" w:hAnsiTheme="majorEastAsia" w:eastAsiaTheme="majorEastAsia"/>
                <w:color w:val="auto"/>
                <w:kern w:val="0"/>
                <w:szCs w:val="21"/>
              </w:rPr>
              <w:t>急</w:t>
            </w:r>
            <w:r>
              <w:rPr>
                <w:rFonts w:asciiTheme="majorEastAsia" w:hAnsiTheme="majorEastAsia" w:eastAsiaTheme="majorEastAsia"/>
                <w:color w:val="auto"/>
                <w:szCs w:val="21"/>
              </w:rPr>
              <w:t>诊病历质量评分</w:t>
            </w:r>
            <w:r>
              <w:rPr>
                <w:rFonts w:hint="eastAsia" w:asciiTheme="majorEastAsia" w:hAnsiTheme="majorEastAsia" w:eastAsiaTheme="majorEastAsia"/>
                <w:color w:val="auto"/>
                <w:szCs w:val="21"/>
              </w:rPr>
              <w:t>/扣分分类汇总统计表。</w:t>
            </w:r>
          </w:p>
          <w:p w14:paraId="4FC6494B">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szCs w:val="21"/>
              </w:rPr>
              <w:t>3</w:t>
            </w:r>
            <w:r>
              <w:rPr>
                <w:rFonts w:asciiTheme="majorEastAsia" w:hAnsiTheme="majorEastAsia" w:eastAsiaTheme="majorEastAsia"/>
                <w:color w:val="auto"/>
                <w:szCs w:val="21"/>
              </w:rPr>
              <w:t>6</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门急诊不合格病历查询功能，可生成各科门急诊不合格病历评分明细汇总表。</w:t>
            </w:r>
          </w:p>
          <w:p w14:paraId="7EDF83D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37、门诊病历结构化和关键内容可设置必填、选填项，如不符合要求则可保存但拒绝提交。</w:t>
            </w:r>
          </w:p>
          <w:p w14:paraId="78ADE0F7">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kern w:val="0"/>
                <w:szCs w:val="21"/>
              </w:rPr>
              <w:t>3</w:t>
            </w:r>
            <w:r>
              <w:rPr>
                <w:rFonts w:asciiTheme="majorEastAsia" w:hAnsiTheme="majorEastAsia" w:eastAsiaTheme="majorEastAsia"/>
                <w:color w:val="auto"/>
                <w:kern w:val="0"/>
                <w:szCs w:val="21"/>
              </w:rPr>
              <w:t>8</w:t>
            </w:r>
            <w:r>
              <w:rPr>
                <w:rFonts w:hint="eastAsia" w:asciiTheme="majorEastAsia" w:hAnsiTheme="majorEastAsia" w:eastAsiaTheme="majorEastAsia"/>
                <w:color w:val="auto"/>
                <w:kern w:val="0"/>
                <w:szCs w:val="21"/>
              </w:rPr>
              <w:t>、门诊病历实现借阅、召回、修改、留痕功能。</w:t>
            </w:r>
          </w:p>
        </w:tc>
        <w:tc>
          <w:tcPr>
            <w:tcW w:w="379" w:type="pct"/>
            <w:tcBorders>
              <w:top w:val="single" w:color="auto" w:sz="4" w:space="0"/>
              <w:left w:val="single" w:color="auto" w:sz="4" w:space="0"/>
              <w:bottom w:val="single" w:color="auto" w:sz="4" w:space="0"/>
              <w:right w:val="single" w:color="auto" w:sz="4" w:space="0"/>
            </w:tcBorders>
            <w:vAlign w:val="center"/>
          </w:tcPr>
          <w:p w14:paraId="1F562D48">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746EF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2" w:type="pct"/>
            <w:vMerge w:val="continue"/>
            <w:tcBorders>
              <w:left w:val="single" w:color="auto" w:sz="4" w:space="0"/>
              <w:right w:val="single" w:color="auto" w:sz="4" w:space="0"/>
            </w:tcBorders>
            <w:vAlign w:val="center"/>
          </w:tcPr>
          <w:p w14:paraId="5B22FEFE">
            <w:pPr>
              <w:spacing w:line="440" w:lineRule="exact"/>
              <w:jc w:val="left"/>
              <w:rPr>
                <w:rFonts w:cs="宋体" w:asciiTheme="majorEastAsia" w:hAnsiTheme="majorEastAsia" w:eastAsiaTheme="majorEastAsia"/>
                <w:b/>
                <w:bCs/>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F9D6F19">
            <w:pPr>
              <w:spacing w:line="440" w:lineRule="exact"/>
              <w:jc w:val="left"/>
              <w:rPr>
                <w:rFonts w:cs="宋体" w:asciiTheme="majorEastAsia" w:hAnsiTheme="majorEastAsia" w:eastAsiaTheme="majorEastAsia"/>
                <w:color w:val="auto"/>
                <w:szCs w:val="21"/>
              </w:rPr>
            </w:pPr>
            <w:bookmarkStart w:id="58" w:name="住院电子病历系统"/>
            <w:r>
              <w:rPr>
                <w:rFonts w:hint="eastAsia" w:cs="宋体" w:asciiTheme="majorEastAsia" w:hAnsiTheme="majorEastAsia" w:eastAsiaTheme="majorEastAsia"/>
                <w:color w:val="auto"/>
                <w:szCs w:val="21"/>
              </w:rPr>
              <w:t>住院电子病历系统</w:t>
            </w:r>
            <w:bookmarkEnd w:id="58"/>
          </w:p>
        </w:tc>
        <w:tc>
          <w:tcPr>
            <w:tcW w:w="3788" w:type="pct"/>
            <w:tcBorders>
              <w:top w:val="single" w:color="auto" w:sz="4" w:space="0"/>
              <w:left w:val="single" w:color="auto" w:sz="4" w:space="0"/>
              <w:bottom w:val="single" w:color="auto" w:sz="4" w:space="0"/>
              <w:right w:val="single" w:color="auto" w:sz="4" w:space="0"/>
            </w:tcBorders>
            <w:vAlign w:val="center"/>
          </w:tcPr>
          <w:p w14:paraId="0CE069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医生病历系统按照《病历书写基本规范》要求，确保病历书写及时、完整、规范；覆盖医疗机构各种医学文档的内容，用于协助医务人员方便快速地处理在医疗活动过程中形成的文字、符号、图表、影像等资料。可以集成到医疗机构的门诊医生站系统中，采用结构化结合自由文本的录入模式。</w:t>
            </w:r>
          </w:p>
          <w:p w14:paraId="3C2564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内容包括但不限于：住院病案首页及附页、首次病程、病程记录、出院小结、住院记录、医嘱单、化验单（检验报告）、医学影像检查资料、麻醉记录单、手术记录单、病理资料、出院记录（或死亡记录）、病程记录（含抢救记录）、疑难病例讨论记录、会诊意见、上级医生查房记录、死亡病例讨论记录等。实际病历要求以医院为准。</w:t>
            </w:r>
          </w:p>
          <w:p w14:paraId="50E3CFC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主要功能有</w:t>
            </w:r>
            <w:r>
              <w:rPr>
                <w:rFonts w:cs="宋体" w:asciiTheme="majorEastAsia" w:hAnsiTheme="majorEastAsia" w:eastAsiaTheme="majorEastAsia"/>
                <w:color w:val="auto"/>
                <w:szCs w:val="21"/>
              </w:rPr>
              <w:t>：</w:t>
            </w:r>
          </w:p>
          <w:p w14:paraId="2E69B9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1、可创建住院病历各组成部分病历资料，并自动记录创建时间（年、月、日、时、分）、创建者、病历组成部分名称。</w:t>
            </w:r>
          </w:p>
          <w:p w14:paraId="4F62C7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2、提供住院病历创建信息补记、修改等操作功能，对操作者应当进行身份识别、保存历次操作印痕、标记准确的操作时间和操作者信息。</w:t>
            </w:r>
          </w:p>
          <w:p w14:paraId="3E06D32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3、提供根据患者住院期间电子病历记录，自动生成病案首页中住院天数、确诊日期、出院诊断、手术及操作、费用信息、护理等信息的功能。</w:t>
            </w:r>
          </w:p>
          <w:p w14:paraId="29AAB93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4、提供为临床试验病例、教学病例等特殊病历资料进行标识的功能。</w:t>
            </w:r>
          </w:p>
          <w:p w14:paraId="5DD209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5、实现病历各组成部分录入与编辑的功能。</w:t>
            </w:r>
          </w:p>
          <w:p w14:paraId="4032139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6、提供按照病历组成部分、内容和要求，根据电子病历系统中相关数据，自动生成住院病历部分内容的功能。</w:t>
            </w:r>
          </w:p>
          <w:p w14:paraId="0D1D6D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7、提供自由文本录入功能，可以自主勾选或一键勾选患者检验信息中临床异常指标，并按照勾选内容生产病历。</w:t>
            </w:r>
          </w:p>
          <w:p w14:paraId="0DFF62F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8、提供在住院病历指定内容中复制、粘贴患者本人住院病历相同信息的功能；禁止复制、粘贴非患者本人信息的功能。</w:t>
            </w:r>
          </w:p>
          <w:p w14:paraId="05B83F5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9、提供暂时保存未完成住院病历记录，并授权用户查看、修改、完成该病历记录，提供住院病历记录确认完成并记录完成时间的功能。</w:t>
            </w:r>
          </w:p>
          <w:p w14:paraId="27E9F7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10、提供住院病历记录双签名功能，当由实习医师、试用期医务人员书写病历时，应当经过本医疗机构注册的医师审阅、修改，并保留书写者与审阅者的双签名。</w:t>
            </w:r>
          </w:p>
          <w:p w14:paraId="04A694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11、对于正处于编辑状态的住院病历，可在另一界面打开查阅，但不能进行编辑。</w:t>
            </w:r>
          </w:p>
          <w:p w14:paraId="0CF336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12、提供在住院病历记录中插入患者基本信息、医嘱信息、辅助检查报告、生命体征信息等相关内容的功能。</w:t>
            </w:r>
          </w:p>
          <w:p w14:paraId="56E673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13、提供结构化病历模板、内容段落模板两级模板。实现医师自定义维护内容段落模板。</w:t>
            </w:r>
          </w:p>
          <w:p w14:paraId="7250604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14、提供包含展现样式的病历记录录入编辑和保存功能；提供所见即所得的病历记录录入编辑功能。</w:t>
            </w:r>
          </w:p>
          <w:p w14:paraId="6E3F74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15、提供在住院病历记录中嵌入图片、表格、多媒体数据并进行编辑的功能。</w:t>
            </w:r>
          </w:p>
          <w:p w14:paraId="3F3C247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16、提供在住院病历记录中插入来自系统内部或外部的疾病知识资料库相关知识文本的功能。</w:t>
            </w:r>
          </w:p>
          <w:p w14:paraId="494A419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17、提供常用术语词库辅助录入功能，术语词库包括症状名称、体征名称、疾病名称、药物名称、手术名称、操作名称、护理级别名称等。</w:t>
            </w:r>
          </w:p>
          <w:p w14:paraId="412B48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18、提供自定义短语辅助录入功能。医师可维护常用短语，在病历书写时可快捷引用到病历中。</w:t>
            </w:r>
          </w:p>
          <w:p w14:paraId="1B395D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19、提供结构化（可交互元素）模板辅助录入功能，并在病历记录中保留结构化模板形成的结构。</w:t>
            </w:r>
          </w:p>
          <w:p w14:paraId="30A7C35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20、在病历记录录入编辑过程中自动保存编辑内容，并在系统出现异常中断的情况下恢复正在编辑文档的功能。</w:t>
            </w:r>
          </w:p>
          <w:p w14:paraId="301F894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21、提供病历记录的修改和删除功能，并自动记录、保存病历记录所有修改的痕迹，应当至少包括修改内容、修改人、修改时间等，超时修改的需填写修改原因与依据方可完成修改。</w:t>
            </w:r>
          </w:p>
          <w:p w14:paraId="4F2A109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22、提供上级医师审签病历的功能，允许上级医师修改并修改下级医师创建的病历记录。</w:t>
            </w:r>
          </w:p>
          <w:p w14:paraId="271CDB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23、提供病历打印功能，实现重打、套打、续打、隔页打印等功能，且保留详细的打印操作日志。也提供病历记录禁止修改及打印的设置功能。</w:t>
            </w:r>
          </w:p>
          <w:p w14:paraId="4AEB600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24、提供电子传染病报告填写和上报的功能；根据患者诊断自动触发上报录入界面。提供上报的疾病标准全称的检索与查询功能。</w:t>
            </w:r>
          </w:p>
          <w:p w14:paraId="26BF105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25、提供电子死亡医学证明填写和上报功能，也提供疾病证明等其他证明材料。</w:t>
            </w:r>
          </w:p>
          <w:p w14:paraId="1428FD3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26、提供住院医师交接班记录功能。可根据模板自动生成交接班记录，内容可包括科室患者概况，新入院、病危、手术、特殊检查等患者的基本信息和诊疗情况，再由交接班医师签名存档。电子交接班系统可引用在院病人的病历资料。</w:t>
            </w:r>
          </w:p>
          <w:p w14:paraId="498969C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27、提供结构化病历记录项目内容合理性检查与提示功能，包括项目独立检查和项目之间、项目与患者个人特征间的相关性检查。</w:t>
            </w:r>
          </w:p>
          <w:p w14:paraId="507EE19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28、提供病历质控每日自动自查功能，每日对病程提供自动查重功能，自查及查重有异常时通过系统弹框对主管医师和科室质控管理员进行提醒。</w:t>
            </w:r>
          </w:p>
          <w:p w14:paraId="2A0D37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29、提供病历保存质控提醒，针对病历中的重要缺陷或漏填项，实现医生病历保存时的质控提醒，可根据管理要求设置为“仅提醒可保存”或“不能保存”。</w:t>
            </w:r>
          </w:p>
          <w:p w14:paraId="282ED86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30、提供医师病历自评功能。病人出院后，可按照病案质量要求进行评分，实现自动评分和手动评分，并自动计算和显示病历质量的等级情况。</w:t>
            </w:r>
          </w:p>
          <w:p w14:paraId="57B5016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31、自动</w:t>
            </w:r>
            <w:r>
              <w:rPr>
                <w:rFonts w:cs="宋体" w:asciiTheme="majorEastAsia" w:hAnsiTheme="majorEastAsia" w:eastAsiaTheme="majorEastAsia"/>
                <w:color w:val="auto"/>
                <w:szCs w:val="21"/>
              </w:rPr>
              <w:t>检查病案存在的质控问题，并</w:t>
            </w:r>
            <w:r>
              <w:rPr>
                <w:rFonts w:hint="eastAsia" w:cs="宋体" w:asciiTheme="majorEastAsia" w:hAnsiTheme="majorEastAsia" w:eastAsiaTheme="majorEastAsia"/>
                <w:color w:val="auto"/>
                <w:szCs w:val="21"/>
              </w:rPr>
              <w:t>提供病历质控消息应用。针对病历质控问题，能够通过消息提醒方式实时通知相关医师。</w:t>
            </w:r>
          </w:p>
          <w:p w14:paraId="065094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32、提供质控缺陷智能定位功能。针对医师收到的病历质控消息，可直接点击质控消息并定位到缺陷位置，同时可查看对病历缺陷内容的评价和要求。</w:t>
            </w:r>
          </w:p>
          <w:p w14:paraId="3956BBE5">
            <w:pPr>
              <w:spacing w:line="440" w:lineRule="exact"/>
              <w:ind w:firstLine="375"/>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33、实现设置专科模板、专病模板。</w:t>
            </w:r>
          </w:p>
          <w:p w14:paraId="2ACF06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34、消息智能提醒</w:t>
            </w:r>
          </w:p>
          <w:p w14:paraId="38DA69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对于病程记录必须书写的项目，</w:t>
            </w:r>
            <w:r>
              <w:rPr>
                <w:rFonts w:cs="宋体" w:asciiTheme="majorEastAsia" w:hAnsiTheme="majorEastAsia" w:eastAsiaTheme="majorEastAsia"/>
                <w:color w:val="auto"/>
                <w:szCs w:val="21"/>
              </w:rPr>
              <w:t>包括</w:t>
            </w:r>
            <w:r>
              <w:rPr>
                <w:rFonts w:hint="eastAsia" w:cs="宋体" w:asciiTheme="majorEastAsia" w:hAnsiTheme="majorEastAsia" w:eastAsiaTheme="majorEastAsia"/>
                <w:color w:val="auto"/>
                <w:szCs w:val="21"/>
              </w:rPr>
              <w:t>危急值、会诊</w:t>
            </w:r>
            <w:r>
              <w:rPr>
                <w:rFonts w:cs="宋体" w:asciiTheme="majorEastAsia" w:hAnsiTheme="majorEastAsia" w:eastAsiaTheme="majorEastAsia"/>
                <w:color w:val="auto"/>
                <w:szCs w:val="21"/>
              </w:rPr>
              <w:t>记录等</w:t>
            </w:r>
            <w:r>
              <w:rPr>
                <w:rFonts w:hint="eastAsia" w:cs="宋体" w:asciiTheme="majorEastAsia" w:hAnsiTheme="majorEastAsia" w:eastAsiaTheme="majorEastAsia"/>
                <w:color w:val="auto"/>
                <w:szCs w:val="21"/>
              </w:rPr>
              <w:t>，但未进行记录或操作的自动提醒。</w:t>
            </w:r>
          </w:p>
          <w:p w14:paraId="206E6FD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针对不良事件上报等有灵活的消息发送、提醒功能。</w:t>
            </w:r>
          </w:p>
          <w:p w14:paraId="0C6F11BF">
            <w:pPr>
              <w:spacing w:line="440" w:lineRule="exact"/>
              <w:ind w:firstLine="37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对医师每日需完成的所有病程进行窗口或弹框提醒。</w:t>
            </w:r>
          </w:p>
          <w:p w14:paraId="24CC3087">
            <w:pPr>
              <w:spacing w:line="440" w:lineRule="exact"/>
              <w:ind w:firstLine="37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对未完成的病案首页在出院24小时内进行</w:t>
            </w:r>
            <w:r>
              <w:rPr>
                <w:rFonts w:hint="eastAsia" w:cs="宋体" w:asciiTheme="majorEastAsia" w:hAnsiTheme="majorEastAsia" w:eastAsiaTheme="majorEastAsia"/>
                <w:color w:val="auto"/>
                <w:kern w:val="0"/>
                <w:szCs w:val="21"/>
              </w:rPr>
              <w:t>窗口或弹框</w:t>
            </w:r>
            <w:r>
              <w:rPr>
                <w:rFonts w:hint="eastAsia" w:cs="宋体" w:asciiTheme="majorEastAsia" w:hAnsiTheme="majorEastAsia" w:eastAsiaTheme="majorEastAsia"/>
                <w:color w:val="auto"/>
                <w:szCs w:val="21"/>
              </w:rPr>
              <w:t>提醒。</w:t>
            </w:r>
          </w:p>
          <w:p w14:paraId="5CEC5357">
            <w:pPr>
              <w:spacing w:line="440" w:lineRule="exact"/>
              <w:ind w:firstLine="37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对住院超30天的患者在医师界面进行窗口或弹框提醒，直至完成超30天记录后提醒消失。</w:t>
            </w:r>
          </w:p>
          <w:p w14:paraId="6EBEA0FB">
            <w:pPr>
              <w:spacing w:line="440" w:lineRule="exact"/>
              <w:ind w:firstLine="375"/>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在首程及入院记录中药物过敏史使用标红字体强提醒。药物过敏史同步在病人基本信息中，并实现编辑和修正。</w:t>
            </w:r>
          </w:p>
          <w:p w14:paraId="1C1718D6">
            <w:pPr>
              <w:spacing w:line="440" w:lineRule="exact"/>
              <w:ind w:firstLine="37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、可一键获取患者在本院既往住院情况，并且在此界面可调阅每一次住院时的病历资料及检查结果。</w:t>
            </w:r>
          </w:p>
          <w:p w14:paraId="398FCF1C">
            <w:pPr>
              <w:spacing w:line="440" w:lineRule="exact"/>
              <w:ind w:firstLine="37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r>
              <w:rPr>
                <w:rFonts w:cs="宋体" w:asciiTheme="majorEastAsia" w:hAnsiTheme="majorEastAsia" w:eastAsiaTheme="majorEastAsia"/>
                <w:color w:val="auto"/>
                <w:szCs w:val="21"/>
              </w:rPr>
              <w:t>6</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具备个性化定制各类</w:t>
            </w:r>
            <w:r>
              <w:rPr>
                <w:rFonts w:hint="eastAsia" w:cs="宋体" w:asciiTheme="majorEastAsia" w:hAnsiTheme="majorEastAsia" w:eastAsiaTheme="majorEastAsia"/>
                <w:color w:val="auto"/>
                <w:szCs w:val="21"/>
              </w:rPr>
              <w:t>临床评估</w:t>
            </w:r>
            <w:r>
              <w:rPr>
                <w:rFonts w:cs="宋体" w:asciiTheme="majorEastAsia" w:hAnsiTheme="majorEastAsia" w:eastAsiaTheme="majorEastAsia"/>
                <w:color w:val="auto"/>
                <w:szCs w:val="21"/>
              </w:rPr>
              <w:t>表单，</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科室根据专科特点建立个体化评估单套餐，</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与老年综合评估系统融合，实现数据对接与共享，</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输入关键词可自动弹出相关内容供</w:t>
            </w:r>
            <w:r>
              <w:rPr>
                <w:rFonts w:hint="eastAsia" w:cs="宋体" w:asciiTheme="majorEastAsia" w:hAnsiTheme="majorEastAsia" w:eastAsiaTheme="majorEastAsia"/>
                <w:color w:val="auto"/>
                <w:szCs w:val="21"/>
              </w:rPr>
              <w:t>医师</w:t>
            </w:r>
            <w:r>
              <w:rPr>
                <w:rFonts w:cs="宋体" w:asciiTheme="majorEastAsia" w:hAnsiTheme="majorEastAsia" w:eastAsiaTheme="majorEastAsia"/>
                <w:color w:val="auto"/>
                <w:szCs w:val="21"/>
              </w:rPr>
              <w:t>根据患者情况修改，</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智能统计各项评分及总分、根据评估结果智能提醒复评时间等功能。</w:t>
            </w:r>
          </w:p>
          <w:p w14:paraId="7C3775B8">
            <w:pPr>
              <w:spacing w:line="440" w:lineRule="exact"/>
              <w:ind w:firstLine="375"/>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37</w:t>
            </w:r>
            <w:r>
              <w:rPr>
                <w:rFonts w:hint="eastAsia" w:cs="宋体" w:asciiTheme="majorEastAsia" w:hAnsiTheme="majorEastAsia" w:eastAsiaTheme="majorEastAsia"/>
                <w:color w:val="auto"/>
                <w:szCs w:val="21"/>
              </w:rPr>
              <w:t>、实现对电子病历有</w:t>
            </w:r>
            <w:r>
              <w:rPr>
                <w:rFonts w:cs="宋体" w:asciiTheme="majorEastAsia" w:hAnsiTheme="majorEastAsia" w:eastAsiaTheme="majorEastAsia"/>
                <w:color w:val="auto"/>
                <w:szCs w:val="21"/>
              </w:rPr>
              <w:t>条件</w:t>
            </w:r>
            <w:r>
              <w:rPr>
                <w:rFonts w:hint="eastAsia" w:cs="宋体" w:asciiTheme="majorEastAsia" w:hAnsiTheme="majorEastAsia" w:eastAsiaTheme="majorEastAsia"/>
                <w:color w:val="auto"/>
                <w:szCs w:val="21"/>
              </w:rPr>
              <w:t>的复制或导出，用于院内外比赛及晋升职称材料准备。</w:t>
            </w:r>
          </w:p>
          <w:p w14:paraId="5A31DBB0">
            <w:pPr>
              <w:spacing w:line="440" w:lineRule="exact"/>
              <w:ind w:firstLine="384"/>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38、科室可按</w:t>
            </w:r>
            <w:r>
              <w:rPr>
                <w:rFonts w:cs="宋体" w:asciiTheme="majorEastAsia" w:hAnsiTheme="majorEastAsia" w:eastAsiaTheme="majorEastAsia"/>
                <w:color w:val="auto"/>
                <w:szCs w:val="21"/>
              </w:rPr>
              <w:t>时间查询根据</w:t>
            </w:r>
            <w:r>
              <w:rPr>
                <w:rFonts w:hint="eastAsia" w:cs="宋体" w:asciiTheme="majorEastAsia" w:hAnsiTheme="majorEastAsia" w:eastAsiaTheme="majorEastAsia"/>
                <w:color w:val="auto"/>
                <w:szCs w:val="21"/>
              </w:rPr>
              <w:t>本科室</w:t>
            </w:r>
            <w:r>
              <w:rPr>
                <w:rFonts w:cs="宋体" w:asciiTheme="majorEastAsia" w:hAnsiTheme="majorEastAsia" w:eastAsiaTheme="majorEastAsia"/>
                <w:color w:val="auto"/>
                <w:szCs w:val="21"/>
              </w:rPr>
              <w:t>的病案首页</w:t>
            </w:r>
            <w:r>
              <w:rPr>
                <w:rFonts w:hint="eastAsia" w:cs="宋体" w:asciiTheme="majorEastAsia" w:hAnsiTheme="majorEastAsia" w:eastAsiaTheme="majorEastAsia"/>
                <w:color w:val="auto"/>
                <w:szCs w:val="21"/>
              </w:rPr>
              <w:t>的</w:t>
            </w:r>
            <w:r>
              <w:rPr>
                <w:rFonts w:cs="宋体" w:asciiTheme="majorEastAsia" w:hAnsiTheme="majorEastAsia" w:eastAsiaTheme="majorEastAsia"/>
                <w:color w:val="auto"/>
                <w:szCs w:val="21"/>
              </w:rPr>
              <w:t>数据</w:t>
            </w:r>
            <w:r>
              <w:rPr>
                <w:rFonts w:hint="eastAsia" w:cs="宋体" w:asciiTheme="majorEastAsia" w:hAnsiTheme="majorEastAsia" w:eastAsiaTheme="majorEastAsia"/>
                <w:color w:val="auto"/>
                <w:szCs w:val="21"/>
              </w:rPr>
              <w:t>进行</w:t>
            </w:r>
            <w:r>
              <w:rPr>
                <w:rFonts w:cs="宋体" w:asciiTheme="majorEastAsia" w:hAnsiTheme="majorEastAsia" w:eastAsiaTheme="majorEastAsia"/>
                <w:color w:val="auto"/>
                <w:szCs w:val="21"/>
              </w:rPr>
              <w:t>的</w:t>
            </w:r>
            <w:r>
              <w:rPr>
                <w:rFonts w:hint="eastAsia" w:cs="宋体" w:asciiTheme="majorEastAsia" w:hAnsiTheme="majorEastAsia" w:eastAsiaTheme="majorEastAsia"/>
                <w:color w:val="auto"/>
                <w:szCs w:val="21"/>
              </w:rPr>
              <w:t>各项</w:t>
            </w:r>
            <w:r>
              <w:rPr>
                <w:rFonts w:cs="宋体" w:asciiTheme="majorEastAsia" w:hAnsiTheme="majorEastAsia" w:eastAsiaTheme="majorEastAsia"/>
                <w:color w:val="auto"/>
                <w:szCs w:val="21"/>
              </w:rPr>
              <w:t>统计结果，以便科室运营管理。</w:t>
            </w:r>
          </w:p>
          <w:p w14:paraId="5E38C170">
            <w:pPr>
              <w:spacing w:line="440" w:lineRule="exact"/>
              <w:ind w:firstLine="384"/>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3</w:t>
            </w:r>
            <w:r>
              <w:rPr>
                <w:rFonts w:hint="eastAsia" w:asciiTheme="majorEastAsia" w:hAnsiTheme="majorEastAsia" w:eastAsiaTheme="majorEastAsia"/>
                <w:color w:val="auto"/>
                <w:kern w:val="0"/>
                <w:szCs w:val="21"/>
              </w:rPr>
              <w:t>9</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应</w:t>
            </w:r>
            <w:r>
              <w:rPr>
                <w:rFonts w:asciiTheme="majorEastAsia" w:hAnsiTheme="majorEastAsia" w:eastAsiaTheme="majorEastAsia"/>
                <w:color w:val="auto"/>
                <w:kern w:val="0"/>
                <w:szCs w:val="21"/>
              </w:rPr>
              <w:t>包含</w:t>
            </w:r>
            <w:r>
              <w:rPr>
                <w:rFonts w:hint="eastAsia" w:asciiTheme="majorEastAsia" w:hAnsiTheme="majorEastAsia" w:eastAsiaTheme="majorEastAsia"/>
                <w:color w:val="auto"/>
                <w:kern w:val="0"/>
                <w:szCs w:val="21"/>
              </w:rPr>
              <w:t>急诊留观病历系统及质控模块，功能同住院电子病历系统。</w:t>
            </w:r>
          </w:p>
          <w:p w14:paraId="7973F9FB">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40</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实现增设及自定义病情</w:t>
            </w:r>
            <w:r>
              <w:rPr>
                <w:rFonts w:asciiTheme="majorEastAsia" w:hAnsiTheme="majorEastAsia" w:eastAsiaTheme="majorEastAsia"/>
                <w:color w:val="auto"/>
                <w:kern w:val="0"/>
                <w:szCs w:val="21"/>
              </w:rPr>
              <w:t>/</w:t>
            </w:r>
            <w:r>
              <w:rPr>
                <w:rFonts w:hint="eastAsia" w:asciiTheme="majorEastAsia" w:hAnsiTheme="majorEastAsia" w:eastAsiaTheme="majorEastAsia"/>
                <w:color w:val="auto"/>
                <w:kern w:val="0"/>
                <w:szCs w:val="21"/>
              </w:rPr>
              <w:t>病种评分表及量表模块，如各类血栓风险评估表（</w:t>
            </w:r>
            <w:r>
              <w:rPr>
                <w:rFonts w:asciiTheme="majorEastAsia" w:hAnsiTheme="majorEastAsia" w:eastAsiaTheme="majorEastAsia"/>
                <w:color w:val="auto"/>
                <w:kern w:val="0"/>
                <w:szCs w:val="21"/>
              </w:rPr>
              <w:t>Padua、Caprini、Wells等）</w:t>
            </w:r>
            <w:r>
              <w:rPr>
                <w:rFonts w:hint="eastAsia" w:asciiTheme="majorEastAsia" w:hAnsiTheme="majorEastAsia" w:eastAsiaTheme="majorEastAsia"/>
                <w:color w:val="auto"/>
                <w:kern w:val="0"/>
                <w:szCs w:val="21"/>
              </w:rPr>
              <w:t>、肺炎病情严重程度评估表、脓毒性休克的筛查与评估表、帕金森</w:t>
            </w:r>
            <w:r>
              <w:rPr>
                <w:rFonts w:asciiTheme="majorEastAsia" w:hAnsiTheme="majorEastAsia" w:eastAsiaTheme="majorEastAsia"/>
                <w:color w:val="auto"/>
                <w:kern w:val="0"/>
                <w:szCs w:val="21"/>
              </w:rPr>
              <w:t>MDS-UPDRS量表评测、帕金森冻结步态量表（FOG-Q）评分、压疮危险因素评估、住院精神疾病评定量表（SSFD-MD、SDSS、SSP</w:t>
            </w:r>
            <w:r>
              <w:rPr>
                <w:rFonts w:hint="eastAsia" w:asciiTheme="majorEastAsia" w:hAnsiTheme="majorEastAsia" w:eastAsiaTheme="majorEastAsia"/>
                <w:color w:val="auto"/>
                <w:kern w:val="0"/>
                <w:szCs w:val="21"/>
              </w:rPr>
              <w:t>Ⅰ</w:t>
            </w:r>
            <w:r>
              <w:rPr>
                <w:rFonts w:asciiTheme="majorEastAsia" w:hAnsiTheme="majorEastAsia" w:eastAsiaTheme="majorEastAsia"/>
                <w:color w:val="auto"/>
                <w:kern w:val="0"/>
                <w:szCs w:val="21"/>
              </w:rPr>
              <w:t>、GAF、BPRS等）、急性生理与慢性健康(APACHE-Ⅱ)评分</w:t>
            </w:r>
            <w:r>
              <w:rPr>
                <w:rFonts w:hint="eastAsia" w:asciiTheme="majorEastAsia" w:hAnsiTheme="majorEastAsia" w:eastAsiaTheme="majorEastAsia"/>
                <w:color w:val="auto"/>
                <w:kern w:val="0"/>
                <w:szCs w:val="21"/>
              </w:rPr>
              <w:t>等，各评分表、量表可根据各项权重累计计分。</w:t>
            </w:r>
          </w:p>
          <w:p w14:paraId="25D61E27">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41、提供病程信息的检索统计功能，如对体温、脉搏、呼吸、新生儿出生Apgar评分等指标的检索统计</w:t>
            </w:r>
          </w:p>
        </w:tc>
        <w:tc>
          <w:tcPr>
            <w:tcW w:w="379" w:type="pct"/>
            <w:tcBorders>
              <w:top w:val="single" w:color="auto" w:sz="4" w:space="0"/>
              <w:left w:val="single" w:color="auto" w:sz="4" w:space="0"/>
              <w:bottom w:val="single" w:color="auto" w:sz="4" w:space="0"/>
              <w:right w:val="single" w:color="auto" w:sz="4" w:space="0"/>
            </w:tcBorders>
            <w:vAlign w:val="center"/>
          </w:tcPr>
          <w:p w14:paraId="29B5391E">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12E19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660CBAE">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EF9FF28">
            <w:pPr>
              <w:spacing w:line="440" w:lineRule="exact"/>
              <w:jc w:val="left"/>
              <w:rPr>
                <w:rFonts w:cs="宋体" w:asciiTheme="majorEastAsia" w:hAnsiTheme="majorEastAsia" w:eastAsiaTheme="majorEastAsia"/>
                <w:color w:val="auto"/>
                <w:szCs w:val="21"/>
              </w:rPr>
            </w:pPr>
            <w:bookmarkStart w:id="59" w:name="护理电子病历系统"/>
            <w:r>
              <w:rPr>
                <w:rFonts w:hint="eastAsia" w:cs="宋体" w:asciiTheme="majorEastAsia" w:hAnsiTheme="majorEastAsia" w:eastAsiaTheme="majorEastAsia"/>
                <w:color w:val="auto"/>
                <w:szCs w:val="21"/>
              </w:rPr>
              <w:t>护理电子病历系统</w:t>
            </w:r>
            <w:bookmarkEnd w:id="59"/>
          </w:p>
        </w:tc>
        <w:tc>
          <w:tcPr>
            <w:tcW w:w="3788" w:type="pct"/>
            <w:tcBorders>
              <w:top w:val="single" w:color="auto" w:sz="4" w:space="0"/>
              <w:left w:val="single" w:color="auto" w:sz="4" w:space="0"/>
              <w:bottom w:val="single" w:color="auto" w:sz="4" w:space="0"/>
              <w:right w:val="single" w:color="auto" w:sz="4" w:space="0"/>
            </w:tcBorders>
            <w:vAlign w:val="center"/>
          </w:tcPr>
          <w:p w14:paraId="5EBD2B6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协助护理人员对患者的病情观察和实施护理措施的原始记载，包括病人医嘱校对、护理医嘱录入与管理、体温单、医嘱单、护理入院录、首次护程记录、一般患者护理记录、特殊患者护理记录等项目，并能够根据相应记录生成各类图表。具体功能如下：</w:t>
            </w:r>
          </w:p>
          <w:p w14:paraId="2839B4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1、具备查阅病人的住院医生书写的病史资料。</w:t>
            </w:r>
          </w:p>
          <w:p w14:paraId="18D2267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2、具备对入院护理评估单、护理记录单、护理计划单、重危病人的监护和特护记录单等护理表单内容的书写。</w:t>
            </w:r>
          </w:p>
          <w:p w14:paraId="07F6DC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3、具备个性化定制各类护理表单，</w:t>
            </w:r>
            <w:r>
              <w:rPr>
                <w:rFonts w:hint="eastAsia" w:cs="宋体" w:asciiTheme="majorEastAsia" w:hAnsiTheme="majorEastAsia" w:eastAsiaTheme="majorEastAsia"/>
                <w:color w:val="auto"/>
                <w:szCs w:val="21"/>
                <w:lang w:val="en-GB"/>
              </w:rPr>
              <w:t>实现科室根据专科特点建立个体化护理评估单套餐，</w:t>
            </w:r>
            <w:r>
              <w:rPr>
                <w:rFonts w:hint="eastAsia" w:cs="宋体" w:asciiTheme="majorEastAsia" w:hAnsiTheme="majorEastAsia" w:eastAsiaTheme="majorEastAsia"/>
                <w:color w:val="auto"/>
                <w:szCs w:val="21"/>
              </w:rPr>
              <w:t>实现与老年综合评估系统</w:t>
            </w:r>
            <w:r>
              <w:rPr>
                <w:rFonts w:hint="eastAsia" w:cs="宋体" w:asciiTheme="majorEastAsia" w:hAnsiTheme="majorEastAsia" w:eastAsiaTheme="majorEastAsia"/>
                <w:color w:val="auto"/>
                <w:szCs w:val="21"/>
                <w:lang w:val="en-GB"/>
              </w:rPr>
              <w:t>融合，</w:t>
            </w:r>
            <w:r>
              <w:rPr>
                <w:rFonts w:hint="eastAsia" w:cs="宋体" w:asciiTheme="majorEastAsia" w:hAnsiTheme="majorEastAsia" w:eastAsiaTheme="majorEastAsia"/>
                <w:color w:val="auto"/>
                <w:szCs w:val="21"/>
              </w:rPr>
              <w:t>实现数据对接与共享，实现</w:t>
            </w:r>
            <w:r>
              <w:rPr>
                <w:rFonts w:hint="eastAsia" w:cs="宋体" w:asciiTheme="majorEastAsia" w:hAnsiTheme="majorEastAsia" w:eastAsiaTheme="majorEastAsia"/>
                <w:color w:val="auto"/>
                <w:szCs w:val="21"/>
                <w:lang w:val="en-GB"/>
              </w:rPr>
              <w:t>输入关键词可自动弹出相关内容供护士根据患者情况修改，实现智能统计各项评分及总分、根据评估结果智能提醒复评时间等功能</w:t>
            </w:r>
            <w:r>
              <w:rPr>
                <w:rFonts w:hint="eastAsia" w:cs="宋体" w:asciiTheme="majorEastAsia" w:hAnsiTheme="majorEastAsia" w:eastAsiaTheme="majorEastAsia"/>
                <w:color w:val="auto"/>
                <w:szCs w:val="21"/>
              </w:rPr>
              <w:t>。</w:t>
            </w:r>
          </w:p>
          <w:p w14:paraId="79C66C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4、具备描绘或者填写住院病人的体温单，</w:t>
            </w:r>
            <w:r>
              <w:rPr>
                <w:rFonts w:hint="eastAsia" w:cs="宋体" w:asciiTheme="majorEastAsia" w:hAnsiTheme="majorEastAsia" w:eastAsiaTheme="majorEastAsia"/>
                <w:color w:val="auto"/>
                <w:szCs w:val="21"/>
                <w:lang w:val="en-GB"/>
              </w:rPr>
              <w:t>实现录入异常数值警示功能。</w:t>
            </w:r>
          </w:p>
          <w:p w14:paraId="30C061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5、具备对护理表单及体温单的打印和连续打印。</w:t>
            </w:r>
          </w:p>
          <w:p w14:paraId="7B553F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6、具备护士书写辅助录入功能，方便护士书写病历。</w:t>
            </w:r>
          </w:p>
          <w:p w14:paraId="02F0F4E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7、具备对护理病历质量进行提示。</w:t>
            </w:r>
          </w:p>
          <w:p w14:paraId="6AE07712">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8、系统具有科室交接班记录，提供病区病床登记、病区床态图、病人住、入院变动情况等功能。</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9、电子病历可以与其他系统互联互通。</w:t>
            </w:r>
          </w:p>
          <w:p w14:paraId="66115DEC">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0、</w:t>
            </w:r>
            <w:r>
              <w:rPr>
                <w:rFonts w:hint="eastAsia" w:asciiTheme="majorEastAsia" w:hAnsiTheme="majorEastAsia" w:eastAsiaTheme="majorEastAsia"/>
                <w:color w:val="auto"/>
                <w:kern w:val="0"/>
                <w:szCs w:val="21"/>
              </w:rPr>
              <w:t>应</w:t>
            </w:r>
            <w:r>
              <w:rPr>
                <w:rFonts w:asciiTheme="majorEastAsia" w:hAnsiTheme="majorEastAsia" w:eastAsiaTheme="majorEastAsia"/>
                <w:color w:val="auto"/>
                <w:kern w:val="0"/>
                <w:szCs w:val="21"/>
              </w:rPr>
              <w:t>包含</w:t>
            </w:r>
            <w:r>
              <w:rPr>
                <w:rFonts w:hint="eastAsia" w:asciiTheme="majorEastAsia" w:hAnsiTheme="majorEastAsia" w:eastAsiaTheme="majorEastAsia"/>
                <w:color w:val="auto"/>
                <w:kern w:val="0"/>
                <w:szCs w:val="21"/>
              </w:rPr>
              <w:t>急诊留观病历系统及质控模块，功能同住院电子病历系统。</w:t>
            </w:r>
          </w:p>
          <w:p w14:paraId="4CA39C76">
            <w:pPr>
              <w:spacing w:line="440" w:lineRule="exact"/>
              <w:ind w:firstLine="420" w:firstLineChars="20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1、</w:t>
            </w:r>
            <w:r>
              <w:rPr>
                <w:rFonts w:hint="eastAsia" w:asciiTheme="majorEastAsia" w:hAnsiTheme="majorEastAsia" w:eastAsiaTheme="majorEastAsia"/>
                <w:color w:val="auto"/>
                <w:szCs w:val="21"/>
              </w:rPr>
              <w:t>实现增设及自定义病情</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病种评分表模块，如血栓评分表、压疮评分表等。</w:t>
            </w:r>
          </w:p>
          <w:p w14:paraId="596288BA">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12、具备记录护理文书操作日志及查询操作日志功能。</w:t>
            </w:r>
          </w:p>
        </w:tc>
        <w:tc>
          <w:tcPr>
            <w:tcW w:w="379" w:type="pct"/>
            <w:tcBorders>
              <w:top w:val="single" w:color="auto" w:sz="4" w:space="0"/>
              <w:left w:val="single" w:color="auto" w:sz="4" w:space="0"/>
              <w:bottom w:val="single" w:color="auto" w:sz="4" w:space="0"/>
              <w:right w:val="single" w:color="auto" w:sz="4" w:space="0"/>
            </w:tcBorders>
            <w:vAlign w:val="center"/>
          </w:tcPr>
          <w:p w14:paraId="1F2B3225">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5673C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7F22DAF6">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F0B5349">
            <w:pPr>
              <w:spacing w:line="440" w:lineRule="exact"/>
              <w:jc w:val="left"/>
              <w:rPr>
                <w:rFonts w:cs="宋体" w:asciiTheme="majorEastAsia" w:hAnsiTheme="majorEastAsia" w:eastAsiaTheme="majorEastAsia"/>
                <w:color w:val="auto"/>
                <w:szCs w:val="21"/>
              </w:rPr>
            </w:pPr>
            <w:bookmarkStart w:id="60" w:name="_Toc10026848"/>
            <w:bookmarkStart w:id="61" w:name="_Toc484090282"/>
            <w:r>
              <w:rPr>
                <w:rFonts w:hint="eastAsia" w:cs="宋体" w:asciiTheme="majorEastAsia" w:hAnsiTheme="majorEastAsia" w:eastAsiaTheme="majorEastAsia"/>
                <w:color w:val="auto"/>
                <w:szCs w:val="21"/>
              </w:rPr>
              <w:t>临床信息全文检索</w:t>
            </w:r>
            <w:bookmarkEnd w:id="60"/>
            <w:bookmarkEnd w:id="61"/>
          </w:p>
        </w:tc>
        <w:tc>
          <w:tcPr>
            <w:tcW w:w="3788" w:type="pct"/>
            <w:tcBorders>
              <w:top w:val="single" w:color="auto" w:sz="4" w:space="0"/>
              <w:left w:val="single" w:color="auto" w:sz="4" w:space="0"/>
              <w:bottom w:val="single" w:color="auto" w:sz="4" w:space="0"/>
              <w:right w:val="single" w:color="auto" w:sz="4" w:space="0"/>
            </w:tcBorders>
            <w:vAlign w:val="center"/>
          </w:tcPr>
          <w:p w14:paraId="258AE301">
            <w:pPr>
              <w:spacing w:line="440" w:lineRule="exact"/>
              <w:ind w:left="357" w:leftChars="170"/>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临床信息全文检索系统为临床医生提供临床数据查询工具，进行病例回顾或科研分析。</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通过病历全文检索工具，可以对全院历史病历文书或检查报告文本等非结构化文本，通过关键字进行全文检索，类似于百度搜索，检索结果显示具体的包含关键字的病历文书或报告，医生可以直接查看文书或报告，也可以进而通过文书对该患者的整个诊疗信息进行分析和研究。工具实现通过“多关键词组合”的智能搜索功能，定位到含关键字的文书。同时实现将大数据搜索结果实现智能推送，根据检索条件的重要程度和搜索频率进行结果的智能排队。</w:t>
            </w:r>
          </w:p>
          <w:p w14:paraId="76FC1204">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热门搜索：系统根据大数据分析引擎自动生成热门搜索关键词，用户可根据系统智能推送的关键词进行检索记录热门搜索关键词。</w:t>
            </w:r>
          </w:p>
          <w:p w14:paraId="4F3A77ED">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收藏的检索条件：已收藏的检索条件，实现打开对应的搜索结果。</w:t>
            </w:r>
          </w:p>
          <w:p w14:paraId="601BC1F2">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收藏检索条件：实现收藏当前检索条件，方便打开对应的搜索结果。</w:t>
            </w:r>
          </w:p>
          <w:p w14:paraId="466D7E8B">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实现查看患者全部信息的功能，实现与患者统一视图系统进行联动，实现由检索片面信息到全信息查询的功能。</w:t>
            </w:r>
          </w:p>
          <w:p w14:paraId="655493E8">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全文检索</w:t>
            </w:r>
          </w:p>
          <w:p w14:paraId="2E62946D">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病历定位：实现对相关病历（包括原始病历）进行定位、查询，无论是在院病历还是归档病历都可以通过自主查询进行查看。</w:t>
            </w:r>
          </w:p>
          <w:p w14:paraId="00186AE0">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住院病历检索</w:t>
            </w:r>
          </w:p>
          <w:p w14:paraId="74D1A60E">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提供关键字检索功能，同时实现多个关键字连接查询；</w:t>
            </w:r>
          </w:p>
          <w:p w14:paraId="5DFF83F0">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提供快速查询体验（1秒左右）；</w:t>
            </w:r>
          </w:p>
          <w:p w14:paraId="1A666165">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提供热门搜索功能，</w:t>
            </w:r>
          </w:p>
          <w:p w14:paraId="7427DFB0">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提供按照诊断、病历类型、科室名称、治疗效果、性别、年龄、入院时间等筛选结果功能；</w:t>
            </w:r>
          </w:p>
          <w:p w14:paraId="3ADF8B17">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提供按患者或按病历等显示结果功能；</w:t>
            </w:r>
          </w:p>
          <w:p w14:paraId="64213345">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提供查看病历内容功能；</w:t>
            </w:r>
          </w:p>
          <w:p w14:paraId="426E7827">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提供调用患者统一视图查看完整就诊情况的功能；</w:t>
            </w:r>
          </w:p>
          <w:p w14:paraId="64BB150D">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提供检索条件收藏功能，同时实现收藏条件自动查询功能；</w:t>
            </w:r>
          </w:p>
          <w:p w14:paraId="47B22D9C">
            <w:pPr>
              <w:numPr>
                <w:ilvl w:val="0"/>
                <w:numId w:val="1"/>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提供患者收藏功能；</w:t>
            </w:r>
          </w:p>
          <w:p w14:paraId="6705227C">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门诊病历检索</w:t>
            </w:r>
          </w:p>
          <w:p w14:paraId="12433707">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提供关键字检索功能，同时实现多个关键字连接查询；</w:t>
            </w:r>
          </w:p>
          <w:p w14:paraId="3A0D1E9E">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提供快速查询体验（1秒左右）；</w:t>
            </w:r>
          </w:p>
          <w:p w14:paraId="6CE309D0">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提供热门搜索功能；</w:t>
            </w:r>
          </w:p>
          <w:p w14:paraId="4EA3E2F1">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提供按照诊断、就诊科室、性别、年龄、就诊时间等筛选结果功能；</w:t>
            </w:r>
          </w:p>
          <w:p w14:paraId="5A1DA77F">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提供按患者或按病历等显示结果功能；</w:t>
            </w:r>
          </w:p>
          <w:p w14:paraId="694FC8D5">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提供查看病历内容功能；</w:t>
            </w:r>
          </w:p>
          <w:p w14:paraId="03F5F21E">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提供调用患者统一视图查看完整就诊情况的功能；</w:t>
            </w:r>
          </w:p>
          <w:p w14:paraId="7A162413">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提供检索条件收藏功能，同时实现收藏条件自动查询功能；</w:t>
            </w:r>
          </w:p>
          <w:p w14:paraId="5F94410A">
            <w:pPr>
              <w:numPr>
                <w:ilvl w:val="0"/>
                <w:numId w:val="2"/>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提供患者收藏功能；</w:t>
            </w:r>
          </w:p>
          <w:p w14:paraId="5610EE72">
            <w:pPr>
              <w:spacing w:line="440" w:lineRule="exact"/>
              <w:ind w:firstLine="210" w:firstLineChars="1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病历分词检索</w:t>
            </w:r>
          </w:p>
          <w:p w14:paraId="450D3FE8">
            <w:pPr>
              <w:numPr>
                <w:ilvl w:val="0"/>
                <w:numId w:val="3"/>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实现用关键字进行病历内容搜索，例如症状、疾病、手术等；</w:t>
            </w:r>
          </w:p>
          <w:p w14:paraId="684AF5AD">
            <w:pPr>
              <w:numPr>
                <w:ilvl w:val="0"/>
                <w:numId w:val="3"/>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实现用空格分隔的多个关键字进行联合病历内容查询；</w:t>
            </w:r>
          </w:p>
          <w:p w14:paraId="5A6C5379">
            <w:pPr>
              <w:numPr>
                <w:ilvl w:val="0"/>
                <w:numId w:val="3"/>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实现对检索结果进行二次检索，例如出院时间、性别、年龄等；</w:t>
            </w:r>
          </w:p>
          <w:p w14:paraId="7CC2655E">
            <w:pPr>
              <w:numPr>
                <w:ilvl w:val="0"/>
                <w:numId w:val="3"/>
              </w:num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检索结果中关键字高亮显示；</w:t>
            </w:r>
          </w:p>
          <w:p w14:paraId="786018B9">
            <w:pPr>
              <w:numPr>
                <w:ilvl w:val="0"/>
                <w:numId w:val="3"/>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检索结果病历的详情查看；</w:t>
            </w:r>
          </w:p>
        </w:tc>
        <w:tc>
          <w:tcPr>
            <w:tcW w:w="379" w:type="pct"/>
            <w:tcBorders>
              <w:top w:val="single" w:color="auto" w:sz="4" w:space="0"/>
              <w:left w:val="single" w:color="auto" w:sz="4" w:space="0"/>
              <w:bottom w:val="single" w:color="auto" w:sz="4" w:space="0"/>
              <w:right w:val="single" w:color="auto" w:sz="4" w:space="0"/>
            </w:tcBorders>
            <w:vAlign w:val="center"/>
          </w:tcPr>
          <w:p w14:paraId="6F2F20C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3B6C77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5148199C">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4CFFB70">
            <w:pPr>
              <w:spacing w:line="440" w:lineRule="exact"/>
              <w:jc w:val="left"/>
              <w:rPr>
                <w:rFonts w:cs="宋体" w:asciiTheme="majorEastAsia" w:hAnsiTheme="majorEastAsia" w:eastAsiaTheme="majorEastAsia"/>
                <w:color w:val="auto"/>
                <w:szCs w:val="21"/>
              </w:rPr>
            </w:pPr>
            <w:bookmarkStart w:id="62" w:name="护理决策支持系统"/>
            <w:r>
              <w:rPr>
                <w:rFonts w:hint="eastAsia" w:cs="宋体" w:asciiTheme="majorEastAsia" w:hAnsiTheme="majorEastAsia" w:eastAsiaTheme="majorEastAsia"/>
                <w:color w:val="auto"/>
                <w:szCs w:val="21"/>
              </w:rPr>
              <w:t>护理决策支持系统</w:t>
            </w:r>
            <w:bookmarkEnd w:id="62"/>
          </w:p>
        </w:tc>
        <w:tc>
          <w:tcPr>
            <w:tcW w:w="3788" w:type="pct"/>
            <w:tcBorders>
              <w:top w:val="single" w:color="auto" w:sz="4" w:space="0"/>
              <w:left w:val="single" w:color="auto" w:sz="4" w:space="0"/>
              <w:bottom w:val="single" w:color="auto" w:sz="4" w:space="0"/>
              <w:right w:val="single" w:color="auto" w:sz="4" w:space="0"/>
            </w:tcBorders>
            <w:vAlign w:val="center"/>
          </w:tcPr>
          <w:p w14:paraId="1532C73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护理临床决策系统包括护理计划决策、护理评估决策、生命体征决策和护理任务。</w:t>
            </w:r>
          </w:p>
          <w:p w14:paraId="7ECC82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1、护理计划决策</w:t>
            </w:r>
          </w:p>
          <w:p w14:paraId="6E58D83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当住院患者出现的异常体征之后，临床护士需要对其进行一系列的护理措施，以及定期对护理措施的效果进行评价。对患者首次进行护理计划时，系统会自动加载患者主诉中的体征信息。后续使用时，系统会自动加载患者上一次的护理体征。在体征列表和护理问题列表中，使用的体征或护理问题的次数越多，该项的排序会越靠前。</w:t>
            </w:r>
          </w:p>
          <w:p w14:paraId="1B409B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根据患者存在的体征推荐相应的护理问题。护士通过选中的护理问题查看对于该问题可执行的护理措施。护士根据实际情况，选择已执行的护理措施，需要的话可进行细节上的修改。护士可查看该患者曾经做过哪些护理措施，哪些有评价，哪些未评价。在生成护理计划的同时可以选择生成一条提醒什么时候对该计划评价的任务提醒。护士在任务界面点击该条提醒时，可直接跳转到护理计划决策评价的界面，系统默认勾选该条计划并自动加载评价模板，忽视可做修改或者直接保存。完成护理评价后，任务界面的该条提醒会自动消失。</w:t>
            </w:r>
          </w:p>
          <w:p w14:paraId="1D58605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2、护理评估决策</w:t>
            </w:r>
          </w:p>
          <w:p w14:paraId="0DB6015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在对患者进行各类评估，发现患者有某类风险（压疮，跌倒，疼痛，康复……）时，需要对患者进行一系列相应的护理措施，避免病人发生不良的预后。保存的评估单上存在某类风险时（不同风险类型的分值和等级有差异），系统自动列出相应的护理措施并提示护士选择相应的护理措施，在护士确认这些护理措施后会自动生成护理计划或者护理记录，并且会自动生成再次评估和计划评价的任务提醒，以便提示护士下次评估的时间。护士点击再次评估任务时，系统自动跳转到相关的评估表单，在评估没有问题时该条任务自动消失。</w:t>
            </w:r>
          </w:p>
          <w:p w14:paraId="44CBD5E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3、生命体征决策</w:t>
            </w:r>
          </w:p>
          <w:p w14:paraId="33936B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在保存护理记录单、体温单或护理统计时，针对异常的生命体征（体温、呼吸、脉搏、血压、尿量等），系统会自动生成相应的护理措施并弹窗，在护士选择措施后可以生成护理计划或者护理记录，并生成护理计划评价的任务提醒。</w:t>
            </w:r>
          </w:p>
          <w:p w14:paraId="24A96B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4、护理任务</w:t>
            </w:r>
          </w:p>
          <w:p w14:paraId="1A1EA4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对护理计划评价、护理评估再次评估、护理体征危急值等自动生成护理任务，护士在任务界面可以查看自己责任组的患者当前需要做什么护理工作，护士长可查看科室的护理任务，以此跟踪管理护士的工作。护士通过点击护理任务内容可直接跳转到关联的护理文书或者护理计划决策界面。</w:t>
            </w:r>
          </w:p>
        </w:tc>
        <w:tc>
          <w:tcPr>
            <w:tcW w:w="379" w:type="pct"/>
            <w:tcBorders>
              <w:top w:val="single" w:color="auto" w:sz="4" w:space="0"/>
              <w:left w:val="single" w:color="auto" w:sz="4" w:space="0"/>
              <w:bottom w:val="single" w:color="auto" w:sz="4" w:space="0"/>
              <w:right w:val="single" w:color="auto" w:sz="4" w:space="0"/>
            </w:tcBorders>
            <w:vAlign w:val="center"/>
          </w:tcPr>
          <w:p w14:paraId="2B921578">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6EF9F9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EF04242">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DBA6C68">
            <w:pPr>
              <w:spacing w:line="440" w:lineRule="exact"/>
              <w:jc w:val="center"/>
              <w:rPr>
                <w:rFonts w:cs="宋体" w:asciiTheme="majorEastAsia" w:hAnsiTheme="majorEastAsia" w:eastAsiaTheme="majorEastAsia"/>
                <w:color w:val="auto"/>
                <w:szCs w:val="21"/>
              </w:rPr>
            </w:pPr>
            <w:bookmarkStart w:id="63" w:name="病案管理与统计系统"/>
            <w:r>
              <w:rPr>
                <w:rFonts w:hint="eastAsia" w:cs="宋体" w:asciiTheme="majorEastAsia" w:hAnsiTheme="majorEastAsia" w:eastAsiaTheme="majorEastAsia"/>
                <w:color w:val="auto"/>
                <w:szCs w:val="21"/>
              </w:rPr>
              <w:t>病案管理与统计系统</w:t>
            </w:r>
            <w:bookmarkEnd w:id="63"/>
          </w:p>
        </w:tc>
        <w:tc>
          <w:tcPr>
            <w:tcW w:w="3788" w:type="pct"/>
            <w:tcBorders>
              <w:top w:val="single" w:color="auto" w:sz="4" w:space="0"/>
              <w:left w:val="single" w:color="auto" w:sz="4" w:space="0"/>
              <w:bottom w:val="single" w:color="auto" w:sz="4" w:space="0"/>
              <w:right w:val="single" w:color="auto" w:sz="4" w:space="0"/>
            </w:tcBorders>
            <w:vAlign w:val="center"/>
          </w:tcPr>
          <w:p w14:paraId="07F0A3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病案管理与统计为电子病历系统提供病案管理的服务与支持，主要包含病历编码、归档、回退、冻结、借阅、监控、统计查询等功能。</w:t>
            </w:r>
          </w:p>
          <w:p w14:paraId="6CB0B9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1、提供病历检索功能。可通过出院时间、编码时间、归档时间以及患者姓名、住院号或者是病历状态、编码状态、编码人员、出院科室等条件进行查询病历。</w:t>
            </w:r>
          </w:p>
          <w:p w14:paraId="266618B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2、提供数据校对功能。可对基本信息、诊断、手术编码、费用等信息进行检查。</w:t>
            </w:r>
          </w:p>
          <w:p w14:paraId="77D29E5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3、提供病历回退功能。发现错误数据和信息，可以直接把病历回退给医师进行修改，并标记回退病历的修改痕迹。</w:t>
            </w:r>
          </w:p>
          <w:p w14:paraId="70BF42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4、提供病案预编码功能。即对尚未提交到病案室的病历，可以提前病案首页编码工作。</w:t>
            </w:r>
          </w:p>
          <w:p w14:paraId="3FDEBD0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5、提供病案首页编码功能，即对已经提交到病案室的病历进行编码工作。</w:t>
            </w:r>
          </w:p>
          <w:p w14:paraId="0C9E90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6、提供病案签收功能。实现扫描签收，实现病案室收取、病区送达等多种签收方式。</w:t>
            </w:r>
          </w:p>
          <w:p w14:paraId="76E43FF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7、提供电子与纸质病案归档管理功能。</w:t>
            </w:r>
          </w:p>
          <w:p w14:paraId="5CB1B6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8、提供纸质病案借阅管理功能，包括借阅申请、借阅审批、借阅确认、超期提醒、借阅延期、病案归还及借阅权限管理等功能。</w:t>
            </w:r>
          </w:p>
          <w:p w14:paraId="285D4D7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9、提供电子病案借阅管理功能，包括借阅申请、借阅确认、借阅延期、病案归还及借阅权限管理等功能。</w:t>
            </w:r>
          </w:p>
          <w:p w14:paraId="4FDEE3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10、提供病案复印管理功能，包括复印申请管理、证明材料管理、复印费用管理、病案复印/打印管理。</w:t>
            </w:r>
          </w:p>
          <w:p w14:paraId="1249AB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11、提供病案封存/解封功能。封存，即封存并备份当时的病历/病案的复印件，原件可以继续书写和使用，记录封存时间、原因、人员等信息。</w:t>
            </w:r>
          </w:p>
          <w:p w14:paraId="6E75CE1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12、提供病案统计报表与分析功能。</w:t>
            </w:r>
          </w:p>
          <w:p w14:paraId="3E038A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13、提供病案管理所需的报表生成、打印和导出功能。</w:t>
            </w:r>
          </w:p>
          <w:p w14:paraId="5C1B003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1）报表包括中西医疾病分类报表（按转归）、损伤中毒报表、分科住院费用统计报表、住院医生工作量统计报表、出院病人手术分类统计报表和自定义排位中西医疾病统计报表等；</w:t>
            </w:r>
          </w:p>
          <w:p w14:paraId="2EF1E9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2）实现西医疾病和中医病证、中医治疗率、中医病种等中医特色指标统计分析；</w:t>
            </w:r>
          </w:p>
          <w:p w14:paraId="5B79F4E8">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3）实现科室统计、医生统计、患者情况统计分析（如职业、来源地）等。</w:t>
            </w:r>
          </w:p>
          <w:p w14:paraId="19654730">
            <w:pPr>
              <w:spacing w:line="440" w:lineRule="exact"/>
              <w:ind w:firstLine="420" w:firstLineChars="20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14、</w:t>
            </w:r>
            <w:r>
              <w:rPr>
                <w:rFonts w:hint="eastAsia" w:cs="宋体" w:asciiTheme="majorEastAsia" w:hAnsiTheme="majorEastAsia" w:eastAsiaTheme="majorEastAsia"/>
                <w:color w:val="auto"/>
                <w:kern w:val="0"/>
                <w:szCs w:val="21"/>
              </w:rPr>
              <w:t>实现出院病历电子归档及纸质归档时间统计、汇总、导出功能，按要求计算1</w:t>
            </w:r>
            <w:r>
              <w:rPr>
                <w:rFonts w:cs="宋体" w:asciiTheme="majorEastAsia" w:hAnsiTheme="majorEastAsia" w:eastAsiaTheme="majorEastAsia"/>
                <w:color w:val="auto"/>
                <w:kern w:val="0"/>
                <w:szCs w:val="21"/>
              </w:rPr>
              <w:t>-7天出院患者</w:t>
            </w:r>
            <w:r>
              <w:rPr>
                <w:rFonts w:hint="eastAsia" w:cs="宋体" w:asciiTheme="majorEastAsia" w:hAnsiTheme="majorEastAsia" w:eastAsiaTheme="majorEastAsia"/>
                <w:color w:val="auto"/>
                <w:kern w:val="0"/>
                <w:szCs w:val="21"/>
              </w:rPr>
              <w:t>/非死亡患者的</w:t>
            </w:r>
            <w:r>
              <w:rPr>
                <w:rFonts w:cs="宋体" w:asciiTheme="majorEastAsia" w:hAnsiTheme="majorEastAsia" w:eastAsiaTheme="majorEastAsia"/>
                <w:color w:val="auto"/>
                <w:kern w:val="0"/>
                <w:szCs w:val="21"/>
              </w:rPr>
              <w:t>电子、纸质及最终归档时间，</w:t>
            </w:r>
            <w:r>
              <w:rPr>
                <w:rFonts w:hint="eastAsia" w:cs="宋体" w:asciiTheme="majorEastAsia" w:hAnsiTheme="majorEastAsia" w:eastAsiaTheme="majorEastAsia"/>
                <w:color w:val="auto"/>
                <w:kern w:val="0"/>
                <w:szCs w:val="21"/>
              </w:rPr>
              <w:t>最终归档时间表示为：电子病历归档时间和纸质病历归档时间中最迟者减去出院日期（不计出院当天及节假日，计调休后的工作日）。</w:t>
            </w:r>
          </w:p>
          <w:p w14:paraId="753E4F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r>
              <w:rPr>
                <w:rFonts w:cs="宋体" w:asciiTheme="majorEastAsia" w:hAnsiTheme="majorEastAsia" w:eastAsiaTheme="majorEastAsia"/>
                <w:color w:val="auto"/>
                <w:szCs w:val="21"/>
              </w:rPr>
              <w:t>5、</w:t>
            </w: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各科、各管床医师出院电子病历归档的提醒功能。</w:t>
            </w:r>
          </w:p>
          <w:p w14:paraId="0EB8DE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16、提供输血管理系统接入病案首页所需的输血信息，保证数据的真实性，准确性，完整性。</w:t>
            </w:r>
          </w:p>
          <w:p w14:paraId="7424E52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17、如在病案系统已录入住院病案首页后HIS端住院病历首页内容有修改，提供推送到病案管理系统的提醒。</w:t>
            </w:r>
          </w:p>
          <w:p w14:paraId="53164B4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18、病案管理系统的检索功能需简化及优化，使操作更智能，保证数据的真实性，准确性，完整性。</w:t>
            </w:r>
          </w:p>
          <w:p w14:paraId="27AC354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19、实现出院超过15天的病历自动同步导入病案系统</w:t>
            </w:r>
            <w:r>
              <w:rPr>
                <w:rFonts w:cs="宋体" w:asciiTheme="majorEastAsia" w:hAnsiTheme="majorEastAsia" w:eastAsiaTheme="majorEastAsia"/>
                <w:color w:val="auto"/>
                <w:szCs w:val="21"/>
              </w:rPr>
              <w:t>。</w:t>
            </w:r>
          </w:p>
        </w:tc>
        <w:tc>
          <w:tcPr>
            <w:tcW w:w="379" w:type="pct"/>
            <w:tcBorders>
              <w:top w:val="single" w:color="auto" w:sz="4" w:space="0"/>
              <w:left w:val="single" w:color="auto" w:sz="4" w:space="0"/>
              <w:bottom w:val="single" w:color="auto" w:sz="4" w:space="0"/>
              <w:right w:val="single" w:color="auto" w:sz="4" w:space="0"/>
            </w:tcBorders>
            <w:vAlign w:val="center"/>
          </w:tcPr>
          <w:p w14:paraId="06AA95D4">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32A4F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48B9D71B">
            <w:pPr>
              <w:spacing w:line="440" w:lineRule="exact"/>
              <w:ind w:firstLine="420" w:firstLineChars="200"/>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C292EB3">
            <w:pPr>
              <w:spacing w:line="440" w:lineRule="exact"/>
              <w:jc w:val="left"/>
              <w:rPr>
                <w:rFonts w:cs="宋体" w:asciiTheme="majorEastAsia" w:hAnsiTheme="majorEastAsia" w:eastAsiaTheme="majorEastAsia"/>
                <w:color w:val="auto"/>
                <w:szCs w:val="21"/>
              </w:rPr>
            </w:pPr>
            <w:bookmarkStart w:id="64" w:name="电子病历质量管理系统"/>
            <w:r>
              <w:rPr>
                <w:rFonts w:hint="eastAsia" w:cs="宋体" w:asciiTheme="majorEastAsia" w:hAnsiTheme="majorEastAsia" w:eastAsiaTheme="majorEastAsia"/>
                <w:color w:val="auto"/>
                <w:szCs w:val="21"/>
              </w:rPr>
              <w:t>电子病历质量管理系统</w:t>
            </w:r>
            <w:bookmarkEnd w:id="64"/>
          </w:p>
        </w:tc>
        <w:tc>
          <w:tcPr>
            <w:tcW w:w="3788" w:type="pct"/>
            <w:tcBorders>
              <w:top w:val="single" w:color="auto" w:sz="4" w:space="0"/>
              <w:left w:val="single" w:color="auto" w:sz="4" w:space="0"/>
              <w:bottom w:val="single" w:color="auto" w:sz="4" w:space="0"/>
              <w:right w:val="single" w:color="auto" w:sz="4" w:space="0"/>
            </w:tcBorders>
            <w:vAlign w:val="center"/>
          </w:tcPr>
          <w:p w14:paraId="1AACF9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病历结构化检索系统</w:t>
            </w:r>
          </w:p>
          <w:p w14:paraId="07FB3C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提供病历检索功能。可通过出院时间、编码时间、归档时间以及患者姓名、住院号或者是病历状态、编码状态、编码人员、出院科室等条件进行查询病历。</w:t>
            </w:r>
          </w:p>
          <w:p w14:paraId="761631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质控管理用于定义电子病历书写的质控目标、时间点、关键节点等质控内容，并实时监控电子病历书写的质控情况。由终末控制转到全面的环节控制、过程控制，这些控制包括时限质控、内容质控、三级质控、智能质控等。通过病历三级质控体系，强化病历质量管理，在事前、事中、事后环节持续病历质量控制，实现医疗质量的持续提升。</w:t>
            </w:r>
          </w:p>
          <w:p w14:paraId="00D662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具体功能包括：病历三级质控、病历质控规则设置、病历质量监控、病历质控分析等。</w:t>
            </w:r>
          </w:p>
          <w:p w14:paraId="1CB9A2A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65" w:name="病历三级质控"/>
            <w:r>
              <w:rPr>
                <w:rFonts w:hint="eastAsia" w:cs="宋体" w:asciiTheme="majorEastAsia" w:hAnsiTheme="majorEastAsia" w:eastAsiaTheme="majorEastAsia"/>
                <w:color w:val="auto"/>
                <w:szCs w:val="21"/>
              </w:rPr>
              <w:t>病历三级质控</w:t>
            </w:r>
            <w:bookmarkEnd w:id="65"/>
          </w:p>
          <w:p w14:paraId="652979F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病历三级质控是指医生质控、科室质控和职能部门质控。</w:t>
            </w:r>
          </w:p>
          <w:p w14:paraId="31D4EA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质控：（适用于在院病例的一级质控，质控率100%）医生自行对病历质量进行检查，结合病历质控规则，自动生成病历质量报告。包括时限质控（在病例时限超时前1小时通知到主管医生个人、包括上级医师签名）、内容质控（病例书写中性别、部位等逻辑性错误提醒、新增医嘱或检查提醒在病程中记录、异常检查检验结果未在病程中记录分析）、智能提醒（首页必填项目设定提醒）、拷贝关键词控制、回退申请等。传统的医生自控，只能凭借眼睛查找病历错误，费工费时，不易发现隐含性错误，质控效果差，因此把大部分质控压力转嫁到终末质控。电子病历在环节质控方面采取多种措施，将可能的质量问题杜绝在提交之前，从而大幅提高病历质量。</w:t>
            </w:r>
          </w:p>
          <w:p w14:paraId="4BCB683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质控：（对一级质控的问题病例进行复核、追踪、督查整改，质控率100%，一级质控问题整改后方可出院归档）可根据预设条件抽取病历，对病历质量进行检查，结合病历质控规则，自动生成科室病历质量报告；针对发现的病历质量问题，可实时反馈给责任医师；责任医师收到病历质控消息提醒后，进行整改；整改确认完成后，整改情况再返回科室质控组审核确认。</w:t>
            </w:r>
          </w:p>
          <w:p w14:paraId="11D7F39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质控科质控：质控科根据预设条件抽取出院病历，对病历质量进行检查，结合病历质控规则，对病历进行评分。特殊情况下，可退回病历，要求责任医师补充或整改。每月定期生成病历质量报告。</w:t>
            </w:r>
          </w:p>
          <w:p w14:paraId="1507488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病历质控的闭环管理：通过消息的方式实现对医生、科室质控组、质控科之间的贯通，通过消息的形式实现了病历质控闭环管理应用。</w:t>
            </w:r>
          </w:p>
          <w:p w14:paraId="753EB2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66" w:name="病历质控规则设置"/>
            <w:r>
              <w:rPr>
                <w:rFonts w:hint="eastAsia" w:cs="宋体" w:asciiTheme="majorEastAsia" w:hAnsiTheme="majorEastAsia" w:eastAsiaTheme="majorEastAsia"/>
                <w:color w:val="auto"/>
                <w:szCs w:val="21"/>
              </w:rPr>
              <w:t>病历质控规则设置</w:t>
            </w:r>
            <w:bookmarkEnd w:id="66"/>
          </w:p>
          <w:p w14:paraId="2F5BBC2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根据国家或省市《病历质量评价标准》，设置病历质控规则。</w:t>
            </w:r>
          </w:p>
          <w:p w14:paraId="2944AA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时限质控规则，根据住院病历书写的时限管理要求配置质控规则定义和扣分规则。</w:t>
            </w:r>
          </w:p>
          <w:p w14:paraId="0795EE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内容质控规则，基于结构化的信息节点进行逻辑组装配置，主要是内容完整性、内容一致性判断、数值大小判断等质控规则。</w:t>
            </w:r>
          </w:p>
          <w:p w14:paraId="74AF38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提供便捷的质控规则自定义工具，根据医院实际管理要求自定义缺陷项目。</w:t>
            </w:r>
          </w:p>
          <w:p w14:paraId="1E18B8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67" w:name="病历质量监控"/>
            <w:r>
              <w:rPr>
                <w:rFonts w:hint="eastAsia" w:cs="宋体" w:asciiTheme="majorEastAsia" w:hAnsiTheme="majorEastAsia" w:eastAsiaTheme="majorEastAsia"/>
                <w:color w:val="auto"/>
                <w:szCs w:val="21"/>
              </w:rPr>
              <w:t>病历质量监控</w:t>
            </w:r>
            <w:bookmarkEnd w:id="67"/>
          </w:p>
          <w:p w14:paraId="463D91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时限质控，根据病历时间质控设置规则，对住院病历记录完成情况进行自动检查，并对未按时完成的病历记录向责任医师和病历质量管理人员进行提示的功能。能自动生成各科超时情况报表。</w:t>
            </w:r>
          </w:p>
          <w:p w14:paraId="1C4F5D2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内容质控，根据质控规则设置，对不同病历的完整性、规范性提供自动检查和提醒。</w:t>
            </w:r>
          </w:p>
          <w:p w14:paraId="3958A15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提供根据专科病历、诊断等差别化的质量控制项目。</w:t>
            </w:r>
          </w:p>
          <w:p w14:paraId="15840B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能根据以上质控规则进行自动判断处理并产生相应控制报告内容。</w:t>
            </w:r>
          </w:p>
          <w:p w14:paraId="4558318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提供病历质控人员对病历质量进行评价与记录缺陷，并反馈给责任医师的功能。</w:t>
            </w:r>
          </w:p>
          <w:p w14:paraId="632526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对经病历质量管理人员审查的病历记录审查时间和审查者。</w:t>
            </w:r>
          </w:p>
          <w:p w14:paraId="4006B1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病历质控人员可对病历缺陷内容的纠正情况进行追踪检查。</w:t>
            </w:r>
          </w:p>
          <w:p w14:paraId="0E9DDF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68" w:name="病历质控分析"/>
            <w:r>
              <w:rPr>
                <w:rFonts w:hint="eastAsia" w:cs="宋体" w:asciiTheme="majorEastAsia" w:hAnsiTheme="majorEastAsia" w:eastAsiaTheme="majorEastAsia"/>
                <w:color w:val="auto"/>
                <w:szCs w:val="21"/>
              </w:rPr>
              <w:t>病历质控分析</w:t>
            </w:r>
            <w:bookmarkEnd w:id="68"/>
          </w:p>
          <w:p w14:paraId="6B887D6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根据病历质量检查和评价结果，可自定义生成不同维度的统计分析报告，指导职能部门有针对地进行病历质量检查和评价。</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 xml:space="preserve">    5、根据质控规则，对病历进行100%自动质控，</w:t>
            </w:r>
            <w:r>
              <w:rPr>
                <w:rFonts w:cs="宋体" w:asciiTheme="majorEastAsia" w:hAnsiTheme="majorEastAsia" w:eastAsiaTheme="majorEastAsia"/>
                <w:color w:val="auto"/>
                <w:szCs w:val="21"/>
              </w:rPr>
              <w:t>系统需内嵌病历的形式及内涵质控</w:t>
            </w:r>
            <w:r>
              <w:rPr>
                <w:rFonts w:hint="eastAsia" w:cs="宋体" w:asciiTheme="majorEastAsia" w:hAnsiTheme="majorEastAsia" w:eastAsiaTheme="majorEastAsia"/>
                <w:color w:val="auto"/>
                <w:szCs w:val="21"/>
              </w:rPr>
              <w:t>。</w:t>
            </w:r>
          </w:p>
          <w:p w14:paraId="49A0434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6、电子病历质量管理功能应包括门急诊病历、留观病历、住院病历及其它电子病历的质量管理功能。</w:t>
            </w:r>
          </w:p>
        </w:tc>
        <w:tc>
          <w:tcPr>
            <w:tcW w:w="379" w:type="pct"/>
            <w:tcBorders>
              <w:top w:val="single" w:color="auto" w:sz="4" w:space="0"/>
              <w:left w:val="single" w:color="auto" w:sz="4" w:space="0"/>
              <w:bottom w:val="single" w:color="auto" w:sz="4" w:space="0"/>
              <w:right w:val="single" w:color="auto" w:sz="4" w:space="0"/>
            </w:tcBorders>
            <w:vAlign w:val="center"/>
          </w:tcPr>
          <w:p w14:paraId="77E63CFE">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6F1AC2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bottom w:val="single" w:color="auto" w:sz="4" w:space="0"/>
              <w:right w:val="single" w:color="auto" w:sz="4" w:space="0"/>
            </w:tcBorders>
            <w:vAlign w:val="center"/>
          </w:tcPr>
          <w:p w14:paraId="3B6A0D78">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1B348069">
            <w:pPr>
              <w:spacing w:line="440" w:lineRule="exact"/>
              <w:jc w:val="left"/>
              <w:rPr>
                <w:rFonts w:cs="宋体" w:asciiTheme="majorEastAsia" w:hAnsiTheme="majorEastAsia" w:eastAsiaTheme="majorEastAsia"/>
                <w:color w:val="auto"/>
                <w:szCs w:val="21"/>
              </w:rPr>
            </w:pPr>
            <w:bookmarkStart w:id="69" w:name="院内会诊"/>
            <w:r>
              <w:rPr>
                <w:rFonts w:hint="eastAsia" w:cs="宋体" w:asciiTheme="majorEastAsia" w:hAnsiTheme="majorEastAsia" w:eastAsiaTheme="majorEastAsia"/>
                <w:color w:val="auto"/>
                <w:szCs w:val="21"/>
              </w:rPr>
              <w:t>院内会诊</w:t>
            </w:r>
            <w:bookmarkEnd w:id="69"/>
          </w:p>
        </w:tc>
        <w:tc>
          <w:tcPr>
            <w:tcW w:w="3788" w:type="pct"/>
            <w:tcBorders>
              <w:top w:val="single" w:color="auto" w:sz="4" w:space="0"/>
              <w:left w:val="single" w:color="auto" w:sz="4" w:space="0"/>
              <w:bottom w:val="single" w:color="auto" w:sz="4" w:space="0"/>
              <w:right w:val="single" w:color="auto" w:sz="4" w:space="0"/>
            </w:tcBorders>
            <w:vAlign w:val="center"/>
          </w:tcPr>
          <w:p w14:paraId="2D2C7E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院内会诊管理主要完成会诊申请、会诊审批、会诊应答、会诊意见书写以及会诊扣费功能，并实现多学科会诊管理。主要功能包括：</w:t>
            </w:r>
          </w:p>
          <w:p w14:paraId="30926A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1、实现主管医生书写会诊申请单要求医生或科室进行会诊，并自动生成会诊嘱托性医嘱。</w:t>
            </w:r>
          </w:p>
          <w:p w14:paraId="38287B6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2、实现科主任或者医务部对申请的会诊进行查看审批。</w:t>
            </w:r>
          </w:p>
          <w:p w14:paraId="3AB3F75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3、实现接诊医生收到会诊申请对会诊进行应答。</w:t>
            </w:r>
          </w:p>
          <w:p w14:paraId="7E241E8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4、会诊完成时在会诊申请单后面增加会诊意见，实现多人填写。</w:t>
            </w:r>
          </w:p>
          <w:p w14:paraId="4139A3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5、会诊结束时，实现接诊医生对此次会诊进行扣费。</w:t>
            </w:r>
          </w:p>
          <w:p w14:paraId="1420A85F">
            <w:pPr>
              <w:spacing w:line="440" w:lineRule="exact"/>
              <w:ind w:firstLine="420" w:firstLineChars="200"/>
              <w:rPr>
                <w:rFonts w:cs="宋体" w:asciiTheme="majorEastAsia" w:hAnsiTheme="majorEastAsia" w:eastAsiaTheme="majorEastAsia"/>
                <w:color w:val="auto"/>
                <w:szCs w:val="21"/>
              </w:rPr>
            </w:pPr>
            <w:r>
              <w:rPr>
                <w:rFonts w:asciiTheme="majorEastAsia" w:hAnsiTheme="majorEastAsia" w:eastAsiaTheme="majorEastAsia"/>
                <w:color w:val="auto"/>
                <w:szCs w:val="21"/>
              </w:rPr>
              <w:t>6</w:t>
            </w:r>
            <w:r>
              <w:rPr>
                <w:rFonts w:hint="eastAsia" w:asciiTheme="majorEastAsia" w:hAnsiTheme="majorEastAsia" w:eastAsiaTheme="majorEastAsia"/>
                <w:color w:val="auto"/>
                <w:szCs w:val="21"/>
              </w:rPr>
              <w:t>、能自动统计生成各科超时会诊情况报表</w:t>
            </w:r>
            <w:r>
              <w:rPr>
                <w:rFonts w:hint="eastAsia" w:cs="宋体" w:asciiTheme="majorEastAsia" w:hAnsiTheme="majorEastAsia" w:eastAsiaTheme="majorEastAsia"/>
                <w:color w:val="auto"/>
                <w:szCs w:val="21"/>
              </w:rPr>
              <w:t>，</w:t>
            </w:r>
            <w:r>
              <w:rPr>
                <w:rFonts w:hint="eastAsia" w:asciiTheme="majorEastAsia" w:hAnsiTheme="majorEastAsia" w:eastAsiaTheme="majorEastAsia"/>
                <w:color w:val="auto"/>
                <w:szCs w:val="21"/>
              </w:rPr>
              <w:t>对超时未会诊进行提醒</w:t>
            </w:r>
            <w:r>
              <w:rPr>
                <w:rFonts w:hint="eastAsia" w:cs="宋体" w:asciiTheme="majorEastAsia" w:hAnsiTheme="majorEastAsia" w:eastAsiaTheme="majorEastAsia"/>
                <w:color w:val="auto"/>
                <w:szCs w:val="21"/>
              </w:rPr>
              <w:t>。</w:t>
            </w:r>
          </w:p>
          <w:p w14:paraId="62EA1ED4">
            <w:pPr>
              <w:spacing w:line="440" w:lineRule="exact"/>
              <w:ind w:firstLine="420" w:firstLineChars="200"/>
              <w:rPr>
                <w:rFonts w:asciiTheme="majorEastAsia" w:hAnsiTheme="majorEastAsia" w:eastAsiaTheme="majorEastAsia"/>
                <w:color w:val="auto"/>
                <w:szCs w:val="21"/>
              </w:rPr>
            </w:pPr>
            <w:r>
              <w:rPr>
                <w:rFonts w:hint="eastAsia" w:asciiTheme="majorEastAsia" w:hAnsiTheme="majorEastAsia" w:eastAsiaTheme="majorEastAsia"/>
                <w:color w:val="auto"/>
                <w:szCs w:val="21"/>
              </w:rPr>
              <w:t>7、能在患者会诊申请界面使用醒目标识标记超时尚未完成的会诊申请。</w:t>
            </w:r>
          </w:p>
          <w:p w14:paraId="3A3CB38F">
            <w:pPr>
              <w:spacing w:line="440" w:lineRule="exact"/>
              <w:ind w:firstLine="420" w:firstLineChars="200"/>
              <w:rPr>
                <w:rFonts w:cs="宋体" w:asciiTheme="majorEastAsia" w:hAnsiTheme="majorEastAsia" w:eastAsiaTheme="majorEastAsia"/>
                <w:color w:val="auto"/>
                <w:szCs w:val="21"/>
              </w:rPr>
            </w:pPr>
            <w:r>
              <w:rPr>
                <w:rFonts w:hint="eastAsia" w:asciiTheme="majorEastAsia" w:hAnsiTheme="majorEastAsia" w:eastAsiaTheme="majorEastAsia"/>
                <w:color w:val="auto"/>
                <w:szCs w:val="21"/>
              </w:rPr>
              <w:t>8、能在接诊医师的会诊总表显示他科会诊的具体申请时间（具体到分钟），并使用醒目标识标记已超时或即将超时的申请。</w:t>
            </w:r>
          </w:p>
          <w:p w14:paraId="46205E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9、</w:t>
            </w:r>
            <w:r>
              <w:rPr>
                <w:rFonts w:hint="eastAsia" w:cs="宋体" w:asciiTheme="majorEastAsia" w:hAnsiTheme="majorEastAsia" w:eastAsiaTheme="majorEastAsia"/>
                <w:color w:val="auto"/>
                <w:szCs w:val="21"/>
              </w:rPr>
              <w:t>申请科室提交会诊申请后，系统可供申请者选择通知方式（系统、OA、钉钉或电话形式）通知到受邀科室或者受邀医生本人，并保留记录。</w:t>
            </w:r>
          </w:p>
          <w:p w14:paraId="4C9CAD8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10、非急会诊超时前一个小时再次提醒受邀科室负责人或受邀医生本人。</w:t>
            </w:r>
          </w:p>
        </w:tc>
        <w:tc>
          <w:tcPr>
            <w:tcW w:w="379" w:type="pct"/>
            <w:tcBorders>
              <w:top w:val="single" w:color="auto" w:sz="4" w:space="0"/>
              <w:left w:val="single" w:color="auto" w:sz="4" w:space="0"/>
              <w:bottom w:val="single" w:color="auto" w:sz="4" w:space="0"/>
              <w:right w:val="single" w:color="auto" w:sz="4" w:space="0"/>
            </w:tcBorders>
            <w:vAlign w:val="center"/>
          </w:tcPr>
          <w:p w14:paraId="2DDC2A4B">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3028D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restart"/>
            <w:tcBorders>
              <w:top w:val="single" w:color="auto" w:sz="4" w:space="0"/>
              <w:left w:val="single" w:color="auto" w:sz="4" w:space="0"/>
              <w:right w:val="single" w:color="auto" w:sz="4" w:space="0"/>
            </w:tcBorders>
            <w:vAlign w:val="center"/>
          </w:tcPr>
          <w:p w14:paraId="37D09048">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★集成平台</w:t>
            </w:r>
          </w:p>
        </w:tc>
        <w:tc>
          <w:tcPr>
            <w:tcW w:w="380" w:type="pct"/>
            <w:tcBorders>
              <w:top w:val="single" w:color="auto" w:sz="4" w:space="0"/>
              <w:left w:val="single" w:color="auto" w:sz="4" w:space="0"/>
              <w:bottom w:val="single" w:color="auto" w:sz="4" w:space="0"/>
              <w:right w:val="single" w:color="auto" w:sz="4" w:space="0"/>
            </w:tcBorders>
            <w:vAlign w:val="center"/>
          </w:tcPr>
          <w:p w14:paraId="76758041">
            <w:pPr>
              <w:spacing w:line="440" w:lineRule="exact"/>
              <w:jc w:val="left"/>
              <w:rPr>
                <w:rFonts w:cs="宋体" w:asciiTheme="majorEastAsia" w:hAnsiTheme="majorEastAsia" w:eastAsiaTheme="majorEastAsia"/>
                <w:color w:val="auto"/>
                <w:szCs w:val="21"/>
              </w:rPr>
            </w:pPr>
            <w:bookmarkStart w:id="70" w:name="企业服务总线平台"/>
            <w:r>
              <w:rPr>
                <w:rFonts w:hint="eastAsia" w:cs="宋体" w:asciiTheme="majorEastAsia" w:hAnsiTheme="majorEastAsia" w:eastAsiaTheme="majorEastAsia"/>
                <w:color w:val="auto"/>
                <w:szCs w:val="21"/>
              </w:rPr>
              <w:t>企业服务总线平台</w:t>
            </w:r>
            <w:bookmarkEnd w:id="70"/>
          </w:p>
        </w:tc>
        <w:tc>
          <w:tcPr>
            <w:tcW w:w="3788" w:type="pct"/>
            <w:tcBorders>
              <w:top w:val="single" w:color="auto" w:sz="4" w:space="0"/>
              <w:left w:val="single" w:color="auto" w:sz="4" w:space="0"/>
              <w:bottom w:val="single" w:color="auto" w:sz="4" w:space="0"/>
              <w:right w:val="single" w:color="auto" w:sz="4" w:space="0"/>
            </w:tcBorders>
            <w:vAlign w:val="center"/>
          </w:tcPr>
          <w:p w14:paraId="5132E7F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71" w:name="基础服务平台"/>
            <w:r>
              <w:rPr>
                <w:rFonts w:hint="eastAsia" w:cs="宋体" w:asciiTheme="majorEastAsia" w:hAnsiTheme="majorEastAsia" w:eastAsiaTheme="majorEastAsia"/>
                <w:color w:val="auto"/>
                <w:szCs w:val="21"/>
              </w:rPr>
              <w:t>基础服务平台</w:t>
            </w:r>
            <w:bookmarkEnd w:id="71"/>
          </w:p>
          <w:p w14:paraId="42B1574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提供数据共享交换平台内所有服务的权限管理、服务订阅与服务、接口组件管理，加入智能化的服务监测以及黑名单，引入开放的理念，打造数据共享交换平台内部的服务共享平台。</w:t>
            </w:r>
          </w:p>
          <w:p w14:paraId="477154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1）接口组件管理</w:t>
            </w:r>
          </w:p>
          <w:p w14:paraId="3B4D02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对接入数据共享交换平台的系统允许访问的服务进行授权管理，只有已授权的系统才能访问指定的服务。</w:t>
            </w:r>
          </w:p>
          <w:p w14:paraId="2685B45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调试界面实现单元测试及集成测试。</w:t>
            </w:r>
          </w:p>
          <w:p w14:paraId="251CE7D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2）黑名单管理</w:t>
            </w:r>
          </w:p>
          <w:p w14:paraId="5BA0AA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实现将服务交互过程中有异常行为的系统的相应IP加入黑名单。通过对各个服务交互行为进行实时监测，针对异常行为进行判断，并将其相应的系统IP加入黑名单中。</w:t>
            </w:r>
          </w:p>
          <w:p w14:paraId="0EB0701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3）服务订阅及发布</w:t>
            </w:r>
          </w:p>
          <w:p w14:paraId="365B140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实现业务系统向数据共享交换平台订阅需要的服务信息，可以基于服务进行订阅规则配置，基于订阅配置，将业务过程中的数据实时推送到相应订阅的系统。</w:t>
            </w:r>
          </w:p>
          <w:p w14:paraId="21A4D3A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4）消息重发机制</w:t>
            </w:r>
          </w:p>
          <w:p w14:paraId="51CCBF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对于交互过程中的异常、失败消息能够进行统一记录，提供统一的查询界面及自动或者手动重发功能。</w:t>
            </w:r>
          </w:p>
          <w:p w14:paraId="507680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5）流量控制管理</w:t>
            </w:r>
          </w:p>
          <w:p w14:paraId="2EF61F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监控每个系统在进行服务调用时的流量，当系统调用某个服务超过正常业务需求及阈值设置的时候，对该系统调用该接口的权限进行控制。</w:t>
            </w:r>
          </w:p>
          <w:p w14:paraId="4DDBA8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72" w:name="文档注册、查询服务"/>
            <w:r>
              <w:rPr>
                <w:rFonts w:hint="eastAsia" w:cs="宋体" w:asciiTheme="majorEastAsia" w:hAnsiTheme="majorEastAsia" w:eastAsiaTheme="majorEastAsia"/>
                <w:color w:val="auto"/>
                <w:szCs w:val="21"/>
              </w:rPr>
              <w:t>文档注册、查询服务</w:t>
            </w:r>
            <w:bookmarkEnd w:id="72"/>
          </w:p>
          <w:p w14:paraId="24E6A5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文档管理服务提供的服务包括电子病历文档注册服务、电子病历文档检索服务、电子病历文档调阅服务。</w:t>
            </w:r>
          </w:p>
          <w:p w14:paraId="11554D2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1）电子病历文档注册服务</w:t>
            </w:r>
          </w:p>
          <w:p w14:paraId="2DC44A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提供电子病历文档注册服务组件，实现电子病历文档源向集成平台注册病历文档，实现通过文档服务组件对电子病历的数据有效性进行校验，并对文档进行存储。</w:t>
            </w:r>
          </w:p>
          <w:p w14:paraId="213DACF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2）电子病历文档检索服务</w:t>
            </w:r>
          </w:p>
          <w:p w14:paraId="3492DC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提供电子病历文档检索服务组件，实现病历文档的检索功能。用于接收电子病历文档使用者的检索请求，并执行相应检索操作，将查询结果返回给电子病历文档使用者。</w:t>
            </w:r>
          </w:p>
          <w:p w14:paraId="04238A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3）电子病历文档调阅服务</w:t>
            </w:r>
          </w:p>
          <w:p w14:paraId="5A32E0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电子病历文档调阅服务组件，实现病历文档的调阅功能。调阅流程为：电子病历文档使用者通过电子病历文档检索服务组件，获取电子病历的索引信息，再提交索引信息给电子病历调阅服务组件，调阅服务组件将索引对应的文档内容返回给电子病历文档使用者。</w:t>
            </w:r>
          </w:p>
          <w:p w14:paraId="130112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73" w:name="个人信息注册、查询服务"/>
            <w:r>
              <w:rPr>
                <w:rFonts w:hint="eastAsia" w:cs="宋体" w:asciiTheme="majorEastAsia" w:hAnsiTheme="majorEastAsia" w:eastAsiaTheme="majorEastAsia"/>
                <w:color w:val="auto"/>
                <w:szCs w:val="21"/>
              </w:rPr>
              <w:t>个人信息注册、查询服务</w:t>
            </w:r>
            <w:bookmarkEnd w:id="73"/>
          </w:p>
          <w:p w14:paraId="319325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个人身份注册的目的用于对前来医院就诊患者的基本信息进行管理，通过对患者基本信息的统一管理，可以实现对患者信息最完整的保存，可以解决患者信息在各个系统中的不一致问题，以避免重复录入患者基本信息的情况。主要功能包括新增个人注册功能、个人信息更新功能、个人身份失效功能、个人身份合并功能、个人信息查询功能、日志审计功能。</w:t>
            </w:r>
          </w:p>
          <w:p w14:paraId="281ABB1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1）具备新增个人注册功能</w:t>
            </w:r>
          </w:p>
          <w:p w14:paraId="7369D00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进行新病人信息注册时，向集成平台发送新增注册病人信息。集成平台将信息进行原始保存，然后根据传入的病人信息进行索引匹配。再根据匹配规则结果，按照新增主索引或更新主索引两种情况分别处理。</w:t>
            </w:r>
          </w:p>
          <w:p w14:paraId="4CC974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2）具备个人信息更新功能</w:t>
            </w:r>
          </w:p>
          <w:p w14:paraId="0BB0BF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病人信息有变动时需要向集成平台发送更新消息，集成平台更新病人的交叉索引信息后，同时根据权重设置考虑是否需要对主索引进行更新。向集成平台提供患者信息注册的业务系统可能拥有不同的信息影响度，因此其提供的信息对主索引的影响有所不同。更新操作需要对新信息对主索引信息中每个字段进行评价，确定该字段的最佳值。同时，如果主索引信息有变更时，要向其他业务系统推送相应的变更信息。</w:t>
            </w:r>
          </w:p>
          <w:p w14:paraId="258625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3）具备个人身份失效功能</w:t>
            </w:r>
          </w:p>
          <w:p w14:paraId="1D01CD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集成平台新增一个病人的索引信息后，业务系统因为某种原因确定该病人信息必须作废，同时向集成平台发送作废请求，集成平台接受请求后作废该病人的交叉索引信息，至于主索引信息根据其他业务系统的情况再做决定是否一起作废。同时，如果主索引信息被作废时，要向其它业务系统推送相应的作废消息。</w:t>
            </w:r>
          </w:p>
          <w:p w14:paraId="711E13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4）具备个人身份合并功能 </w:t>
            </w:r>
          </w:p>
          <w:p w14:paraId="2FF561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提供个人身份合并功能，当业务系统向集成平台注册病人信息时，集成平台按照预置的合并规则，对病人信息进行匹配，满足条件则进行合并。</w:t>
            </w:r>
          </w:p>
          <w:p w14:paraId="1CBAEB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5）具备个人信息查询功能</w:t>
            </w:r>
          </w:p>
          <w:p w14:paraId="5ABDA6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个人信息的多种方式查询，返回符合条件的病人个人信息。主要是以下几种情况：根据卡号、卡类型进行病人信息查询，集成平台返回卡号关联的病人主索引信息，主要是提供给业务系统的病人注册功能模块使用。根据业务系统代码和业务系统本地标识进行精确查询，集成平台返回指定的病人信息，可以根据附加条件决定返回主索引信息或者交叉索引信息。根据姓名、证件号、证件类型、性别等部分信息进行模糊查询，集成平台返回符合条件的病人信息列表，可以根据附加条件决定返回主索引信息或者交叉索引信息。</w:t>
            </w:r>
          </w:p>
          <w:p w14:paraId="3049E18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6）日志审计功能</w:t>
            </w:r>
          </w:p>
          <w:p w14:paraId="5B7B29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人主索引信息表的所有更改都进行日志记录，同时需要向感兴趣的业务系统发送更改消息，需要对消息的发送进行记录。日志分类浏览，需分类的日志类型：索引注册、索引更新、手工拆分、手工合并。对日志显示设定限定条件，包括：日志时间、患者ID。日志导出，导出为XML 文件，并可以在日志浏览器中打开显示内容。</w:t>
            </w:r>
          </w:p>
          <w:p w14:paraId="0A7A32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74" w:name="医疗卫生人员注册、查询服务"/>
            <w:r>
              <w:rPr>
                <w:rFonts w:hint="eastAsia" w:cs="宋体" w:asciiTheme="majorEastAsia" w:hAnsiTheme="majorEastAsia" w:eastAsiaTheme="majorEastAsia"/>
                <w:color w:val="auto"/>
                <w:szCs w:val="21"/>
              </w:rPr>
              <w:t>医疗卫生人员注册、查询服务</w:t>
            </w:r>
            <w:bookmarkEnd w:id="74"/>
          </w:p>
          <w:p w14:paraId="7DE7739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1）新增医护人员注册服务</w:t>
            </w:r>
          </w:p>
          <w:p w14:paraId="7E01F8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新增医护人员注册服务，用于在业务系统中进行新员工登记注册时，将新员工的信息注册到集成平台中。注册前，会先按预置规则进行匹配，如果有匹配成功的记录，则更新原来的记录；如果没有匹配记录，则作为新的员工进行添加。</w:t>
            </w:r>
          </w:p>
          <w:p w14:paraId="30EA09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2）医护人员信息更新服务</w:t>
            </w:r>
          </w:p>
          <w:p w14:paraId="484B8BD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业务系统进行员工的信息修改时，通过医护人员信息更新服务及时通知集成平台，保证集成平台员工信息的准确性和一致性。</w:t>
            </w:r>
          </w:p>
          <w:p w14:paraId="2EDEA7E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3）医护人员信息查询服务</w:t>
            </w:r>
          </w:p>
          <w:p w14:paraId="5843DE0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提供医护人员信息查询服务，用于业务系统根据医护人员的全部信息或者部分信息从集成平台查找符合要求的医护人员信息。</w:t>
            </w:r>
          </w:p>
          <w:p w14:paraId="3D8BDAC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75" w:name="医疗卫生机构注册、查询服务"/>
            <w:r>
              <w:rPr>
                <w:rFonts w:hint="eastAsia" w:cs="宋体" w:asciiTheme="majorEastAsia" w:hAnsiTheme="majorEastAsia" w:eastAsiaTheme="majorEastAsia"/>
                <w:color w:val="auto"/>
                <w:szCs w:val="21"/>
              </w:rPr>
              <w:t>医疗卫生机构注册、查询服务</w:t>
            </w:r>
            <w:bookmarkEnd w:id="75"/>
          </w:p>
          <w:p w14:paraId="165305C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卫生机构注册用于对医疗卫生机构的基本信息进行管理，通过对医疗卫生科室基本信息的统一管理，可以向基于集成平台建设的各应用系统、患者提供完整、统一的医疗卫生机构信息。主要包括新增医疗卫生科室注册服务、医疗卫生科室信息更新服务、医疗卫生科室信息查询服务。</w:t>
            </w:r>
          </w:p>
          <w:p w14:paraId="337F194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1）新增医疗卫生机构（科室）注册服务</w:t>
            </w:r>
          </w:p>
          <w:p w14:paraId="5E14D54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业务系统中新注册科室时用到，主要是将新科室的信息传入到集成平台中。注册前，会先进行模糊匹配，如果有匹配成功的记录，则更新原来的记录；如果没有匹配记录，则作为新的科室进行添加</w:t>
            </w:r>
          </w:p>
          <w:p w14:paraId="389BB8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2）医疗卫生机构（科室）信息更新服务</w:t>
            </w:r>
          </w:p>
          <w:p w14:paraId="1F3666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业务系统中，如果科室的信息有修改时应该及时通知集成平台，保证集成平台科室信息的准确性和一致性</w:t>
            </w:r>
          </w:p>
          <w:p w14:paraId="443B3B6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3）医疗卫生机构（科室）信息查询服务</w:t>
            </w:r>
          </w:p>
          <w:p w14:paraId="3449F8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业务系统根据科室的全部信息或者部分信息从集成平台查找符合要求的科室信息。</w:t>
            </w:r>
          </w:p>
          <w:p w14:paraId="56CC7F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76" w:name="医嘱信息交互服务"/>
            <w:r>
              <w:rPr>
                <w:rFonts w:hint="eastAsia" w:cs="宋体" w:asciiTheme="majorEastAsia" w:hAnsiTheme="majorEastAsia" w:eastAsiaTheme="majorEastAsia"/>
                <w:color w:val="auto"/>
                <w:szCs w:val="21"/>
              </w:rPr>
              <w:t>医嘱信息交互服务</w:t>
            </w:r>
            <w:bookmarkEnd w:id="76"/>
          </w:p>
          <w:p w14:paraId="378BDF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交互服务用于对患者的整个临床诊疗过程中的医嘱信息的管理。医院集成平台在医嘱处理过程中（如医嘱开立、医嘱执行、医嘱停止、医嘱取消）为平台上的各应用系统提供医嘱信息共享服务。基本功能包括：医嘱接收功能、医嘱查询功能、医嘱更新功能。</w:t>
            </w:r>
          </w:p>
          <w:p w14:paraId="65AD62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1）医嘱接收服务</w:t>
            </w:r>
          </w:p>
          <w:p w14:paraId="555111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提供医嘱接收服务组件，实现医嘱信息的接收功能。用于接收医嘱信息源提交的医嘱信息，并实现通过医嘱接收服务组件对医嘱信息的数据有效性进行校验，并对医嘱信息进行存储。</w:t>
            </w:r>
          </w:p>
          <w:p w14:paraId="299397F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2）医嘱查询服务</w:t>
            </w:r>
          </w:p>
          <w:p w14:paraId="199376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提供医嘱查询服务组件，实现医嘱信息的查询功能。用于接收医嘱信息使用者提交的医嘱信息查询请求，并将查询结果返回给医嘱信息使用者。</w:t>
            </w:r>
          </w:p>
          <w:p w14:paraId="7C4C0A4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3）医嘱更新服务</w:t>
            </w:r>
          </w:p>
          <w:p w14:paraId="18B9D782">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医嘱信息更新时，通过医嘱更新服务及时通知医嘱信息使用者，确保医嘱信息的准确性和一致性。提供医嘱信息检索统计功能：能检索出某出院时间段内下过某特定医嘱的患者信息。</w:t>
            </w:r>
          </w:p>
          <w:p w14:paraId="7AA60E7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77" w:name="申请单信息交互服务"/>
            <w:r>
              <w:rPr>
                <w:rFonts w:hint="eastAsia" w:cs="宋体" w:asciiTheme="majorEastAsia" w:hAnsiTheme="majorEastAsia" w:eastAsiaTheme="majorEastAsia"/>
                <w:color w:val="auto"/>
                <w:szCs w:val="21"/>
              </w:rPr>
              <w:t>申请单信息交互服务</w:t>
            </w:r>
            <w:bookmarkEnd w:id="77"/>
          </w:p>
          <w:p w14:paraId="77868C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申请单交互服务用于集成平台为接入平台的各系统提供申请单（检查申请单、检验申请单等）信息共享服务。基本功能包括：申请单接收、申请单查询、申请单更新功能。</w:t>
            </w:r>
          </w:p>
          <w:p w14:paraId="37BDC0B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1）申请单接收服务</w:t>
            </w:r>
          </w:p>
          <w:p w14:paraId="494888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提供申请单接收服务组件，实现申请单信息的接收功能。用于接收申请单信息源提交的申请单信息，并实现通过申请单接收服务组件对申请单信息的数据有效性进行校验，并对申请单信息进行存储。</w:t>
            </w:r>
          </w:p>
          <w:p w14:paraId="25310AE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2）申请单查询服务</w:t>
            </w:r>
          </w:p>
          <w:p w14:paraId="2A760F9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提供申请单查询服务组件，实现申请单信息的查询功能。用于接收申请单信息使用者提交的申请单信息查询请求，并将查询结果返回给申请单信息使用者。</w:t>
            </w:r>
          </w:p>
          <w:p w14:paraId="4CB9C7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3）申请单更新服务</w:t>
            </w:r>
          </w:p>
          <w:p w14:paraId="4F2DCC1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申请单信息更新时，通过申请单更新服务及时通知申请单信息使用者，确保申请单信息的准确性和一致性。</w:t>
            </w:r>
          </w:p>
          <w:p w14:paraId="422BA61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bookmarkStart w:id="78" w:name="就诊信息交互服务"/>
            <w:r>
              <w:rPr>
                <w:rFonts w:hint="eastAsia" w:cs="宋体" w:asciiTheme="majorEastAsia" w:hAnsiTheme="majorEastAsia" w:eastAsiaTheme="majorEastAsia"/>
                <w:color w:val="auto"/>
                <w:szCs w:val="21"/>
              </w:rPr>
              <w:t>就诊信息交互服务</w:t>
            </w:r>
            <w:bookmarkEnd w:id="78"/>
          </w:p>
          <w:p w14:paraId="4F3536D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就诊信息交互服务用于对患者的整个就诊过程中的各种就诊信息的管理。医院集成平台可以实现患者在就诊过程中入院、转科、出院等各环节信息的保存，变更和信息共享。包括就诊卡信息、号源排班信息、门诊挂号信息、住院就诊信息、住院转科信息、出院登记信息等。</w:t>
            </w:r>
          </w:p>
          <w:p w14:paraId="2E14CD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门诊就诊查询服务：提供查询患者在门诊就诊过程的信息查询服务，如患者挂号记录。</w:t>
            </w:r>
          </w:p>
          <w:p w14:paraId="1FAE1D8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住院就诊查询服务：提供查询患者在住院就诊过程的信息查询服务，如患者的入出转事件记录。</w:t>
            </w:r>
          </w:p>
          <w:p w14:paraId="2202201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出院信息查询服务：提供查询患者出院信息查询服务。</w:t>
            </w:r>
          </w:p>
          <w:p w14:paraId="07B0DA53">
            <w:pPr>
              <w:numPr>
                <w:ilvl w:val="0"/>
                <w:numId w:val="4"/>
              </w:numPr>
              <w:spacing w:line="440" w:lineRule="exact"/>
              <w:ind w:firstLine="420" w:firstLineChars="200"/>
              <w:rPr>
                <w:rFonts w:cs="宋体" w:asciiTheme="majorEastAsia" w:hAnsiTheme="majorEastAsia" w:eastAsiaTheme="majorEastAsia"/>
                <w:color w:val="auto"/>
                <w:szCs w:val="21"/>
              </w:rPr>
            </w:pPr>
            <w:bookmarkStart w:id="79" w:name="业务交换组件"/>
            <w:r>
              <w:rPr>
                <w:rFonts w:hint="eastAsia" w:cs="宋体" w:asciiTheme="majorEastAsia" w:hAnsiTheme="majorEastAsia" w:eastAsiaTheme="majorEastAsia"/>
                <w:color w:val="auto"/>
                <w:szCs w:val="21"/>
              </w:rPr>
              <w:t>业务交换组件</w:t>
            </w:r>
            <w:bookmarkEnd w:id="79"/>
          </w:p>
          <w:p w14:paraId="54694BA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根据医院需要</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设置交换组件</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满足数据交换需要</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组件数量不限</w:t>
            </w:r>
            <w:r>
              <w:rPr>
                <w:rFonts w:cs="宋体" w:asciiTheme="majorEastAsia" w:hAnsiTheme="majorEastAsia" w:eastAsiaTheme="majorEastAsia"/>
                <w:color w:val="auto"/>
                <w:szCs w:val="21"/>
              </w:rPr>
              <w:t>。</w:t>
            </w:r>
          </w:p>
          <w:p w14:paraId="1AF0ABDB">
            <w:pPr>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实现全局视图显示整个流程完整流通线路，用户能直观查看包含多终端、多路由的完整消息处理流程，在一个视图页面上能看到整体业务流程图。</w:t>
            </w:r>
          </w:p>
          <w:p w14:paraId="18ACFDFE">
            <w:pPr>
              <w:spacing w:line="440" w:lineRule="exact"/>
              <w:ind w:firstLine="420" w:firstLineChars="200"/>
              <w:jc w:val="left"/>
              <w:rPr>
                <w:rFonts w:cs="宋体" w:asciiTheme="majorEastAsia" w:hAnsiTheme="majorEastAsia" w:eastAsiaTheme="majorEastAsia"/>
                <w:color w:val="auto"/>
                <w:szCs w:val="21"/>
              </w:rPr>
            </w:pPr>
            <w:bookmarkStart w:id="80" w:name="外部业务交换组件"/>
            <w:r>
              <w:rPr>
                <w:rFonts w:cs="宋体" w:asciiTheme="majorEastAsia" w:hAnsiTheme="majorEastAsia" w:eastAsiaTheme="majorEastAsia"/>
                <w:color w:val="auto"/>
                <w:szCs w:val="21"/>
              </w:rPr>
              <w:t>10、</w:t>
            </w:r>
            <w:r>
              <w:rPr>
                <w:rFonts w:hint="eastAsia" w:cs="宋体" w:asciiTheme="majorEastAsia" w:hAnsiTheme="majorEastAsia" w:eastAsiaTheme="majorEastAsia"/>
                <w:color w:val="auto"/>
                <w:szCs w:val="21"/>
              </w:rPr>
              <w:t>外部业务交换组件</w:t>
            </w:r>
            <w:bookmarkEnd w:id="80"/>
          </w:p>
          <w:p w14:paraId="2701BDAC">
            <w:pPr>
              <w:spacing w:line="440" w:lineRule="exact"/>
              <w:ind w:firstLine="420" w:firstLineChars="200"/>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根据医院需要</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接入外部机构信息系统，包括但不限于从银行、医保、保险、公安、急救中心、CDC（疾控中心）、血液中心、第三方挂号平台、非银行支付机构、外部数据上报平台或监管平台、第三方药品配送机构等接入。</w:t>
            </w:r>
          </w:p>
          <w:p w14:paraId="09246F2E">
            <w:pPr>
              <w:spacing w:line="440" w:lineRule="exact"/>
              <w:ind w:firstLine="210" w:firstLineChars="100"/>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11、</w:t>
            </w:r>
            <w:r>
              <w:rPr>
                <w:rFonts w:hint="eastAsia" w:cs="宋体" w:asciiTheme="majorEastAsia" w:hAnsiTheme="majorEastAsia" w:eastAsiaTheme="majorEastAsia"/>
                <w:color w:val="auto"/>
                <w:szCs w:val="21"/>
              </w:rPr>
              <w:t>医院其他业务交换组件</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具体按照医院需要为准。</w:t>
            </w:r>
          </w:p>
          <w:p w14:paraId="70741D3C">
            <w:pPr>
              <w:spacing w:line="440" w:lineRule="exact"/>
              <w:ind w:firstLine="210" w:firstLineChars="100"/>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12、</w:t>
            </w:r>
            <w:r>
              <w:rPr>
                <w:rFonts w:hint="eastAsia" w:cs="宋体" w:asciiTheme="majorEastAsia" w:hAnsiTheme="majorEastAsia" w:eastAsiaTheme="majorEastAsia"/>
                <w:color w:val="auto"/>
                <w:szCs w:val="21"/>
              </w:rPr>
              <w:t>集成平台运行性能完全</w:t>
            </w:r>
            <w:r>
              <w:rPr>
                <w:rFonts w:cs="宋体" w:asciiTheme="majorEastAsia" w:hAnsiTheme="majorEastAsia" w:eastAsiaTheme="majorEastAsia"/>
                <w:color w:val="auto"/>
                <w:szCs w:val="21"/>
              </w:rPr>
              <w:t>可以</w:t>
            </w:r>
            <w:r>
              <w:rPr>
                <w:rFonts w:hint="eastAsia" w:cs="宋体" w:asciiTheme="majorEastAsia" w:hAnsiTheme="majorEastAsia" w:eastAsiaTheme="majorEastAsia"/>
                <w:color w:val="auto"/>
                <w:szCs w:val="21"/>
              </w:rPr>
              <w:t>满足互联互通测评方案中四级甲等的相关要求，基础服务的平均响应时间、电子病历整合服务平均响应时间及电子病历档案服务平均响应时间均要求达到1s以内。</w:t>
            </w:r>
            <w:r>
              <w:rPr>
                <w:rFonts w:hint="eastAsia" w:cs="宋体" w:asciiTheme="majorEastAsia" w:hAnsiTheme="majorEastAsia" w:eastAsiaTheme="majorEastAsia"/>
                <w:color w:val="auto"/>
                <w:szCs w:val="21"/>
              </w:rPr>
              <w:br w:type="textWrapping"/>
            </w:r>
            <w:r>
              <w:rPr>
                <w:rFonts w:cs="宋体" w:asciiTheme="majorEastAsia" w:hAnsiTheme="majorEastAsia" w:eastAsiaTheme="majorEastAsia"/>
                <w:color w:val="auto"/>
                <w:szCs w:val="21"/>
              </w:rPr>
              <w:t xml:space="preserve"> 13、</w:t>
            </w:r>
            <w:r>
              <w:rPr>
                <w:rFonts w:hint="eastAsia" w:cs="宋体" w:asciiTheme="majorEastAsia" w:hAnsiTheme="majorEastAsia" w:eastAsiaTheme="majorEastAsia"/>
                <w:color w:val="auto"/>
                <w:szCs w:val="21"/>
              </w:rPr>
              <w:t>集成平台按照双活部署</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杜绝单点故障问题</w:t>
            </w:r>
            <w:r>
              <w:rPr>
                <w:rFonts w:cs="宋体" w:asciiTheme="majorEastAsia" w:hAnsiTheme="majorEastAsia" w:eastAsiaTheme="majorEastAsia"/>
                <w:color w:val="auto"/>
                <w:szCs w:val="21"/>
              </w:rPr>
              <w:t>。</w:t>
            </w:r>
          </w:p>
          <w:p w14:paraId="4C5F4997">
            <w:pPr>
              <w:spacing w:line="440" w:lineRule="exact"/>
              <w:ind w:firstLine="210" w:firstLineChars="100"/>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14、集成平台没有接口数量限制，没有路由数量限制，没有授权点数限制。</w:t>
            </w:r>
          </w:p>
        </w:tc>
        <w:tc>
          <w:tcPr>
            <w:tcW w:w="379" w:type="pct"/>
            <w:tcBorders>
              <w:top w:val="single" w:color="auto" w:sz="4" w:space="0"/>
              <w:left w:val="single" w:color="auto" w:sz="4" w:space="0"/>
              <w:bottom w:val="single" w:color="auto" w:sz="4" w:space="0"/>
              <w:right w:val="single" w:color="auto" w:sz="4" w:space="0"/>
            </w:tcBorders>
            <w:vAlign w:val="center"/>
          </w:tcPr>
          <w:p w14:paraId="064DF2D6">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4372B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25A85F54">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7CB064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数据中心</w:t>
            </w:r>
          </w:p>
        </w:tc>
        <w:tc>
          <w:tcPr>
            <w:tcW w:w="3788" w:type="pct"/>
            <w:tcBorders>
              <w:top w:val="single" w:color="auto" w:sz="4" w:space="0"/>
              <w:left w:val="single" w:color="auto" w:sz="4" w:space="0"/>
              <w:bottom w:val="single" w:color="auto" w:sz="4" w:space="0"/>
              <w:right w:val="single" w:color="auto" w:sz="4" w:space="0"/>
            </w:tcBorders>
            <w:vAlign w:val="center"/>
          </w:tcPr>
          <w:p w14:paraId="3674C4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81" w:name="数据ETL管理"/>
            <w:bookmarkEnd w:id="81"/>
            <w:r>
              <w:rPr>
                <w:rFonts w:hint="eastAsia" w:cs="宋体" w:asciiTheme="majorEastAsia" w:hAnsiTheme="majorEastAsia" w:eastAsiaTheme="majorEastAsia"/>
                <w:color w:val="auto"/>
                <w:szCs w:val="21"/>
              </w:rPr>
              <w:t>数据数据仓库技术管理</w:t>
            </w:r>
          </w:p>
          <w:p w14:paraId="032A65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通过数据仓库技术将医疗业务系统HIS、LIS、PACS、EMR的业务数据抽取到数据中心的业务数据层，数据中心业务数据层的源数据通过数据清洗，数据标准化转换后抽取到数据中心标准层，数据中心标准层数据通过数据的进一步整合将数据进一步抽取转化加载到数据仓库、临床知识库、指标库等数据应用层。</w:t>
            </w:r>
          </w:p>
          <w:p w14:paraId="1F13C3C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82" w:name="主数据管理"/>
            <w:r>
              <w:rPr>
                <w:rFonts w:hint="eastAsia" w:cs="宋体" w:asciiTheme="majorEastAsia" w:hAnsiTheme="majorEastAsia" w:eastAsiaTheme="majorEastAsia"/>
                <w:color w:val="auto"/>
                <w:szCs w:val="21"/>
              </w:rPr>
              <w:t>主数据管理</w:t>
            </w:r>
            <w:bookmarkEnd w:id="82"/>
          </w:p>
          <w:p w14:paraId="7CF9DF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能对数据源数据结构、数据词典、字段维度、程序映射逻辑、数据生命周期等元数据进行管理，包括元数据定义、存储、查询、维护、分析应用等功能。</w:t>
            </w:r>
          </w:p>
          <w:p w14:paraId="085E596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83" w:name="术语管理"/>
            <w:r>
              <w:rPr>
                <w:rFonts w:hint="eastAsia" w:cs="宋体" w:asciiTheme="majorEastAsia" w:hAnsiTheme="majorEastAsia" w:eastAsiaTheme="majorEastAsia"/>
                <w:color w:val="auto"/>
                <w:szCs w:val="21"/>
              </w:rPr>
              <w:t>术语管理</w:t>
            </w:r>
            <w:bookmarkEnd w:id="83"/>
          </w:p>
          <w:p w14:paraId="74DB07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集中统一地管理全院的基础数据，实现基础数据的统一来源，以规范数据的统计口径，提高数据质量。</w:t>
            </w:r>
          </w:p>
          <w:p w14:paraId="3DBF042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84" w:name="患者主索引管理"/>
            <w:r>
              <w:rPr>
                <w:rFonts w:hint="eastAsia" w:cs="宋体" w:asciiTheme="majorEastAsia" w:hAnsiTheme="majorEastAsia" w:eastAsiaTheme="majorEastAsia"/>
                <w:color w:val="auto"/>
                <w:szCs w:val="21"/>
              </w:rPr>
              <w:t>患者主索引管理</w:t>
            </w:r>
            <w:bookmarkEnd w:id="84"/>
          </w:p>
          <w:p w14:paraId="4764D3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建立全院级统一的患者主索引，能够从各种不同的子系统中取得患者的信息并进行组织，串连起所有患者相关信息，包括基本信息、过敏信息、家族病史、历次诊疗信息、检查检验信息、患者主管医生、历次</w:t>
            </w:r>
            <w:r>
              <w:rPr>
                <w:rFonts w:cs="宋体" w:asciiTheme="majorEastAsia" w:hAnsiTheme="majorEastAsia" w:eastAsiaTheme="majorEastAsia"/>
                <w:color w:val="auto"/>
                <w:szCs w:val="21"/>
              </w:rPr>
              <w:t>电子病历</w:t>
            </w:r>
            <w:r>
              <w:rPr>
                <w:rFonts w:hint="eastAsia" w:cs="宋体" w:asciiTheme="majorEastAsia" w:hAnsiTheme="majorEastAsia" w:eastAsiaTheme="majorEastAsia"/>
                <w:color w:val="auto"/>
                <w:szCs w:val="21"/>
              </w:rPr>
              <w:t>、收费情况（门诊、住院）等信息，并以此为基础实现医院数据层面的整合，包括电子病历的数据整合以及医院业务和管理数据的整合，同时提供一个搜索引擎，提供给其他应用程序对患者的智能搜索功能。患者主索引也是客户服务、病种分析、决策支持等管理的重要主线。</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 xml:space="preserve">    患者主索引管理，实现建立院内患者的唯一标识，保证在同一个ID号下可以查询到患者在不同系统内的诊疗信息，并且对院内患者注册数据进行集中存储和管理，保证单个患者在一定范围内的唯一性和可靠性，能够识别不同来源系统间患者的关联性；提供一个管理控制台，对患者数据进行图形化管理；包括以下基本功能：</w:t>
            </w:r>
          </w:p>
          <w:p w14:paraId="02B847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注册功能：平台接收到患者信息后，会对患者信息进行校验，可以通过设定不同的数据规则，筛选出相应的不规则数据（如出生日期和性别为空，电话号码是字符等）和逻辑错误数据，并依次记录，作为信息统计的来源。当患者注册完成后，EMPI会对订阅过的源系统发布新增患者通知；</w:t>
            </w:r>
          </w:p>
          <w:p w14:paraId="5F21CEC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患者更新功能：平台收到消息后，根据患者标识查询到患者后，对患者信息进行修改，保证域内患者信息统一；</w:t>
            </w:r>
          </w:p>
          <w:p w14:paraId="550C94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患者合并：当信息提供源系统（如门诊HIS）对已有患者信息进行合并后，需要将保留患者信息和遗弃患者信息同步到平台中， 平台收到消息后，将遗弃患者的所有标识合并到保留患者上，并且作废遗弃患者；</w:t>
            </w:r>
          </w:p>
          <w:p w14:paraId="1440E16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信息查询：各应用系统可以方便地跨域（其他应用系统）查询到患者的详细信息和标识信息，通过不同系统域的标识可以跨域进行患者相关临床信息的检索，如检查记录、入院记录等信息。由于在患者注册时已经对平台内的所有患者进行了匹配关联，所以在进行患者查询时，可以查询到所有的关联信息和关联标识，并根据不同来源域的可信度权重进行自动筛选。</w:t>
            </w:r>
          </w:p>
          <w:p w14:paraId="749F3ECB">
            <w:pPr>
              <w:spacing w:line="440" w:lineRule="exact"/>
              <w:ind w:firstLine="420" w:firstLineChars="200"/>
              <w:rPr>
                <w:rFonts w:cs="宋体" w:asciiTheme="majorEastAsia" w:hAnsiTheme="majorEastAsia" w:eastAsiaTheme="majorEastAsia"/>
                <w:color w:val="auto"/>
                <w:szCs w:val="21"/>
              </w:rPr>
            </w:pPr>
          </w:p>
          <w:p w14:paraId="23BEFF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85" w:name="数据脱敏配置管理"/>
            <w:r>
              <w:rPr>
                <w:rFonts w:hint="eastAsia" w:cs="宋体" w:asciiTheme="majorEastAsia" w:hAnsiTheme="majorEastAsia" w:eastAsiaTheme="majorEastAsia"/>
                <w:color w:val="auto"/>
                <w:szCs w:val="21"/>
              </w:rPr>
              <w:t>数据脱敏配置管理</w:t>
            </w:r>
            <w:bookmarkEnd w:id="85"/>
          </w:p>
          <w:p w14:paraId="3B7AA9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数据脱敏配置管理是指临床数据用于第三方使用或其他需要脱敏或匿名化使用时，能够实现可视化脱敏配置。</w:t>
            </w:r>
          </w:p>
          <w:p w14:paraId="7A56D6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6、临床文档信息库（CDR）</w:t>
            </w:r>
          </w:p>
          <w:p w14:paraId="7B96E4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建立临床文档信息库（CDR），临床文档信息库是医院为实现临床诊疗和全部医、教、研活动而以病人为中心重新构建的数据存储结构，它是物理存在的，而不仅仅是概念存在或者是逻辑存在。CDR是医院基于电子病历的信息平台的核心构件，与直接支持医疗操作的前台业务信息库不同，其数据来自这些业务系统，但与前台业务流程无关。CDR也不是通常意义上的数据仓库，它的内容是随着医院业务活动动态变化的，并且直接实现医生、护士对病人临床记录的实时应用。实现临床数据集成视图</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可以在</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个操作界</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上将多次就诊的所有临床信息按时间轴进</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集中展现。集成视图基于WEB</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式开发可灵活嵌</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现有HIS系统的医</w:t>
            </w:r>
            <w:r>
              <w:rPr>
                <w:rFonts w:hint="eastAsia" w:ascii="微软雅黑" w:hAnsi="微软雅黑" w:eastAsia="微软雅黑" w:cs="微软雅黑"/>
                <w:color w:val="auto"/>
                <w:szCs w:val="21"/>
              </w:rPr>
              <w:t>⽣⼯</w:t>
            </w:r>
            <w:r>
              <w:rPr>
                <w:rFonts w:hint="eastAsia" w:cs="宋体" w:asciiTheme="majorEastAsia" w:hAnsiTheme="majorEastAsia" w:eastAsiaTheme="majorEastAsia"/>
                <w:color w:val="auto"/>
                <w:szCs w:val="21"/>
              </w:rPr>
              <w:t>作站。临床科室可通过科室管理员系统查看临床信息数据库，</w:t>
            </w:r>
            <w:r>
              <w:rPr>
                <w:rFonts w:cs="宋体" w:asciiTheme="majorEastAsia" w:hAnsiTheme="majorEastAsia" w:eastAsiaTheme="majorEastAsia"/>
                <w:color w:val="auto"/>
                <w:szCs w:val="21"/>
              </w:rPr>
              <w:t>并根据临床科室需求自定义检索</w:t>
            </w:r>
            <w:r>
              <w:rPr>
                <w:rFonts w:hint="eastAsia" w:cs="宋体" w:asciiTheme="majorEastAsia" w:hAnsiTheme="majorEastAsia" w:eastAsiaTheme="majorEastAsia"/>
                <w:color w:val="auto"/>
                <w:szCs w:val="21"/>
              </w:rPr>
              <w:t>并</w:t>
            </w:r>
            <w:r>
              <w:rPr>
                <w:rFonts w:cs="宋体" w:asciiTheme="majorEastAsia" w:hAnsiTheme="majorEastAsia" w:eastAsiaTheme="majorEastAsia"/>
                <w:color w:val="auto"/>
                <w:szCs w:val="21"/>
              </w:rPr>
              <w:t>形成分析报告，</w:t>
            </w:r>
            <w:r>
              <w:rPr>
                <w:rFonts w:hint="eastAsia" w:cs="宋体" w:asciiTheme="majorEastAsia" w:hAnsiTheme="majorEastAsia" w:eastAsiaTheme="majorEastAsia"/>
                <w:color w:val="auto"/>
                <w:szCs w:val="21"/>
              </w:rPr>
              <w:t>可</w:t>
            </w:r>
            <w:r>
              <w:rPr>
                <w:rFonts w:cs="宋体" w:asciiTheme="majorEastAsia" w:hAnsiTheme="majorEastAsia" w:eastAsiaTheme="majorEastAsia"/>
                <w:color w:val="auto"/>
                <w:szCs w:val="21"/>
              </w:rPr>
              <w:t>在一定程度</w:t>
            </w:r>
            <w:r>
              <w:rPr>
                <w:rFonts w:hint="eastAsia" w:cs="宋体" w:asciiTheme="majorEastAsia" w:hAnsiTheme="majorEastAsia" w:eastAsiaTheme="majorEastAsia"/>
                <w:color w:val="auto"/>
                <w:szCs w:val="21"/>
              </w:rPr>
              <w:t>成为科室</w:t>
            </w:r>
            <w:r>
              <w:rPr>
                <w:rFonts w:cs="宋体" w:asciiTheme="majorEastAsia" w:hAnsiTheme="majorEastAsia" w:eastAsiaTheme="majorEastAsia"/>
                <w:color w:val="auto"/>
                <w:szCs w:val="21"/>
              </w:rPr>
              <w:t>进行质控和运营的重要依据</w:t>
            </w:r>
            <w:r>
              <w:rPr>
                <w:rFonts w:hint="eastAsia"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br w:type="textWrapping"/>
            </w:r>
            <w:r>
              <w:rPr>
                <w:rFonts w:cs="宋体" w:asciiTheme="majorEastAsia" w:hAnsiTheme="majorEastAsia" w:eastAsiaTheme="majorEastAsia"/>
                <w:color w:val="auto"/>
                <w:szCs w:val="21"/>
              </w:rPr>
              <w:t xml:space="preserve">  CDR</w:t>
            </w:r>
            <w:r>
              <w:rPr>
                <w:rFonts w:hint="eastAsia" w:cs="宋体" w:asciiTheme="majorEastAsia" w:hAnsiTheme="majorEastAsia" w:eastAsiaTheme="majorEastAsia"/>
                <w:color w:val="auto"/>
                <w:szCs w:val="21"/>
              </w:rPr>
              <w:t>以患者为中心，以患者主索引为主线，组织、整合、存储患者临床数据，将患者所有医疗信息，如门诊记录、住院记录、门诊处方、住院医嘱、电子病历、检查检验报告、手术记录、输血记录、病理报告等，以全面、标准、统一的方式整合存储，为临床数据的共享提供统一的平台支撑。</w:t>
            </w:r>
          </w:p>
          <w:p w14:paraId="2BC874A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86" w:name="运营信息数据库ODR"/>
            <w:r>
              <w:rPr>
                <w:rFonts w:hint="eastAsia" w:cs="宋体" w:asciiTheme="majorEastAsia" w:hAnsiTheme="majorEastAsia" w:eastAsiaTheme="majorEastAsia"/>
                <w:color w:val="auto"/>
                <w:szCs w:val="21"/>
              </w:rPr>
              <w:t>运营信息数据库ODR</w:t>
            </w:r>
            <w:bookmarkEnd w:id="86"/>
          </w:p>
          <w:p w14:paraId="54F9BF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从临床诊疗、医疗管理及后台运营管理等业务系统中获取医院管理辅助决策所需要的数据，并对数据进行数据清理、转换，再按某种分析重点进行组织和展示，建立起符合医院运营管理的指标体系。实现日常业务统计分析、常用上报数据（如HIS、LIS、PACS、体检、院感、血库、手术麻醉、重症监护等）等功能。医院管理决策支持数据库可以获取任意时间的任意即时数据，即实时分析处理数据，使用者可以随时了解到医院当时的各种情况，同时系统能从不同角度对数据进行分析，并快速</w:t>
            </w:r>
            <w:r>
              <w:rPr>
                <w:rFonts w:cs="宋体" w:asciiTheme="majorEastAsia" w:hAnsiTheme="majorEastAsia" w:eastAsiaTheme="majorEastAsia"/>
                <w:color w:val="auto"/>
                <w:szCs w:val="21"/>
              </w:rPr>
              <w:t>高效地获得</w:t>
            </w:r>
            <w:r>
              <w:rPr>
                <w:rFonts w:hint="eastAsia" w:cs="宋体" w:asciiTheme="majorEastAsia" w:hAnsiTheme="majorEastAsia" w:eastAsiaTheme="majorEastAsia"/>
                <w:color w:val="auto"/>
                <w:szCs w:val="21"/>
              </w:rPr>
              <w:t>结果，有助于全面了解隐藏于数据中的有用信息，方便领导决策。临床科室可通过科室管理员系统查看本科室</w:t>
            </w:r>
            <w:r>
              <w:rPr>
                <w:rFonts w:cs="宋体" w:asciiTheme="majorEastAsia" w:hAnsiTheme="majorEastAsia" w:eastAsiaTheme="majorEastAsia"/>
                <w:color w:val="auto"/>
                <w:szCs w:val="21"/>
              </w:rPr>
              <w:t>的运营</w:t>
            </w:r>
            <w:r>
              <w:rPr>
                <w:rFonts w:hint="eastAsia" w:cs="宋体" w:asciiTheme="majorEastAsia" w:hAnsiTheme="majorEastAsia" w:eastAsiaTheme="majorEastAsia"/>
                <w:color w:val="auto"/>
                <w:szCs w:val="21"/>
              </w:rPr>
              <w:t>信息数据库，</w:t>
            </w:r>
            <w:r>
              <w:rPr>
                <w:rFonts w:cs="宋体" w:asciiTheme="majorEastAsia" w:hAnsiTheme="majorEastAsia" w:eastAsiaTheme="majorEastAsia"/>
                <w:color w:val="auto"/>
                <w:szCs w:val="21"/>
              </w:rPr>
              <w:t>并根据临床科室需求自定义检索</w:t>
            </w:r>
            <w:r>
              <w:rPr>
                <w:rFonts w:hint="eastAsia" w:cs="宋体" w:asciiTheme="majorEastAsia" w:hAnsiTheme="majorEastAsia" w:eastAsiaTheme="majorEastAsia"/>
                <w:color w:val="auto"/>
                <w:szCs w:val="21"/>
              </w:rPr>
              <w:t>并</w:t>
            </w:r>
            <w:r>
              <w:rPr>
                <w:rFonts w:cs="宋体" w:asciiTheme="majorEastAsia" w:hAnsiTheme="majorEastAsia" w:eastAsiaTheme="majorEastAsia"/>
                <w:color w:val="auto"/>
                <w:szCs w:val="21"/>
              </w:rPr>
              <w:t>形成分析报告，</w:t>
            </w:r>
            <w:r>
              <w:rPr>
                <w:rFonts w:hint="eastAsia" w:cs="宋体" w:asciiTheme="majorEastAsia" w:hAnsiTheme="majorEastAsia" w:eastAsiaTheme="majorEastAsia"/>
                <w:color w:val="auto"/>
                <w:szCs w:val="21"/>
              </w:rPr>
              <w:t>可</w:t>
            </w:r>
            <w:r>
              <w:rPr>
                <w:rFonts w:cs="宋体" w:asciiTheme="majorEastAsia" w:hAnsiTheme="majorEastAsia" w:eastAsiaTheme="majorEastAsia"/>
                <w:color w:val="auto"/>
                <w:szCs w:val="21"/>
              </w:rPr>
              <w:t>在一定程度</w:t>
            </w:r>
            <w:r>
              <w:rPr>
                <w:rFonts w:hint="eastAsia" w:cs="宋体" w:asciiTheme="majorEastAsia" w:hAnsiTheme="majorEastAsia" w:eastAsiaTheme="majorEastAsia"/>
                <w:color w:val="auto"/>
                <w:szCs w:val="21"/>
              </w:rPr>
              <w:t>成为科室</w:t>
            </w:r>
            <w:r>
              <w:rPr>
                <w:rFonts w:cs="宋体" w:asciiTheme="majorEastAsia" w:hAnsiTheme="majorEastAsia" w:eastAsiaTheme="majorEastAsia"/>
                <w:color w:val="auto"/>
                <w:szCs w:val="21"/>
              </w:rPr>
              <w:t>进行质控和运营的重要依据</w:t>
            </w:r>
            <w:r>
              <w:rPr>
                <w:rFonts w:hint="eastAsia" w:cs="宋体" w:asciiTheme="majorEastAsia" w:hAnsiTheme="majorEastAsia" w:eastAsiaTheme="majorEastAsia"/>
                <w:color w:val="auto"/>
                <w:szCs w:val="21"/>
              </w:rPr>
              <w:t>。</w:t>
            </w:r>
          </w:p>
          <w:p w14:paraId="681C41B1">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8、科研数据中心RDR</w:t>
            </w:r>
          </w:p>
          <w:p w14:paraId="08CE73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从HIS、LIS、电子病历、PACS、超声、病理等院内系统，通过数据同步汇聚全院科研所需的医疗大数据，构建具有自主知识产权的科研数据中心。在此基础上进行数据标准化和数据治理，完成核心数据的清洗、整合、转化、治理、归一等流程，建立面向临床科研、灵活使用的科研数据库，有效解决数据孤岛问题并延展研究范围和深度，为疾病预测奠定基础。</w:t>
            </w:r>
          </w:p>
          <w:p w14:paraId="70CC459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科研数据中心，由科研数据中心库、科研检索数据库、管理平台数据库组成。临床科室可通过科室管理员系统查看科研数据。</w:t>
            </w:r>
          </w:p>
          <w:p w14:paraId="1DC34E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（1）科研数据中心库</w:t>
            </w:r>
          </w:p>
          <w:p w14:paraId="5ABE305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主要从集成平台、HIS、LIS、电子病历、超声、病理等院内系统，通过数据同步技术，获取全院的科研所需的医疗核心数据，汇聚到全院统一的科研数据中心库。</w:t>
            </w:r>
          </w:p>
          <w:p w14:paraId="715460A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（2）科研检索数据库</w:t>
            </w:r>
          </w:p>
          <w:p w14:paraId="68CFA55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主要在大数据中心库的基础上进行数据标准化和数据治理，完成核心数据的清洗、归一、结构化和建模等流程，形成便于科研可便捷，灵活使用的科研检索数据库。</w:t>
            </w:r>
          </w:p>
          <w:p w14:paraId="4796F4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管理平台数据库</w:t>
            </w:r>
          </w:p>
          <w:p w14:paraId="3B1A87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主要为基于科研大数据管理平台的各种数据应用。不限病种。</w:t>
            </w:r>
          </w:p>
          <w:p w14:paraId="5B3CAC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w:t>
            </w:r>
            <w:bookmarkStart w:id="87" w:name="数据治理"/>
            <w:r>
              <w:rPr>
                <w:rFonts w:hint="eastAsia" w:cs="宋体" w:asciiTheme="majorEastAsia" w:hAnsiTheme="majorEastAsia" w:eastAsiaTheme="majorEastAsia"/>
                <w:color w:val="auto"/>
                <w:szCs w:val="21"/>
              </w:rPr>
              <w:t>数据治理</w:t>
            </w:r>
            <w:bookmarkEnd w:id="87"/>
          </w:p>
          <w:p w14:paraId="35A5431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实现对数据中心的数据进行质量检查，包括数据的完整性、数据的一致性、数据的准确性以及数据的及时性等，并提供相应的数据检查结果数据，帮助信息管理人员管理数据中心的数据。</w:t>
            </w:r>
          </w:p>
          <w:p w14:paraId="0083A85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w:t>
            </w:r>
            <w:bookmarkStart w:id="88" w:name="电子病历共享文档库"/>
            <w:r>
              <w:rPr>
                <w:rFonts w:hint="eastAsia" w:cs="宋体" w:asciiTheme="majorEastAsia" w:hAnsiTheme="majorEastAsia" w:eastAsiaTheme="majorEastAsia"/>
                <w:color w:val="auto"/>
                <w:szCs w:val="21"/>
              </w:rPr>
              <w:t>电子病历共享文档库</w:t>
            </w:r>
            <w:bookmarkEnd w:id="88"/>
          </w:p>
          <w:p w14:paraId="1A0D9C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(1)共享文档标准差距对比</w:t>
            </w:r>
          </w:p>
          <w:p w14:paraId="6942ED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针对医院项目信息化现状，通过对共享文档的覆盖范围及数据、文档格式的符合情况，对集成平台共享文档的符合情况进行差距对比。具体包括以下三个方面内容共享文档范围比对、共享文档数据对比、享文档格式比对。</w:t>
            </w:r>
          </w:p>
          <w:p w14:paraId="03873C2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(2)共享文档标准改造</w:t>
            </w:r>
          </w:p>
          <w:p w14:paraId="446FCF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包括：共享文档覆盖范围完善、共享文档数据与格式改造、共享文档交换工具管理。</w:t>
            </w:r>
          </w:p>
          <w:p w14:paraId="2C5FD6B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(3)共享文档标准符合情况自测</w:t>
            </w:r>
          </w:p>
          <w:p w14:paraId="3FAD2E4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包括：文档解析工具开发、共享文档自测。</w:t>
            </w:r>
          </w:p>
          <w:p w14:paraId="4B854E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共享文档分为两种方式生成：源业务系统生成、数据中心生成。源业务系统生成按《WS/T 500-2016电子病历共享文档规范》标准生成的共享文档，通过平台的交互服务接口进行共享文档注册，平台实现界面化的实时监控与共享文档的检索、调阅。数据中心进行数据抽取，共享文档生成工具定时生成共享文档，并调用注册服务接口注册到集成平台。</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 xml:space="preserve">    11、医院智慧管理大屏</w:t>
            </w:r>
            <w:r>
              <w:rPr>
                <w:rFonts w:hint="eastAsia" w:cs="宋体" w:asciiTheme="majorEastAsia" w:hAnsiTheme="majorEastAsia" w:eastAsiaTheme="majorEastAsia"/>
                <w:color w:val="auto"/>
                <w:szCs w:val="21"/>
              </w:rPr>
              <w:br w:type="textWrapping"/>
            </w:r>
            <w:bookmarkStart w:id="89" w:name="_Toc67313279"/>
            <w:r>
              <w:rPr>
                <w:rFonts w:hint="eastAsia" w:cs="宋体" w:asciiTheme="majorEastAsia" w:hAnsiTheme="majorEastAsia" w:eastAsiaTheme="majorEastAsia"/>
                <w:color w:val="auto"/>
                <w:szCs w:val="21"/>
              </w:rPr>
              <w:t xml:space="preserve">   （1）门诊运营监测</w:t>
            </w:r>
            <w:bookmarkEnd w:id="89"/>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 xml:space="preserve">    今日实时分析：</w:t>
            </w:r>
          </w:p>
          <w:p w14:paraId="7E7F683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提供挂号人次、上下午就诊、已就诊、待就诊人次指标分析；</w:t>
            </w:r>
          </w:p>
          <w:p w14:paraId="3928277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提供处方数、未配置处方数、待取药人数、待取药处方数指标分析；</w:t>
            </w:r>
          </w:p>
          <w:p w14:paraId="5BF824E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昨日数据分析：</w:t>
            </w:r>
          </w:p>
          <w:p w14:paraId="4A1CCE7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提供昨日挂号人次、就诊人次、处方数指标分析；</w:t>
            </w:r>
          </w:p>
          <w:p w14:paraId="7222456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出诊级别构成分析：</w:t>
            </w:r>
          </w:p>
          <w:p w14:paraId="4758E7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按照教授、副教授、专家、主治等分类对医师出诊级别进行分析；</w:t>
            </w:r>
          </w:p>
          <w:p w14:paraId="4FABD8D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预约方式构成分析：</w:t>
            </w:r>
          </w:p>
          <w:p w14:paraId="6073B97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按照窗口、诊间、手机、自助机等分类对患者预约方式进行分析；</w:t>
            </w:r>
          </w:p>
          <w:p w14:paraId="4C9EE93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候诊时长分析：</w:t>
            </w:r>
          </w:p>
          <w:p w14:paraId="185DE8F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按照患者候诊等待时间阶段进行分析：0-10分钟，10—20分钟，20—30分钟，30分钟以上等；</w:t>
            </w:r>
          </w:p>
          <w:p w14:paraId="2C3CC8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区域地图分析：</w:t>
            </w:r>
          </w:p>
          <w:p w14:paraId="1663E27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根据患者就诊人次对地图不同区域进行颜色区分；</w:t>
            </w:r>
          </w:p>
          <w:p w14:paraId="2E53059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提供地图区域内患者就诊人次轮播展示；</w:t>
            </w:r>
          </w:p>
          <w:p w14:paraId="7B9FF33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提供地图区域内患者分布来源展示；</w:t>
            </w:r>
          </w:p>
          <w:p w14:paraId="7FCCFD7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院内视频轮播（地图、视频二选一）：</w:t>
            </w:r>
          </w:p>
          <w:p w14:paraId="1EFAD7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实现院内视频、新闻的挂载循环播放；</w:t>
            </w:r>
          </w:p>
          <w:p w14:paraId="35021D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实现院内图片的循环轮播；</w:t>
            </w:r>
          </w:p>
          <w:p w14:paraId="3931A2E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就诊流量分析：</w:t>
            </w:r>
          </w:p>
          <w:p w14:paraId="621590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提供患者不同时间段就诊流量趋势分析图；</w:t>
            </w:r>
          </w:p>
          <w:p w14:paraId="1EF9FE1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出诊排班分析：</w:t>
            </w:r>
          </w:p>
          <w:p w14:paraId="506392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按照科室维度提供医师上下午出诊排班分析；</w:t>
            </w:r>
          </w:p>
          <w:p w14:paraId="4D3CE13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科室就诊分析：</w:t>
            </w:r>
          </w:p>
          <w:p w14:paraId="58C50AF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按照科室维度提供已就诊、待就诊人次分析；</w:t>
            </w:r>
          </w:p>
          <w:p w14:paraId="488790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门诊诊断分析：</w:t>
            </w:r>
          </w:p>
          <w:p w14:paraId="4940EF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按照疾病维度对门诊人次展示分析；</w:t>
            </w:r>
          </w:p>
          <w:p w14:paraId="0B52B94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门诊病种分析：</w:t>
            </w:r>
          </w:p>
          <w:p w14:paraId="71BE608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按照病种维度对门诊人次展示分析；</w:t>
            </w:r>
          </w:p>
          <w:p w14:paraId="6FD9054D">
            <w:pPr>
              <w:spacing w:line="440" w:lineRule="exact"/>
              <w:ind w:firstLine="315" w:firstLineChars="15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（2）住院运营监测（临床科室可通过科室管理员系统查看本科室数据情况，</w:t>
            </w:r>
            <w:r>
              <w:rPr>
                <w:rFonts w:cs="宋体" w:asciiTheme="majorEastAsia" w:hAnsiTheme="majorEastAsia" w:eastAsiaTheme="majorEastAsia"/>
                <w:color w:val="auto"/>
                <w:szCs w:val="21"/>
              </w:rPr>
              <w:t>以便科室进行运营调</w:t>
            </w:r>
            <w:r>
              <w:rPr>
                <w:rFonts w:hint="eastAsia" w:cs="宋体" w:asciiTheme="majorEastAsia" w:hAnsiTheme="majorEastAsia" w:eastAsiaTheme="majorEastAsia"/>
                <w:color w:val="auto"/>
                <w:szCs w:val="21"/>
              </w:rPr>
              <w:t>控）</w:t>
            </w:r>
          </w:p>
          <w:p w14:paraId="73CDFF8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基础指标分析：</w:t>
            </w:r>
          </w:p>
          <w:p w14:paraId="26DEC9E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提供在院人次、抢救人次、入院人次、病危人次、病重人次、特殊护理、死亡人次、出院人次、住院超过31天患者等指标进行分析；</w:t>
            </w:r>
          </w:p>
          <w:p w14:paraId="3CEFC614">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危急值分析：</w:t>
            </w:r>
          </w:p>
          <w:p w14:paraId="3096C3B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展示危急值总数、已处理危急值数；</w:t>
            </w:r>
          </w:p>
          <w:p w14:paraId="1692B863">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人员情况分析：</w:t>
            </w:r>
          </w:p>
          <w:p w14:paraId="671BF4B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按照医生在职、正常、病假、事假等统计分析；</w:t>
            </w:r>
          </w:p>
          <w:p w14:paraId="50AAF3C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按照护理在职、正常、病假、产假、怀孕、哺乳等统计分析；</w:t>
            </w:r>
          </w:p>
          <w:p w14:paraId="249E3AA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欠费金额大于3000元情况分析：</w:t>
            </w:r>
          </w:p>
          <w:p w14:paraId="7883E389">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按照科室维度对患者欠费金额大于3000元的人次进行统计分析；</w:t>
            </w:r>
          </w:p>
          <w:p w14:paraId="1661254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床位使用情况分析：</w:t>
            </w:r>
          </w:p>
          <w:p w14:paraId="49BF3D1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按照科室维度对床位使用情况进行排行统计分析；</w:t>
            </w:r>
          </w:p>
          <w:p w14:paraId="30DB7B3F">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床位情况分析：</w:t>
            </w:r>
          </w:p>
          <w:p w14:paraId="7E65337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对医院床位使用率、空床数、总床位数等指标进行分析；</w:t>
            </w:r>
          </w:p>
          <w:p w14:paraId="3A62D4A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住院超过31天患者分析：</w:t>
            </w:r>
          </w:p>
          <w:p w14:paraId="4133F77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按照科室维度对住院超过31天患者进行统计分析；</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（3）医院运营监测（临床科室可通过科室管理员系统查看本科室数据情况，</w:t>
            </w:r>
            <w:r>
              <w:rPr>
                <w:rFonts w:cs="宋体" w:asciiTheme="majorEastAsia" w:hAnsiTheme="majorEastAsia" w:eastAsiaTheme="majorEastAsia"/>
                <w:color w:val="auto"/>
                <w:szCs w:val="21"/>
              </w:rPr>
              <w:t>以便科室进行运营调</w:t>
            </w:r>
            <w:r>
              <w:rPr>
                <w:rFonts w:hint="eastAsia" w:cs="宋体" w:asciiTheme="majorEastAsia" w:hAnsiTheme="majorEastAsia" w:eastAsiaTheme="majorEastAsia"/>
                <w:color w:val="auto"/>
                <w:szCs w:val="21"/>
              </w:rPr>
              <w:t>控）</w:t>
            </w:r>
          </w:p>
          <w:p w14:paraId="09CCE670">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基础指标分析：</w:t>
            </w:r>
          </w:p>
          <w:p w14:paraId="236219D3">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提供门诊人次、急诊人次、入院人次、出院人次、手术台次等今日、昨日数据分析；</w:t>
            </w:r>
          </w:p>
          <w:p w14:paraId="5FC2C50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类报表：包括门诊工作量报表、挂号科室号类统计表（含挂号科室名称、医生姓名、挂号类别（主任号、主治号等类别）、挂号人次、就诊人次等信息）、门急诊手术例数统计表、门急诊中医诊疗人次表、门诊预约挂号查询表、门急诊病历查询、门急诊诊断检索等报表，并提供时间节点选择功能；</w:t>
            </w:r>
          </w:p>
          <w:p w14:paraId="493E94B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提供住院患者信息查询报表：包括病案首页信息查询（含所有首页字段）、住院患者名单查询、转科患者名单查询、输血名单查询功能，并提供时间节点选择功能；</w:t>
            </w:r>
          </w:p>
          <w:p w14:paraId="3904DCCB">
            <w:pPr>
              <w:spacing w:line="440" w:lineRule="exact"/>
              <w:ind w:left="420" w:left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系统</w:t>
            </w:r>
            <w:r>
              <w:rPr>
                <w:rFonts w:hint="eastAsia" w:cs="宋体" w:asciiTheme="majorEastAsia" w:hAnsiTheme="majorEastAsia" w:eastAsiaTheme="majorEastAsia"/>
                <w:color w:val="auto"/>
                <w:szCs w:val="21"/>
              </w:rPr>
              <w:t>能</w:t>
            </w:r>
            <w:r>
              <w:rPr>
                <w:rFonts w:cs="宋体" w:asciiTheme="majorEastAsia" w:hAnsiTheme="majorEastAsia" w:eastAsiaTheme="majorEastAsia"/>
                <w:color w:val="auto"/>
                <w:szCs w:val="21"/>
              </w:rPr>
              <w:t>自动</w:t>
            </w:r>
            <w:r>
              <w:rPr>
                <w:rFonts w:hint="eastAsia" w:cs="宋体" w:asciiTheme="majorEastAsia" w:hAnsiTheme="majorEastAsia" w:eastAsiaTheme="majorEastAsia"/>
                <w:color w:val="auto"/>
                <w:szCs w:val="21"/>
              </w:rPr>
              <w:t>生成全院各临床科室的</w:t>
            </w:r>
            <w:r>
              <w:rPr>
                <w:rFonts w:cs="宋体" w:asciiTheme="majorEastAsia" w:hAnsiTheme="majorEastAsia" w:eastAsiaTheme="majorEastAsia"/>
                <w:color w:val="auto"/>
                <w:szCs w:val="21"/>
              </w:rPr>
              <w:t>病房工作日志报表</w:t>
            </w:r>
            <w:r>
              <w:rPr>
                <w:rFonts w:hint="eastAsia" w:cs="宋体" w:asciiTheme="majorEastAsia" w:hAnsiTheme="majorEastAsia" w:eastAsiaTheme="majorEastAsia"/>
                <w:color w:val="auto"/>
                <w:szCs w:val="21"/>
              </w:rPr>
              <w:t>（含各科每日</w:t>
            </w:r>
            <w:r>
              <w:rPr>
                <w:rFonts w:cs="宋体" w:asciiTheme="majorEastAsia" w:hAnsiTheme="majorEastAsia" w:eastAsiaTheme="majorEastAsia"/>
                <w:color w:val="auto"/>
                <w:szCs w:val="21"/>
              </w:rPr>
              <w:t>原有人数、入院人数、转</w:t>
            </w:r>
            <w:r>
              <w:rPr>
                <w:rFonts w:hint="eastAsia" w:cs="宋体" w:asciiTheme="majorEastAsia" w:hAnsiTheme="majorEastAsia" w:eastAsiaTheme="majorEastAsia"/>
                <w:color w:val="auto"/>
                <w:szCs w:val="21"/>
              </w:rPr>
              <w:t>入</w:t>
            </w:r>
            <w:r>
              <w:rPr>
                <w:rFonts w:cs="宋体" w:asciiTheme="majorEastAsia" w:hAnsiTheme="majorEastAsia" w:eastAsiaTheme="majorEastAsia"/>
                <w:color w:val="auto"/>
                <w:szCs w:val="21"/>
              </w:rPr>
              <w:t>人</w:t>
            </w:r>
            <w:r>
              <w:rPr>
                <w:rFonts w:hint="eastAsia" w:cs="宋体" w:asciiTheme="majorEastAsia" w:hAnsiTheme="majorEastAsia" w:eastAsiaTheme="majorEastAsia"/>
                <w:color w:val="auto"/>
                <w:szCs w:val="21"/>
              </w:rPr>
              <w:t>数</w:t>
            </w:r>
            <w:r>
              <w:rPr>
                <w:rFonts w:cs="宋体" w:asciiTheme="majorEastAsia" w:hAnsiTheme="majorEastAsia" w:eastAsiaTheme="majorEastAsia"/>
                <w:color w:val="auto"/>
                <w:szCs w:val="21"/>
              </w:rPr>
              <w:t>、出院人数、</w:t>
            </w:r>
            <w:r>
              <w:rPr>
                <w:rFonts w:hint="eastAsia" w:cs="宋体" w:asciiTheme="majorEastAsia" w:hAnsiTheme="majorEastAsia" w:eastAsiaTheme="majorEastAsia"/>
                <w:color w:val="auto"/>
                <w:szCs w:val="21"/>
              </w:rPr>
              <w:t>转出人数、</w:t>
            </w:r>
            <w:r>
              <w:rPr>
                <w:rFonts w:cs="宋体" w:asciiTheme="majorEastAsia" w:hAnsiTheme="majorEastAsia" w:eastAsiaTheme="majorEastAsia"/>
                <w:color w:val="auto"/>
                <w:szCs w:val="21"/>
              </w:rPr>
              <w:t>现有人数等</w:t>
            </w:r>
            <w:r>
              <w:rPr>
                <w:rFonts w:hint="eastAsia" w:cs="宋体" w:asciiTheme="majorEastAsia" w:hAnsiTheme="majorEastAsia" w:eastAsiaTheme="majorEastAsia"/>
                <w:color w:val="auto"/>
                <w:szCs w:val="21"/>
              </w:rPr>
              <w:t>日志</w:t>
            </w:r>
            <w:r>
              <w:rPr>
                <w:rFonts w:cs="宋体" w:asciiTheme="majorEastAsia" w:hAnsiTheme="majorEastAsia" w:eastAsiaTheme="majorEastAsia"/>
                <w:color w:val="auto"/>
                <w:szCs w:val="21"/>
              </w:rPr>
              <w:t>数据</w:t>
            </w:r>
            <w:r>
              <w:rPr>
                <w:rFonts w:hint="eastAsia" w:cs="宋体" w:asciiTheme="majorEastAsia" w:hAnsiTheme="majorEastAsia" w:eastAsiaTheme="majorEastAsia"/>
                <w:color w:val="auto"/>
                <w:szCs w:val="21"/>
              </w:rPr>
              <w:t>），报表提供时间节点选择功能；</w:t>
            </w:r>
          </w:p>
          <w:p w14:paraId="3C6BC18B">
            <w:pPr>
              <w:spacing w:line="440" w:lineRule="exact"/>
              <w:ind w:left="420" w:leftChars="20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提供每日零点在院病人信息查询功能，含在院人次及在院病人信息明细（可任选日期）。</w:t>
            </w:r>
          </w:p>
          <w:p w14:paraId="2F24CDCA">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全院收入监控分析：</w:t>
            </w:r>
          </w:p>
          <w:p w14:paraId="3D24C0C0">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提供门诊医疗、门诊药品、门诊材料、住院医疗、住院药品、住院材料指标分析；</w:t>
            </w:r>
          </w:p>
          <w:p w14:paraId="5230450A">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医保分类人次分析：</w:t>
            </w:r>
          </w:p>
          <w:p w14:paraId="0AF2E75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按照市职工医保、市医保、省医保、新农合、自费分类对医保人次进行分析；</w:t>
            </w:r>
          </w:p>
          <w:p w14:paraId="3F59A70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费用监控分析：</w:t>
            </w:r>
          </w:p>
          <w:p w14:paraId="535725D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提供本月门诊总收入、门诊均次费用、本月住院总收入、住院均次费用指标分析；</w:t>
            </w:r>
          </w:p>
          <w:p w14:paraId="1637A06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诊间工作量排行分析：</w:t>
            </w:r>
          </w:p>
          <w:p w14:paraId="03D98A5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按照科室维度对诊间工作量进行前五名排行分析；</w:t>
            </w:r>
          </w:p>
          <w:p w14:paraId="0B12AAE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科室门诊人次分析：</w:t>
            </w:r>
          </w:p>
          <w:p w14:paraId="669039B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按照科室维度对门诊人次进行展示分析；</w:t>
            </w:r>
          </w:p>
          <w:p w14:paraId="47C26FAA">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科室在院人次分析：</w:t>
            </w:r>
          </w:p>
          <w:p w14:paraId="3904B9FC">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按照科室维度对在院人次进行展示分析；</w:t>
            </w:r>
          </w:p>
          <w:p w14:paraId="1354E6D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科室收入分析：</w:t>
            </w:r>
          </w:p>
          <w:p w14:paraId="0F199554">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按照科室维度对医院费用进行展示分析；</w:t>
            </w:r>
          </w:p>
          <w:p w14:paraId="273D017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质量指标分析：</w:t>
            </w:r>
          </w:p>
          <w:p w14:paraId="5E5630CA">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对质量指标进行分析；</w:t>
            </w:r>
          </w:p>
          <w:p w14:paraId="54FF682E">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预警信息分析：</w:t>
            </w:r>
          </w:p>
          <w:p w14:paraId="10D6CB3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对医院预警信息进行展示；</w:t>
            </w:r>
          </w:p>
          <w:p w14:paraId="180DD8DE">
            <w:pPr>
              <w:spacing w:line="440" w:lineRule="exact"/>
              <w:ind w:left="210" w:leftChars="100"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（4）护理运营监测（临床</w:t>
            </w:r>
            <w:r>
              <w:rPr>
                <w:rFonts w:cs="宋体" w:asciiTheme="majorEastAsia" w:hAnsiTheme="majorEastAsia" w:eastAsiaTheme="majorEastAsia"/>
                <w:color w:val="auto"/>
                <w:szCs w:val="21"/>
              </w:rPr>
              <w:t>科室</w:t>
            </w:r>
            <w:r>
              <w:rPr>
                <w:rFonts w:hint="eastAsia" w:cs="宋体" w:asciiTheme="majorEastAsia" w:hAnsiTheme="majorEastAsia" w:eastAsiaTheme="majorEastAsia"/>
                <w:color w:val="auto"/>
                <w:szCs w:val="21"/>
              </w:rPr>
              <w:t>可通过科室护士长系统查看本</w:t>
            </w:r>
            <w:r>
              <w:rPr>
                <w:rFonts w:cs="宋体" w:asciiTheme="majorEastAsia" w:hAnsiTheme="majorEastAsia" w:eastAsiaTheme="majorEastAsia"/>
                <w:color w:val="auto"/>
                <w:szCs w:val="21"/>
              </w:rPr>
              <w:t>科室</w:t>
            </w:r>
            <w:r>
              <w:rPr>
                <w:rFonts w:hint="eastAsia" w:cs="宋体" w:asciiTheme="majorEastAsia" w:hAnsiTheme="majorEastAsia" w:eastAsiaTheme="majorEastAsia"/>
                <w:color w:val="auto"/>
                <w:szCs w:val="21"/>
              </w:rPr>
              <w:t>数据，</w:t>
            </w:r>
            <w:r>
              <w:rPr>
                <w:rFonts w:cs="宋体" w:asciiTheme="majorEastAsia" w:hAnsiTheme="majorEastAsia" w:eastAsiaTheme="majorEastAsia"/>
                <w:color w:val="auto"/>
                <w:szCs w:val="21"/>
              </w:rPr>
              <w:t>以便及时做出调控</w:t>
            </w:r>
            <w:r>
              <w:rPr>
                <w:rFonts w:hint="eastAsia" w:cs="宋体" w:asciiTheme="majorEastAsia" w:hAnsiTheme="majorEastAsia" w:eastAsiaTheme="majorEastAsia"/>
                <w:color w:val="auto"/>
                <w:szCs w:val="21"/>
              </w:rPr>
              <w:t>）</w:t>
            </w:r>
          </w:p>
          <w:p w14:paraId="6D938A53">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基础指标分析：</w:t>
            </w:r>
          </w:p>
          <w:p w14:paraId="3BE4245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提供GAD-7评估率、跌倒体质率、PHQ-9评估率、压疮评估率、ADL评估率、疼痛评估率、首次护理评估率等指标进行展示；</w:t>
            </w:r>
          </w:p>
          <w:p w14:paraId="3D5EB09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在院人数分析：</w:t>
            </w:r>
          </w:p>
          <w:p w14:paraId="24987858">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提供全院在院人数统计；</w:t>
            </w:r>
          </w:p>
          <w:p w14:paraId="450BD2A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按照科室维度对全院在院人数进行分析；</w:t>
            </w:r>
          </w:p>
          <w:p w14:paraId="6761E3DE">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入院人数分析：</w:t>
            </w:r>
          </w:p>
          <w:p w14:paraId="0ED198E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按提供全院入院人数统计；</w:t>
            </w:r>
          </w:p>
          <w:p w14:paraId="52C9C0D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按照科室维度对全院入院人数进行分析；</w:t>
            </w:r>
          </w:p>
          <w:p w14:paraId="7F65B52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出院人数分析：</w:t>
            </w:r>
          </w:p>
          <w:p w14:paraId="1D98ED75">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提按提供全院出院人数统计；</w:t>
            </w:r>
          </w:p>
          <w:p w14:paraId="3954ED7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按照科室维度对全院出院人数进行分析；</w:t>
            </w:r>
          </w:p>
          <w:p w14:paraId="4D170D8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护理级别分析：</w:t>
            </w:r>
          </w:p>
          <w:p w14:paraId="1753611C">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按照特级护理、一级护理、二级护理、三级护理维度对护理级别进行分析；</w:t>
            </w:r>
          </w:p>
          <w:p w14:paraId="47855759">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关注指标分析：</w:t>
            </w:r>
          </w:p>
          <w:p w14:paraId="08E980B8">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对医院病危数、病重数、死亡人数、手术台次等关注指标进行分析；</w:t>
            </w:r>
          </w:p>
          <w:p w14:paraId="76B01842">
            <w:pPr>
              <w:spacing w:line="440" w:lineRule="exact"/>
              <w:ind w:left="210" w:leftChars="100"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（5）院长管理日报</w:t>
            </w:r>
          </w:p>
          <w:p w14:paraId="71403EDA">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多院区下门诊概况轮播展示：</w:t>
            </w:r>
          </w:p>
          <w:p w14:paraId="65B074B4">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提供门诊人次、门诊收入、人均费用今日、本月、本年累计、年累计同比等指标分析；</w:t>
            </w:r>
          </w:p>
          <w:p w14:paraId="4B547E4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多院区下住院概况轮播展示：</w:t>
            </w:r>
          </w:p>
          <w:p w14:paraId="328D98C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提供出院人次、出院收入、人均费用今日、本月、本年累计、年累计同比等指标分析；</w:t>
            </w:r>
          </w:p>
          <w:p w14:paraId="68A346D9">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多院区下床位情况轮播展示：</w:t>
            </w:r>
          </w:p>
          <w:p w14:paraId="2CA0ADD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提供患者占床天数、床位总费用、日均床费用今日、本月、本年累计、年累计同比等指标分析；</w:t>
            </w:r>
          </w:p>
          <w:p w14:paraId="6B0E2DA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多院区下手术概况轮播展示：</w:t>
            </w:r>
          </w:p>
          <w:p w14:paraId="7A68B85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提供手术人次、出院患者手术人次、出院患者手术人次占比今日、本月、本年累计、年累计同比等指标分析；</w:t>
            </w:r>
          </w:p>
          <w:p w14:paraId="6A386A8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多院区下前10天门急诊量轮播展示分析：</w:t>
            </w:r>
          </w:p>
          <w:p w14:paraId="741BD086">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以当前时间为标准往前推10天，对门急诊人次进行分析；</w:t>
            </w:r>
          </w:p>
          <w:p w14:paraId="470EF579">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多院区下前10天出院人次轮播展示分析：</w:t>
            </w:r>
          </w:p>
          <w:p w14:paraId="362BB2B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以当前时间为标准往前推10天，对门出院人次进行分析；</w:t>
            </w:r>
          </w:p>
          <w:p w14:paraId="10328B1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多院区下前10天平均住院日轮播展示分析：</w:t>
            </w:r>
          </w:p>
          <w:p w14:paraId="4D4F85B9">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以当前时间为标准往前推10天，对平均住院日进行分析；</w:t>
            </w:r>
          </w:p>
          <w:p w14:paraId="3846843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多院区下前10天手术量轮播展示分析：</w:t>
            </w:r>
          </w:p>
          <w:p w14:paraId="2ACA4AEF">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以当前时间为标准往前推10天，对手术人次进行分析；</w:t>
            </w:r>
          </w:p>
          <w:p w14:paraId="452C5F3F">
            <w:pPr>
              <w:spacing w:line="440" w:lineRule="exact"/>
              <w:ind w:left="210" w:leftChars="100"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（6）高值耗材与合理用药（临床科室可通过科室管理员系统查看本科室数据分析情况，</w:t>
            </w:r>
            <w:r>
              <w:rPr>
                <w:rFonts w:cs="宋体" w:asciiTheme="majorEastAsia" w:hAnsiTheme="majorEastAsia" w:eastAsiaTheme="majorEastAsia"/>
                <w:color w:val="auto"/>
                <w:szCs w:val="21"/>
              </w:rPr>
              <w:t>以便科室</w:t>
            </w:r>
            <w:r>
              <w:rPr>
                <w:rFonts w:hint="eastAsia" w:cs="宋体" w:asciiTheme="majorEastAsia" w:hAnsiTheme="majorEastAsia" w:eastAsiaTheme="majorEastAsia"/>
                <w:color w:val="auto"/>
                <w:szCs w:val="21"/>
              </w:rPr>
              <w:t>及时</w:t>
            </w:r>
            <w:r>
              <w:rPr>
                <w:rFonts w:cs="宋体" w:asciiTheme="majorEastAsia" w:hAnsiTheme="majorEastAsia" w:eastAsiaTheme="majorEastAsia"/>
                <w:color w:val="auto"/>
                <w:szCs w:val="21"/>
              </w:rPr>
              <w:t>进行调</w:t>
            </w:r>
            <w:r>
              <w:rPr>
                <w:rFonts w:hint="eastAsia" w:cs="宋体" w:asciiTheme="majorEastAsia" w:hAnsiTheme="majorEastAsia" w:eastAsiaTheme="majorEastAsia"/>
                <w:color w:val="auto"/>
                <w:szCs w:val="21"/>
              </w:rPr>
              <w:t>控）</w:t>
            </w:r>
          </w:p>
          <w:p w14:paraId="2D245904">
            <w:pPr>
              <w:spacing w:line="440" w:lineRule="exact"/>
              <w:ind w:left="210" w:leftChars="100" w:firstLine="210" w:firstLineChars="1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抗菌药物使用强度预警分析：</w:t>
            </w:r>
          </w:p>
          <w:p w14:paraId="2A144FA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根据科室维度对上月的抗菌药物强度值与预警值进行分析；</w:t>
            </w:r>
          </w:p>
          <w:p w14:paraId="2E29E890">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抗菌药物使用强度趋势分析：</w:t>
            </w:r>
          </w:p>
          <w:p w14:paraId="3ED0E5C4">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按照月度对今年及同比年度抗菌药物使用强度进行分析；</w:t>
            </w:r>
          </w:p>
          <w:p w14:paraId="53EBAD5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高值耗材占比科室排行Top 10分析：</w:t>
            </w:r>
          </w:p>
          <w:p w14:paraId="52FF3BD8">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按照科室维度对上月高值耗材费用进行分析；</w:t>
            </w:r>
          </w:p>
          <w:p w14:paraId="7D28A46B">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按照科室维度对上月高值耗材费用占科室总收入占比</w:t>
            </w:r>
          </w:p>
          <w:p w14:paraId="70A5754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（7）进行趋势分析；（临床科室可通过科室管理员系统查看本科室数据分析情况，</w:t>
            </w:r>
            <w:r>
              <w:rPr>
                <w:rFonts w:cs="宋体" w:asciiTheme="majorEastAsia" w:hAnsiTheme="majorEastAsia" w:eastAsiaTheme="majorEastAsia"/>
                <w:color w:val="auto"/>
                <w:szCs w:val="21"/>
              </w:rPr>
              <w:t>以便科室</w:t>
            </w:r>
            <w:r>
              <w:rPr>
                <w:rFonts w:hint="eastAsia" w:cs="宋体" w:asciiTheme="majorEastAsia" w:hAnsiTheme="majorEastAsia" w:eastAsiaTheme="majorEastAsia"/>
                <w:color w:val="auto"/>
                <w:szCs w:val="21"/>
              </w:rPr>
              <w:t>及时</w:t>
            </w:r>
            <w:r>
              <w:rPr>
                <w:rFonts w:cs="宋体" w:asciiTheme="majorEastAsia" w:hAnsiTheme="majorEastAsia" w:eastAsiaTheme="majorEastAsia"/>
                <w:color w:val="auto"/>
                <w:szCs w:val="21"/>
              </w:rPr>
              <w:t>进行调</w:t>
            </w:r>
            <w:r>
              <w:rPr>
                <w:rFonts w:hint="eastAsia" w:cs="宋体" w:asciiTheme="majorEastAsia" w:hAnsiTheme="majorEastAsia" w:eastAsiaTheme="majorEastAsia"/>
                <w:color w:val="auto"/>
                <w:szCs w:val="21"/>
              </w:rPr>
              <w:t>控）</w:t>
            </w:r>
          </w:p>
          <w:p w14:paraId="437295E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高值耗材与用药基础指标分析：</w:t>
            </w:r>
          </w:p>
          <w:p w14:paraId="1DFF4AC3">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提供门诊患者基本药物处方占比、住院患者基本药物使用率、去年高值医用耗材收入占比、今年高值医用耗材收入占比等指标分析；</w:t>
            </w:r>
          </w:p>
          <w:p w14:paraId="1B09EA8C">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耗材总收入构成分析：</w:t>
            </w:r>
          </w:p>
          <w:p w14:paraId="01D16F9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按照治疗、介入、手术、检查等分类对上月耗材总收入进行分析；</w:t>
            </w:r>
          </w:p>
          <w:p w14:paraId="4ACD570F">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科室点评处方分析：</w:t>
            </w:r>
          </w:p>
          <w:p w14:paraId="3FA3036F">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按照科室维度对上月科室点评处方中科室超常用药、不合理用药等分类进行分析；</w:t>
            </w:r>
          </w:p>
          <w:p w14:paraId="064E3682">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高值耗材术式排名分析：</w:t>
            </w:r>
          </w:p>
          <w:p w14:paraId="083D5B3D">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按照术式维度对上月全院高值耗材费用、占比进行排名分析； </w:t>
            </w:r>
          </w:p>
          <w:p w14:paraId="08CC93A1">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高值耗材医师排名分析：</w:t>
            </w:r>
          </w:p>
          <w:p w14:paraId="17549303">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按照医师维度对上月全院高值耗材费用、占比进行排名分析；</w:t>
            </w:r>
          </w:p>
          <w:p w14:paraId="461404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（8）医师出诊监控</w:t>
            </w:r>
          </w:p>
          <w:p w14:paraId="77A86227">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按照科室诊区对医师出诊时间，接诊患者、待诊患者、已接诊患者等进行分析；</w:t>
            </w:r>
          </w:p>
          <w:p w14:paraId="79221898">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按照科室诊区对患者均次费用、均次药费、药占比、平均接诊时间等进行分析；</w:t>
            </w:r>
          </w:p>
          <w:p w14:paraId="61326084">
            <w:pPr>
              <w:spacing w:line="440" w:lineRule="exact"/>
              <w:ind w:left="420" w:left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统计上下午时段监测范围内诊室利用率、诊室总挂号人次、诊室已就诊人次、待诊人次、诊室排班情况等；</w:t>
            </w:r>
          </w:p>
        </w:tc>
        <w:tc>
          <w:tcPr>
            <w:tcW w:w="379" w:type="pct"/>
            <w:tcBorders>
              <w:top w:val="single" w:color="auto" w:sz="4" w:space="0"/>
              <w:left w:val="single" w:color="auto" w:sz="4" w:space="0"/>
              <w:bottom w:val="single" w:color="auto" w:sz="4" w:space="0"/>
              <w:right w:val="single" w:color="auto" w:sz="4" w:space="0"/>
            </w:tcBorders>
            <w:vAlign w:val="center"/>
          </w:tcPr>
          <w:p w14:paraId="5747030A">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20F67F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577CBFCB">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68DDE8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业务应用</w:t>
            </w:r>
          </w:p>
        </w:tc>
        <w:tc>
          <w:tcPr>
            <w:tcW w:w="3788" w:type="pct"/>
            <w:tcBorders>
              <w:top w:val="single" w:color="auto" w:sz="4" w:space="0"/>
              <w:left w:val="single" w:color="auto" w:sz="4" w:space="0"/>
              <w:bottom w:val="single" w:color="auto" w:sz="4" w:space="0"/>
              <w:right w:val="single" w:color="auto" w:sz="4" w:space="0"/>
            </w:tcBorders>
            <w:vAlign w:val="center"/>
          </w:tcPr>
          <w:p w14:paraId="5A6A17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90" w:name="医院综合查询报表系统"/>
            <w:r>
              <w:rPr>
                <w:rFonts w:hint="eastAsia" w:cs="宋体" w:asciiTheme="majorEastAsia" w:hAnsiTheme="majorEastAsia" w:eastAsiaTheme="majorEastAsia"/>
                <w:color w:val="auto"/>
                <w:szCs w:val="21"/>
              </w:rPr>
              <w:t>医院综合查询报表系统</w:t>
            </w:r>
            <w:bookmarkEnd w:id="90"/>
          </w:p>
          <w:p w14:paraId="7A032A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实现以下功能：</w:t>
            </w:r>
          </w:p>
          <w:p w14:paraId="1FA2F4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(1）提供可视化报表工具，可根据医院要求定制各类统计查询报表。</w:t>
            </w:r>
          </w:p>
          <w:p w14:paraId="058A3B8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(2）实现按角色、用户等多种方式对报表进行授权。</w:t>
            </w:r>
          </w:p>
          <w:p w14:paraId="6A5071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(3）提供报表检索日志记录功能。</w:t>
            </w:r>
          </w:p>
          <w:p w14:paraId="12DBC8E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(4）提供报表备注记录功能。</w:t>
            </w:r>
          </w:p>
          <w:p w14:paraId="40311EA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(5）提供报表的导入导出作废功能。</w:t>
            </w:r>
          </w:p>
          <w:p w14:paraId="66641F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(6）提供报表数据的排序、检索、过滤、导出功能。</w:t>
            </w:r>
          </w:p>
          <w:p w14:paraId="04BAEE5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(7）提供医院业务情况、资源利用、医疗质量、工作效率等各方面统计报表。</w:t>
            </w:r>
            <w:bookmarkStart w:id="91" w:name="_Toc59449348"/>
          </w:p>
          <w:p w14:paraId="4D6D9CFF">
            <w:pPr>
              <w:spacing w:line="440" w:lineRule="exact"/>
              <w:ind w:firstLine="200" w:firstLineChars="95"/>
              <w:rPr>
                <w:rFonts w:cs="宋体" w:asciiTheme="majorEastAsia" w:hAnsiTheme="majorEastAsia" w:eastAsiaTheme="majorEastAsia"/>
                <w:b/>
                <w:bCs/>
                <w:color w:val="auto"/>
                <w:szCs w:val="21"/>
              </w:rPr>
            </w:pPr>
            <w:r>
              <w:rPr>
                <w:rFonts w:hint="eastAsia" w:cs="宋体" w:asciiTheme="majorEastAsia" w:hAnsiTheme="majorEastAsia" w:eastAsiaTheme="majorEastAsia"/>
                <w:b/>
                <w:bCs/>
                <w:color w:val="auto"/>
                <w:szCs w:val="21"/>
              </w:rPr>
              <w:t>具有医院可视化监控平台</w:t>
            </w:r>
            <w:bookmarkEnd w:id="91"/>
            <w:r>
              <w:rPr>
                <w:rFonts w:hint="eastAsia" w:cs="宋体" w:asciiTheme="majorEastAsia" w:hAnsiTheme="majorEastAsia" w:eastAsiaTheme="majorEastAsia"/>
                <w:b/>
                <w:bCs/>
                <w:color w:val="auto"/>
                <w:szCs w:val="21"/>
              </w:rPr>
              <w:t>，包含但不限于以下内容：</w:t>
            </w:r>
          </w:p>
          <w:p w14:paraId="16336106">
            <w:pPr>
              <w:spacing w:line="440" w:lineRule="exact"/>
              <w:ind w:firstLine="420" w:firstLineChars="200"/>
              <w:rPr>
                <w:rFonts w:cs="宋体" w:asciiTheme="majorEastAsia" w:hAnsiTheme="majorEastAsia" w:eastAsiaTheme="majorEastAsia"/>
                <w:color w:val="auto"/>
                <w:szCs w:val="21"/>
              </w:rPr>
            </w:pPr>
            <w:bookmarkStart w:id="92" w:name="_Toc9868237"/>
            <w:r>
              <w:rPr>
                <w:rFonts w:hint="eastAsia" w:cs="宋体" w:asciiTheme="majorEastAsia" w:hAnsiTheme="majorEastAsia" w:eastAsiaTheme="majorEastAsia"/>
                <w:color w:val="auto"/>
                <w:szCs w:val="21"/>
              </w:rPr>
              <w:t>院长管理日报</w:t>
            </w:r>
            <w:bookmarkEnd w:id="92"/>
            <w:r>
              <w:rPr>
                <w:rFonts w:hint="eastAsia" w:cs="宋体" w:asciiTheme="majorEastAsia" w:hAnsiTheme="majorEastAsia" w:eastAsiaTheme="majorEastAsia"/>
                <w:color w:val="auto"/>
                <w:szCs w:val="21"/>
              </w:rPr>
              <w:t>，主要功能列表：</w:t>
            </w:r>
          </w:p>
          <w:p w14:paraId="69C41CE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基础指标展现：昨日值、月累计值、年累计值；</w:t>
            </w:r>
          </w:p>
          <w:p w14:paraId="415940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门诊人次、急诊人次、入院人次、出院人次、手术例数、在院人数；</w:t>
            </w:r>
          </w:p>
          <w:p w14:paraId="5A0679E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年度收入指标展现：</w:t>
            </w:r>
          </w:p>
          <w:p w14:paraId="56C0E74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年度医疗收入、年度药品收入；</w:t>
            </w:r>
          </w:p>
          <w:p w14:paraId="5ECD684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年度收入构成占比：</w:t>
            </w:r>
          </w:p>
          <w:p w14:paraId="0A91324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医疗收入、药品收入、检查检验、卫生材料等；</w:t>
            </w:r>
          </w:p>
          <w:p w14:paraId="5E0B29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年度手术级别构成占比：</w:t>
            </w:r>
          </w:p>
          <w:p w14:paraId="56B6ED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一级手术、二级手术、三级手术、四级手术；</w:t>
            </w:r>
          </w:p>
          <w:p w14:paraId="4AA811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质控指标展现：昨日值、月累计值、年累计值； </w:t>
            </w:r>
          </w:p>
          <w:p w14:paraId="09705C5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平均住院日（天）、床位使用率（%）、药占比（%）、卫生材料占比（%）、检查检验占比（%）、抗菌药物使用率（%）、预约就诊率（%）、术前平均住院日、床位周转次数、平均病床工作日等</w:t>
            </w:r>
          </w:p>
          <w:p w14:paraId="09BAD2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月度趋势分析：</w:t>
            </w:r>
          </w:p>
          <w:p w14:paraId="6202882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门诊人次（本期、同期）、出院人次（本期、同期）、手术人次（本期、同期）；</w:t>
            </w:r>
          </w:p>
          <w:p w14:paraId="168C30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操作步骤：</w:t>
            </w:r>
            <w:bookmarkStart w:id="93" w:name="OLE_LINK9"/>
            <w:bookmarkStart w:id="94" w:name="OLE_LINK8"/>
            <w:r>
              <w:rPr>
                <w:rFonts w:hint="eastAsia" w:cs="宋体" w:asciiTheme="majorEastAsia" w:hAnsiTheme="majorEastAsia" w:eastAsiaTheme="majorEastAsia"/>
                <w:color w:val="auto"/>
                <w:szCs w:val="21"/>
              </w:rPr>
              <w:t>具体操作：大屏自动展示院长管理日报</w:t>
            </w:r>
            <w:bookmarkEnd w:id="93"/>
            <w:bookmarkEnd w:id="94"/>
            <w:r>
              <w:rPr>
                <w:rFonts w:hint="eastAsia" w:cs="宋体" w:asciiTheme="majorEastAsia" w:hAnsiTheme="majorEastAsia" w:eastAsiaTheme="majorEastAsia"/>
                <w:color w:val="auto"/>
                <w:szCs w:val="21"/>
              </w:rPr>
              <w:br w:type="textWrapping"/>
            </w:r>
          </w:p>
          <w:p w14:paraId="13E1AA79">
            <w:pPr>
              <w:spacing w:line="440" w:lineRule="exact"/>
              <w:ind w:firstLine="420" w:firstLineChars="200"/>
              <w:rPr>
                <w:rFonts w:cs="宋体" w:asciiTheme="majorEastAsia" w:hAnsiTheme="majorEastAsia" w:eastAsiaTheme="majorEastAsia"/>
                <w:color w:val="auto"/>
                <w:szCs w:val="21"/>
              </w:rPr>
            </w:pPr>
            <w:bookmarkStart w:id="95" w:name="_Toc9868238"/>
            <w:r>
              <w:rPr>
                <w:rFonts w:hint="eastAsia" w:cs="宋体" w:asciiTheme="majorEastAsia" w:hAnsiTheme="majorEastAsia" w:eastAsiaTheme="majorEastAsia"/>
                <w:color w:val="auto"/>
                <w:szCs w:val="21"/>
              </w:rPr>
              <w:t>管理指标监控</w:t>
            </w:r>
            <w:bookmarkEnd w:id="95"/>
            <w:r>
              <w:rPr>
                <w:rFonts w:hint="eastAsia" w:cs="宋体" w:asciiTheme="majorEastAsia" w:hAnsiTheme="majorEastAsia" w:eastAsiaTheme="majorEastAsia"/>
                <w:color w:val="auto"/>
                <w:szCs w:val="21"/>
              </w:rPr>
              <w:t>，主要功能列表：</w:t>
            </w:r>
          </w:p>
          <w:p w14:paraId="2E6BB42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基础指标展现：上月值、同比、环比：</w:t>
            </w:r>
          </w:p>
          <w:p w14:paraId="1449447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门诊人次、急诊人次、入院人次、出院人次、手术例数；</w:t>
            </w:r>
          </w:p>
          <w:p w14:paraId="721569A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质控指标展现：上月值、同比、环比： </w:t>
            </w:r>
          </w:p>
          <w:p w14:paraId="10561B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平均住院日（天）、床位使用率（%）、药占比（%）、卫生材料占比（%）、检查检验占比（%）、抗菌药物使用率（%）、预约就诊率（%）</w:t>
            </w:r>
          </w:p>
          <w:p w14:paraId="440C01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预约方式排名（上月值）：手机App、自助机、114、诊间预约、诊间加号、窗口挂号等；</w:t>
            </w:r>
          </w:p>
          <w:p w14:paraId="2A5C0E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出诊级别占比（上月值）：专家、教授、副教授、主治、普通等；</w:t>
            </w:r>
          </w:p>
          <w:p w14:paraId="1E796A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各出诊级别平均接诊时间（上月值）星期分布分析；</w:t>
            </w:r>
          </w:p>
          <w:p w14:paraId="0A49BA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住院病种（年度值）TOP排行；</w:t>
            </w:r>
          </w:p>
          <w:p w14:paraId="30E490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住院手术（年度值）TOP排行；</w:t>
            </w:r>
          </w:p>
          <w:p w14:paraId="2826A05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手术分类（年度值）占比分析：可按类型或级别；</w:t>
            </w:r>
          </w:p>
          <w:p w14:paraId="5E30450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操作步骤：</w:t>
            </w:r>
          </w:p>
          <w:p w14:paraId="5609B5BA">
            <w:pPr>
              <w:spacing w:line="440" w:lineRule="exact"/>
              <w:ind w:firstLine="420" w:firstLineChars="200"/>
              <w:rPr>
                <w:rFonts w:cs="宋体" w:asciiTheme="majorEastAsia" w:hAnsiTheme="majorEastAsia" w:eastAsiaTheme="majorEastAsia"/>
                <w:color w:val="auto"/>
                <w:szCs w:val="21"/>
              </w:rPr>
            </w:pPr>
            <w:bookmarkStart w:id="96" w:name="OLE_LINK12"/>
            <w:bookmarkStart w:id="97" w:name="OLE_LINK10"/>
            <w:bookmarkStart w:id="98" w:name="OLE_LINK11"/>
            <w:r>
              <w:rPr>
                <w:rFonts w:hint="eastAsia" w:cs="宋体" w:asciiTheme="majorEastAsia" w:hAnsiTheme="majorEastAsia" w:eastAsiaTheme="majorEastAsia"/>
                <w:color w:val="auto"/>
                <w:szCs w:val="21"/>
              </w:rPr>
              <w:t>具体操作：大屏自动展示管理指标监控</w:t>
            </w:r>
            <w:bookmarkEnd w:id="96"/>
            <w:bookmarkEnd w:id="97"/>
            <w:bookmarkEnd w:id="98"/>
            <w:r>
              <w:rPr>
                <w:rFonts w:hint="eastAsia" w:cs="宋体" w:asciiTheme="majorEastAsia" w:hAnsiTheme="majorEastAsia" w:eastAsiaTheme="majorEastAsia"/>
                <w:color w:val="auto"/>
                <w:szCs w:val="21"/>
              </w:rPr>
              <w:br w:type="textWrapping"/>
            </w:r>
          </w:p>
          <w:p w14:paraId="749E0051">
            <w:pPr>
              <w:spacing w:line="440" w:lineRule="exact"/>
              <w:ind w:firstLine="420" w:firstLineChars="200"/>
              <w:rPr>
                <w:rFonts w:cs="宋体" w:asciiTheme="majorEastAsia" w:hAnsiTheme="majorEastAsia" w:eastAsiaTheme="majorEastAsia"/>
                <w:color w:val="auto"/>
                <w:szCs w:val="21"/>
              </w:rPr>
            </w:pPr>
            <w:bookmarkStart w:id="99" w:name="_Toc9868239"/>
            <w:r>
              <w:rPr>
                <w:rFonts w:hint="eastAsia" w:cs="宋体" w:asciiTheme="majorEastAsia" w:hAnsiTheme="majorEastAsia" w:eastAsiaTheme="majorEastAsia"/>
                <w:color w:val="auto"/>
                <w:szCs w:val="21"/>
              </w:rPr>
              <w:t>医院费用分析</w:t>
            </w:r>
            <w:bookmarkEnd w:id="99"/>
            <w:r>
              <w:rPr>
                <w:rFonts w:hint="eastAsia" w:cs="宋体" w:asciiTheme="majorEastAsia" w:hAnsiTheme="majorEastAsia" w:eastAsiaTheme="majorEastAsia"/>
                <w:color w:val="auto"/>
                <w:szCs w:val="21"/>
              </w:rPr>
              <w:t>，主要功能列表：</w:t>
            </w:r>
          </w:p>
          <w:p w14:paraId="038A28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月度医疗收入、药品收入趋势分析；</w:t>
            </w:r>
          </w:p>
          <w:p w14:paraId="3E15453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月度门诊次均费用、药费趋势分析；</w:t>
            </w:r>
          </w:p>
          <w:p w14:paraId="6AADDF3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月度住院次均费用、药费趋势分析；</w:t>
            </w:r>
          </w:p>
          <w:p w14:paraId="2691D1F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年度全院总收入、医疗服务收入占比、卫生材料收入占比、辅助用药收入占比；</w:t>
            </w:r>
          </w:p>
          <w:p w14:paraId="3B1064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年度门诊次均费用排名；</w:t>
            </w:r>
          </w:p>
          <w:p w14:paraId="7BCC2F4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年度住院次均费用排名；</w:t>
            </w:r>
          </w:p>
          <w:p w14:paraId="568E140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年度收入构成分析；</w:t>
            </w:r>
          </w:p>
          <w:p w14:paraId="54A9B6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年度住院科室收入排名；</w:t>
            </w:r>
          </w:p>
          <w:p w14:paraId="5C5AA7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年度住院医师开单收入排名；</w:t>
            </w:r>
          </w:p>
          <w:p w14:paraId="01FDC8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操作步骤：</w:t>
            </w:r>
          </w:p>
          <w:p w14:paraId="0C0716E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具体操作：大屏自动展示医院费用分析</w:t>
            </w:r>
            <w:r>
              <w:rPr>
                <w:rFonts w:hint="eastAsia" w:cs="宋体" w:asciiTheme="majorEastAsia" w:hAnsiTheme="majorEastAsia" w:eastAsiaTheme="majorEastAsia"/>
                <w:color w:val="auto"/>
                <w:szCs w:val="21"/>
              </w:rPr>
              <w:br w:type="textWrapping"/>
            </w:r>
          </w:p>
          <w:p w14:paraId="05B95F48">
            <w:pPr>
              <w:spacing w:line="440" w:lineRule="exact"/>
              <w:ind w:firstLine="420" w:firstLineChars="200"/>
              <w:rPr>
                <w:rFonts w:cs="宋体" w:asciiTheme="majorEastAsia" w:hAnsiTheme="majorEastAsia" w:eastAsiaTheme="majorEastAsia"/>
                <w:color w:val="auto"/>
                <w:szCs w:val="21"/>
              </w:rPr>
            </w:pPr>
            <w:bookmarkStart w:id="100" w:name="_Toc9868240"/>
            <w:r>
              <w:rPr>
                <w:rFonts w:hint="eastAsia" w:cs="宋体" w:asciiTheme="majorEastAsia" w:hAnsiTheme="majorEastAsia" w:eastAsiaTheme="majorEastAsia"/>
                <w:color w:val="auto"/>
                <w:szCs w:val="21"/>
              </w:rPr>
              <w:t>门诊实时流量</w:t>
            </w:r>
            <w:bookmarkEnd w:id="100"/>
            <w:r>
              <w:rPr>
                <w:rFonts w:hint="eastAsia" w:cs="宋体" w:asciiTheme="majorEastAsia" w:hAnsiTheme="majorEastAsia" w:eastAsiaTheme="majorEastAsia"/>
                <w:color w:val="auto"/>
                <w:szCs w:val="21"/>
              </w:rPr>
              <w:t>，基础指标展现：今日建档人次、今日门诊人次、急诊人次、取药人次、处方开立次数；</w:t>
            </w:r>
          </w:p>
          <w:p w14:paraId="5760B9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今日挂号来源占比：</w:t>
            </w:r>
          </w:p>
          <w:p w14:paraId="01AB7F9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手机App、自助机、114、诊间预约、诊间加号、窗口挂号等；</w:t>
            </w:r>
          </w:p>
          <w:p w14:paraId="0DDA80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今日患者性别年龄占比：</w:t>
            </w:r>
          </w:p>
          <w:p w14:paraId="1363AB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今日建档患者的性别占比；</w:t>
            </w:r>
          </w:p>
          <w:p w14:paraId="6874488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今日建档患者的年龄段比例：20-30、30-40、40-45、45-50等；</w:t>
            </w:r>
          </w:p>
          <w:p w14:paraId="2E3A3C9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今日检验分类占比：</w:t>
            </w:r>
          </w:p>
          <w:p w14:paraId="74547E2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免疫检验、常规检验、微生物检验、生化检验等；</w:t>
            </w:r>
          </w:p>
          <w:p w14:paraId="3806C0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今日检查分类占比：</w:t>
            </w:r>
          </w:p>
          <w:p w14:paraId="46B63E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心电检查、超声检查、内窥镜检查、病理检查等；</w:t>
            </w:r>
            <w:r>
              <w:rPr>
                <w:rFonts w:hint="eastAsia" w:cs="宋体" w:asciiTheme="majorEastAsia" w:hAnsiTheme="majorEastAsia" w:eastAsiaTheme="majorEastAsia"/>
                <w:color w:val="auto"/>
                <w:szCs w:val="21"/>
              </w:rPr>
              <w:br w:type="textWrapping"/>
            </w:r>
          </w:p>
          <w:p w14:paraId="3F3C29BB">
            <w:pPr>
              <w:spacing w:line="440" w:lineRule="exact"/>
              <w:ind w:firstLine="420" w:firstLineChars="200"/>
              <w:rPr>
                <w:rFonts w:cs="宋体" w:asciiTheme="majorEastAsia" w:hAnsiTheme="majorEastAsia" w:eastAsiaTheme="majorEastAsia"/>
                <w:color w:val="auto"/>
                <w:szCs w:val="21"/>
              </w:rPr>
            </w:pPr>
            <w:bookmarkStart w:id="101" w:name="_Toc9868241"/>
            <w:r>
              <w:rPr>
                <w:rFonts w:hint="eastAsia" w:cs="宋体" w:asciiTheme="majorEastAsia" w:hAnsiTheme="majorEastAsia" w:eastAsiaTheme="majorEastAsia"/>
                <w:color w:val="auto"/>
                <w:szCs w:val="21"/>
              </w:rPr>
              <w:t>住院实时流量</w:t>
            </w:r>
            <w:bookmarkEnd w:id="101"/>
            <w:r>
              <w:rPr>
                <w:rFonts w:hint="eastAsia" w:cs="宋体" w:asciiTheme="majorEastAsia" w:hAnsiTheme="majorEastAsia" w:eastAsiaTheme="majorEastAsia"/>
                <w:color w:val="auto"/>
                <w:szCs w:val="21"/>
              </w:rPr>
              <w:t>，基础指标展现：今日入院人次、今日检验人次、检查人次、手术申请人次、医嘱开立次数；</w:t>
            </w:r>
          </w:p>
          <w:p w14:paraId="7EA6E4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今日入院途径占比：</w:t>
            </w:r>
          </w:p>
          <w:p w14:paraId="523A19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急诊转住院、门诊转住院、直接住院等；</w:t>
            </w:r>
          </w:p>
          <w:p w14:paraId="46448C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今日患者性别年龄占比：</w:t>
            </w:r>
          </w:p>
          <w:p w14:paraId="521997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今日建档患者的性别占比；</w:t>
            </w:r>
          </w:p>
          <w:p w14:paraId="53DCAFD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今日建档患者的年龄段比例：20-30、30-40、40-45、45-50等；</w:t>
            </w:r>
          </w:p>
          <w:p w14:paraId="182E1F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今日检验分类占比：</w:t>
            </w:r>
          </w:p>
          <w:p w14:paraId="0CCD3B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免疫检验、常规检验、微生物检验、生化检验等；</w:t>
            </w:r>
          </w:p>
          <w:p w14:paraId="5DA7614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今日检查分类占比：</w:t>
            </w:r>
          </w:p>
          <w:p w14:paraId="40F220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心电检查、超声检查、内窥镜检查、病理检查等；</w:t>
            </w:r>
          </w:p>
          <w:p w14:paraId="21A239E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今日手术安排监测：</w:t>
            </w:r>
          </w:p>
          <w:p w14:paraId="48AACDB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展示今日各时间段手术完成人次、术中人次、手术安排人次；</w:t>
            </w:r>
          </w:p>
          <w:p w14:paraId="65C7B23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今日各科室入院人数排行：</w:t>
            </w:r>
          </w:p>
          <w:p w14:paraId="39DC32D1">
            <w:pPr>
              <w:spacing w:line="440" w:lineRule="exact"/>
              <w:rPr>
                <w:rFonts w:cs="宋体" w:asciiTheme="majorEastAsia" w:hAnsiTheme="majorEastAsia" w:eastAsiaTheme="majorEastAsia"/>
                <w:color w:val="auto"/>
                <w:szCs w:val="21"/>
              </w:rPr>
            </w:pPr>
            <w:bookmarkStart w:id="102" w:name="_Toc9868242"/>
          </w:p>
          <w:p w14:paraId="2B832063">
            <w:pPr>
              <w:spacing w:line="440" w:lineRule="exact"/>
              <w:ind w:firstLine="422" w:firstLineChars="200"/>
              <w:rPr>
                <w:rFonts w:cs="宋体" w:asciiTheme="majorEastAsia" w:hAnsiTheme="majorEastAsia" w:eastAsiaTheme="majorEastAsia"/>
                <w:b/>
                <w:bCs/>
                <w:color w:val="auto"/>
                <w:szCs w:val="21"/>
              </w:rPr>
            </w:pPr>
            <w:r>
              <w:rPr>
                <w:rFonts w:hint="eastAsia" w:cs="宋体" w:asciiTheme="majorEastAsia" w:hAnsiTheme="majorEastAsia" w:eastAsiaTheme="majorEastAsia"/>
                <w:b/>
                <w:bCs/>
                <w:color w:val="auto"/>
                <w:szCs w:val="21"/>
              </w:rPr>
              <w:t>平台监控界面</w:t>
            </w:r>
            <w:bookmarkEnd w:id="102"/>
          </w:p>
          <w:p w14:paraId="5A0E0AF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基础指标展现：应用服务器状态、主备机的服务器信息、系统流量监控、集成平台系统信息、接口当日交互数量、平台任务列表、平台实时交互数量；</w:t>
            </w:r>
          </w:p>
          <w:p w14:paraId="19DD10A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应用服务器状态：</w:t>
            </w:r>
          </w:p>
          <w:p w14:paraId="6BCF686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平台与其他系统的交互情况是否出现错误；</w:t>
            </w:r>
          </w:p>
          <w:p w14:paraId="39418F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主备机服务器的系统信息：</w:t>
            </w:r>
          </w:p>
          <w:p w14:paraId="7721BBA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分成两个版块分别展示主机以及备机服务器的硬盘使用情况，CPU使用情况，内存使用情况以及网络状况；</w:t>
            </w:r>
          </w:p>
          <w:p w14:paraId="4DF95E5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系统流量监控：</w:t>
            </w:r>
          </w:p>
          <w:p w14:paraId="3BBF03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使用不同状态的指向性线条展示平台当日与各个系统间的交互情况；</w:t>
            </w:r>
          </w:p>
          <w:p w14:paraId="6E792126">
            <w:pPr>
              <w:spacing w:line="440" w:lineRule="exact"/>
              <w:ind w:firstLine="422" w:firstLineChars="200"/>
              <w:rPr>
                <w:rFonts w:cs="宋体" w:asciiTheme="majorEastAsia" w:hAnsiTheme="majorEastAsia" w:eastAsiaTheme="majorEastAsia"/>
                <w:b/>
                <w:bCs/>
                <w:color w:val="auto"/>
                <w:szCs w:val="21"/>
              </w:rPr>
            </w:pPr>
            <w:r>
              <w:rPr>
                <w:rFonts w:hint="eastAsia" w:cs="宋体" w:asciiTheme="majorEastAsia" w:hAnsiTheme="majorEastAsia" w:eastAsiaTheme="majorEastAsia"/>
                <w:b/>
                <w:bCs/>
                <w:color w:val="auto"/>
                <w:szCs w:val="21"/>
              </w:rPr>
              <w:t>集成平台系统信息：</w:t>
            </w:r>
          </w:p>
          <w:p w14:paraId="24956D5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展示集成平台系统的运行时间，当前进程，以及集成平台的系统实时使用率与最高系统使用率；</w:t>
            </w:r>
          </w:p>
          <w:p w14:paraId="0E8AB9D7">
            <w:pPr>
              <w:spacing w:line="440" w:lineRule="exact"/>
              <w:ind w:firstLine="422" w:firstLineChars="200"/>
              <w:rPr>
                <w:rFonts w:cs="宋体" w:asciiTheme="majorEastAsia" w:hAnsiTheme="majorEastAsia" w:eastAsiaTheme="majorEastAsia"/>
                <w:b/>
                <w:bCs/>
                <w:color w:val="auto"/>
                <w:szCs w:val="21"/>
              </w:rPr>
            </w:pPr>
            <w:r>
              <w:rPr>
                <w:rFonts w:hint="eastAsia" w:cs="宋体" w:asciiTheme="majorEastAsia" w:hAnsiTheme="majorEastAsia" w:eastAsiaTheme="majorEastAsia"/>
                <w:b/>
                <w:bCs/>
                <w:color w:val="auto"/>
                <w:szCs w:val="21"/>
              </w:rPr>
              <w:t>接口当日交互数量：</w:t>
            </w:r>
          </w:p>
          <w:p w14:paraId="0853210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根据集成平台提供的接口的当日交互数据量，由高到低以表格的形式展示接口名称，当日消息量以及接口对消息的平均处理时常；</w:t>
            </w:r>
          </w:p>
          <w:p w14:paraId="48971DE6">
            <w:pPr>
              <w:spacing w:line="440" w:lineRule="exact"/>
              <w:ind w:firstLine="422" w:firstLineChars="200"/>
              <w:rPr>
                <w:rFonts w:cs="宋体" w:asciiTheme="majorEastAsia" w:hAnsiTheme="majorEastAsia" w:eastAsiaTheme="majorEastAsia"/>
                <w:color w:val="auto"/>
                <w:szCs w:val="21"/>
              </w:rPr>
            </w:pPr>
            <w:r>
              <w:rPr>
                <w:rFonts w:hint="eastAsia" w:cs="宋体" w:asciiTheme="majorEastAsia" w:hAnsiTheme="majorEastAsia" w:eastAsiaTheme="majorEastAsia"/>
                <w:b/>
                <w:bCs/>
                <w:color w:val="auto"/>
                <w:szCs w:val="21"/>
              </w:rPr>
              <w:t>平台任务列表：</w:t>
            </w:r>
          </w:p>
          <w:p w14:paraId="099A5F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以表格形式展示当前集成平台系统中存在的任务计划；</w:t>
            </w:r>
          </w:p>
          <w:p w14:paraId="2E7797D8">
            <w:pPr>
              <w:spacing w:line="440" w:lineRule="exact"/>
              <w:ind w:firstLine="422" w:firstLineChars="200"/>
              <w:rPr>
                <w:rFonts w:cs="宋体" w:asciiTheme="majorEastAsia" w:hAnsiTheme="majorEastAsia" w:eastAsiaTheme="majorEastAsia"/>
                <w:b/>
                <w:bCs/>
                <w:color w:val="auto"/>
                <w:szCs w:val="21"/>
              </w:rPr>
            </w:pPr>
            <w:r>
              <w:rPr>
                <w:rFonts w:hint="eastAsia" w:cs="宋体" w:asciiTheme="majorEastAsia" w:hAnsiTheme="majorEastAsia" w:eastAsiaTheme="majorEastAsia"/>
                <w:b/>
                <w:bCs/>
                <w:color w:val="auto"/>
                <w:szCs w:val="21"/>
              </w:rPr>
              <w:t>平台实时交互数量：</w:t>
            </w:r>
          </w:p>
          <w:p w14:paraId="41FFEEE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以柱状图形式展示平台当日各个时间段内的数据交互情况；</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提供运行产品监控（Ensemble Throughput），监控内容包括：运行产品的数量、目前暂停或出现问题的产品数量、在30秒内业务服务接收到的消息数量、最新传入的消息、在30秒内传出的消息数量、最新的传入消息；</w:t>
            </w:r>
          </w:p>
          <w:p w14:paraId="11404BF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提供产品运行工作的监控，监控内容包括：系统进程总数量、活跃的进程数量、外部访问的进程数量、最活跃的流程；</w:t>
            </w:r>
          </w:p>
          <w:p w14:paraId="5E1C82B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提供系统操作时间监控，如系统更新时间、备份时间；</w:t>
            </w:r>
          </w:p>
          <w:p w14:paraId="781B1AF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提供系统占用资源量监控，如服务器空间的占用量是否正常、锁表情况监控等；</w:t>
            </w:r>
          </w:p>
          <w:p w14:paraId="2369FD2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提供平台队列监控，监控平台上的消息队列，提供活跃队列数量和为处理信息数量；</w:t>
            </w:r>
          </w:p>
          <w:p w14:paraId="2A79F7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提供平台错误提示和警告功能，包括：严重的系统警报、平台警报、发生错误的数量；</w:t>
            </w:r>
          </w:p>
          <w:p w14:paraId="0EC7929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提供平台许可证情况监控，监控许可证是否到期等；</w:t>
            </w:r>
          </w:p>
          <w:p w14:paraId="06E775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提供任务管理器功能，可监控平台运行任务的名称、运行时间和运行状态；</w:t>
            </w:r>
          </w:p>
          <w:p w14:paraId="541F21DA">
            <w:pPr>
              <w:spacing w:line="440" w:lineRule="exact"/>
              <w:ind w:firstLine="420" w:firstLineChars="200"/>
              <w:rPr>
                <w:rFonts w:cs="宋体" w:asciiTheme="majorEastAsia" w:hAnsiTheme="majorEastAsia" w:eastAsiaTheme="majorEastAsia"/>
                <w:color w:val="auto"/>
                <w:szCs w:val="21"/>
              </w:rPr>
            </w:pPr>
          </w:p>
          <w:p w14:paraId="1BF9FEB2">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03" w:name="患者全息视图系统"/>
            <w:r>
              <w:rPr>
                <w:rFonts w:hint="eastAsia" w:cs="宋体" w:asciiTheme="majorEastAsia" w:hAnsiTheme="majorEastAsia" w:eastAsiaTheme="majorEastAsia"/>
                <w:color w:val="auto"/>
                <w:szCs w:val="21"/>
              </w:rPr>
              <w:t>患者全息视图系统</w:t>
            </w:r>
            <w:bookmarkEnd w:id="103"/>
          </w:p>
          <w:p w14:paraId="0C432B6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全息视图系统基于临床数据中心实现病人诊疗信息的统一展现，横向以时间轴的方式显示病人的体征、医嘱等信息，纵向是以诊疗事件顺序来显示相关诊病信息，如检验、检查报告、手术记录等信息，实现报告的趋势分析、历史报告对比分析等功能。整合了电子病历、护理系统、HIS、PACS、LIS等多个业务系统中的临床信息，以直观的形式展现出来。医技人员不需要跨系统就能轻松查看患者的临床信息，很好地解决了临床信息孤岛的问题。它不仅解决了临床信息整合的问题，还从多维度展现临床信息（不仅实现按就诊次数查看患者每次就诊的医嘱、检验、检查，以及病历文书等资料，还实现查看患者所有就诊次的同类临床信息，便于医技人员对患者的临床信息横向纵向查询比较），为临床人员的工作提供了便利。基于B/S架构，可以嵌入到任何业务系统中，包含但不限于医生站、医技系统、手术麻醉系统等。</w:t>
            </w:r>
          </w:p>
          <w:p w14:paraId="08402A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（1）就诊视图</w:t>
            </w:r>
          </w:p>
          <w:p w14:paraId="011EFB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就诊视图按照就诊时间及就诊科室维度，展示患者每次就诊的全部临床信息。</w:t>
            </w:r>
          </w:p>
          <w:p w14:paraId="336BDF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提供患者的诊断信息查看功能，诊断列表内可查询该患者历次在医院就诊时医生开具的诊断信息。</w:t>
            </w:r>
          </w:p>
          <w:p w14:paraId="507EA75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提供患者的医嘱信息查看功能，实现按医嘱查看医嘱执行信息。</w:t>
            </w:r>
          </w:p>
          <w:p w14:paraId="15E078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提供患者的检查报告查看功能，及PDF浏览功能；</w:t>
            </w:r>
          </w:p>
          <w:p w14:paraId="1F69D50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提供患者的检验报告查看功能，并实现检验项趋势分析功能；</w:t>
            </w:r>
          </w:p>
          <w:p w14:paraId="199956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提供患者的病历文书查看功能，病历档案包括患者在院所产生的病历、高拍文档资料；</w:t>
            </w:r>
          </w:p>
          <w:p w14:paraId="6227B0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提供患者的手术信息查看功能，查询患者历次所做的手术记录信息，包括门诊手术和住院手术。</w:t>
            </w:r>
          </w:p>
          <w:p w14:paraId="6872C55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提供患者的护理信息查看功能，包括护理记录单，患者体温单等</w:t>
            </w:r>
          </w:p>
          <w:p w14:paraId="09BAD7D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提供患者的过敏信息查看功能，查询患者历次就诊的过敏信息；</w:t>
            </w:r>
          </w:p>
          <w:p w14:paraId="08E4529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提供患者的费用明细查看功能，查询患者历次就诊的费用明细；</w:t>
            </w:r>
          </w:p>
          <w:p w14:paraId="51AF8CB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实现查看患者全部检验报告信息及指标项的预览和趋势分析，要求将患者的住院期间、门急诊期间、体检期间所产生的检验报告以患者为中心进行集成后进行综合展现；</w:t>
            </w:r>
          </w:p>
          <w:p w14:paraId="551303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（2）当前视图</w:t>
            </w:r>
          </w:p>
          <w:p w14:paraId="449A8E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异常检验指标及趋势图</w:t>
            </w:r>
          </w:p>
          <w:p w14:paraId="728E774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具备列出患者最后一次就诊中异常的检验指标信息，并可以查看检验指标的趋势图。</w:t>
            </w:r>
          </w:p>
          <w:p w14:paraId="203920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查看病历文书</w:t>
            </w:r>
          </w:p>
          <w:p w14:paraId="0F20B5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能够展现患者最后一次就诊的所有病历文书标题，并可以查看详细的病历文书内容</w:t>
            </w:r>
          </w:p>
          <w:p w14:paraId="2D7E404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查看医嘱</w:t>
            </w:r>
          </w:p>
          <w:p w14:paraId="78EF07F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能够展现患者最后一次就诊的所有药品医嘱，并可以查看该医嘱闭环的详细执行情况</w:t>
            </w:r>
          </w:p>
          <w:p w14:paraId="68B2BC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查看手术信息</w:t>
            </w:r>
          </w:p>
          <w:p w14:paraId="489C56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能够展现患者最后一次就诊的手术进度，并可以查看详细的手术记录</w:t>
            </w:r>
          </w:p>
          <w:p w14:paraId="45CF81D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查看检查报告</w:t>
            </w:r>
          </w:p>
          <w:p w14:paraId="583511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能够展现患者最后一次就诊的所有检查报告信息，并可以查看详细的检查报告内容</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 xml:space="preserve">   （3）分类视图</w:t>
            </w:r>
          </w:p>
          <w:p w14:paraId="751F051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实现按照临床信息的类型，查看患者所有次就诊的同类临床信息。</w:t>
            </w:r>
          </w:p>
          <w:p w14:paraId="245D3532">
            <w:pPr>
              <w:spacing w:line="440" w:lineRule="exact"/>
              <w:ind w:firstLine="420" w:firstLineChars="200"/>
              <w:rPr>
                <w:rFonts w:cs="宋体" w:asciiTheme="majorEastAsia" w:hAnsiTheme="majorEastAsia" w:eastAsiaTheme="majorEastAsia"/>
                <w:color w:val="auto"/>
                <w:szCs w:val="21"/>
              </w:rPr>
            </w:pPr>
            <w:bookmarkStart w:id="104" w:name="_Toc525660047"/>
            <w:r>
              <w:rPr>
                <w:rFonts w:hint="eastAsia" w:cs="宋体" w:asciiTheme="majorEastAsia" w:hAnsiTheme="majorEastAsia" w:eastAsiaTheme="majorEastAsia"/>
                <w:color w:val="auto"/>
                <w:szCs w:val="21"/>
              </w:rPr>
              <w:t>检查报告</w:t>
            </w:r>
            <w:bookmarkEnd w:id="104"/>
          </w:p>
          <w:p w14:paraId="253047C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患者历次就诊的所有检查报告，以时间倒序排列。</w:t>
            </w:r>
          </w:p>
          <w:p w14:paraId="61485EA3">
            <w:pPr>
              <w:spacing w:line="440" w:lineRule="exact"/>
              <w:ind w:firstLine="420" w:firstLineChars="200"/>
              <w:rPr>
                <w:rFonts w:cs="宋体" w:asciiTheme="majorEastAsia" w:hAnsiTheme="majorEastAsia" w:eastAsiaTheme="majorEastAsia"/>
                <w:color w:val="auto"/>
                <w:szCs w:val="21"/>
              </w:rPr>
            </w:pPr>
            <w:bookmarkStart w:id="105" w:name="_Toc525660048"/>
            <w:r>
              <w:rPr>
                <w:rFonts w:hint="eastAsia" w:cs="宋体" w:asciiTheme="majorEastAsia" w:hAnsiTheme="majorEastAsia" w:eastAsiaTheme="majorEastAsia"/>
                <w:color w:val="auto"/>
                <w:szCs w:val="21"/>
              </w:rPr>
              <w:t>检验报告</w:t>
            </w:r>
            <w:bookmarkEnd w:id="105"/>
          </w:p>
          <w:p w14:paraId="4DEF5DA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患者历次就诊的所有检验报告，以时间倒序排列。</w:t>
            </w:r>
          </w:p>
          <w:p w14:paraId="560B069C">
            <w:pPr>
              <w:spacing w:line="440" w:lineRule="exact"/>
              <w:ind w:firstLine="420" w:firstLineChars="200"/>
              <w:rPr>
                <w:rFonts w:cs="宋体" w:asciiTheme="majorEastAsia" w:hAnsiTheme="majorEastAsia" w:eastAsiaTheme="majorEastAsia"/>
                <w:color w:val="auto"/>
                <w:szCs w:val="21"/>
              </w:rPr>
            </w:pPr>
            <w:bookmarkStart w:id="106" w:name="_Toc525660049"/>
            <w:r>
              <w:rPr>
                <w:rFonts w:hint="eastAsia" w:cs="宋体" w:asciiTheme="majorEastAsia" w:hAnsiTheme="majorEastAsia" w:eastAsiaTheme="majorEastAsia"/>
                <w:color w:val="auto"/>
                <w:szCs w:val="21"/>
              </w:rPr>
              <w:t>手术记录</w:t>
            </w:r>
            <w:bookmarkEnd w:id="106"/>
          </w:p>
          <w:p w14:paraId="46B7949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患者历次就诊的所有手术记录，以时间倒序排列。</w:t>
            </w:r>
          </w:p>
          <w:p w14:paraId="0CA2730E">
            <w:pPr>
              <w:spacing w:line="440" w:lineRule="exact"/>
              <w:ind w:firstLine="420" w:firstLineChars="200"/>
              <w:rPr>
                <w:rFonts w:cs="宋体" w:asciiTheme="majorEastAsia" w:hAnsiTheme="majorEastAsia" w:eastAsiaTheme="majorEastAsia"/>
                <w:color w:val="auto"/>
                <w:szCs w:val="21"/>
              </w:rPr>
            </w:pPr>
            <w:bookmarkStart w:id="107" w:name="_Toc525660050"/>
            <w:r>
              <w:rPr>
                <w:rFonts w:hint="eastAsia" w:cs="宋体" w:asciiTheme="majorEastAsia" w:hAnsiTheme="majorEastAsia" w:eastAsiaTheme="majorEastAsia"/>
                <w:color w:val="auto"/>
                <w:szCs w:val="21"/>
              </w:rPr>
              <w:t>主要疾病诊断</w:t>
            </w:r>
            <w:bookmarkEnd w:id="107"/>
          </w:p>
          <w:p w14:paraId="7A66942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以时间轴方式展示患者历次就诊的诊断信息，医务人员可以很方便地了解到患者的病情发展情况。</w:t>
            </w:r>
          </w:p>
          <w:p w14:paraId="253D37FA">
            <w:pPr>
              <w:spacing w:line="440" w:lineRule="exact"/>
              <w:ind w:firstLine="420" w:firstLineChars="200"/>
              <w:rPr>
                <w:rFonts w:cs="宋体" w:asciiTheme="majorEastAsia" w:hAnsiTheme="majorEastAsia" w:eastAsiaTheme="majorEastAsia"/>
                <w:color w:val="auto"/>
                <w:szCs w:val="21"/>
              </w:rPr>
            </w:pPr>
            <w:bookmarkStart w:id="108" w:name="_Toc525660051"/>
            <w:r>
              <w:rPr>
                <w:rFonts w:hint="eastAsia" w:cs="宋体" w:asciiTheme="majorEastAsia" w:hAnsiTheme="majorEastAsia" w:eastAsiaTheme="majorEastAsia"/>
                <w:color w:val="auto"/>
                <w:szCs w:val="21"/>
              </w:rPr>
              <w:t>病历文书</w:t>
            </w:r>
            <w:bookmarkEnd w:id="108"/>
          </w:p>
          <w:p w14:paraId="23B0BAA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患者历次就诊的所有病历文书，以时间倒序排列，可按照病历名称或者病历内容关键字，对病历列表进行搜索。</w:t>
            </w:r>
          </w:p>
          <w:p w14:paraId="445039BB">
            <w:pPr>
              <w:spacing w:line="440" w:lineRule="exact"/>
              <w:ind w:firstLine="420" w:firstLineChars="200"/>
              <w:rPr>
                <w:rFonts w:cs="宋体" w:asciiTheme="majorEastAsia" w:hAnsiTheme="majorEastAsia" w:eastAsiaTheme="majorEastAsia"/>
                <w:color w:val="auto"/>
                <w:szCs w:val="21"/>
              </w:rPr>
            </w:pPr>
            <w:bookmarkStart w:id="109" w:name="_Toc525660052"/>
            <w:r>
              <w:rPr>
                <w:rFonts w:hint="eastAsia" w:cs="宋体" w:asciiTheme="majorEastAsia" w:hAnsiTheme="majorEastAsia" w:eastAsiaTheme="majorEastAsia"/>
                <w:color w:val="auto"/>
                <w:szCs w:val="21"/>
              </w:rPr>
              <w:t>口服药品</w:t>
            </w:r>
            <w:bookmarkEnd w:id="109"/>
          </w:p>
          <w:p w14:paraId="48D1C0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患者历次就诊的所有口服药品医嘱，以时间倒序排列。可以按医嘱开立时间及医嘱性质等对口服药品列表进行过滤，也可以按药品名称对口服药品列表进行搜索。</w:t>
            </w:r>
          </w:p>
          <w:p w14:paraId="5345613F">
            <w:pPr>
              <w:spacing w:line="440" w:lineRule="exact"/>
              <w:ind w:firstLine="420" w:firstLineChars="200"/>
              <w:rPr>
                <w:rFonts w:cs="宋体" w:asciiTheme="majorEastAsia" w:hAnsiTheme="majorEastAsia" w:eastAsiaTheme="majorEastAsia"/>
                <w:color w:val="auto"/>
                <w:szCs w:val="21"/>
              </w:rPr>
            </w:pPr>
            <w:bookmarkStart w:id="110" w:name="_Toc525660053"/>
            <w:r>
              <w:rPr>
                <w:rFonts w:hint="eastAsia" w:cs="宋体" w:asciiTheme="majorEastAsia" w:hAnsiTheme="majorEastAsia" w:eastAsiaTheme="majorEastAsia"/>
                <w:color w:val="auto"/>
                <w:szCs w:val="21"/>
              </w:rPr>
              <w:t>静脉药品</w:t>
            </w:r>
            <w:bookmarkEnd w:id="110"/>
          </w:p>
          <w:p w14:paraId="6F87DF5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患者历次就诊的所有静脉药品医嘱，以时间倒序排列，可按医嘱开立时间及医嘱性质等对口服药品列表进行过滤。也可以按药品名称对静脉药品列表进行搜索。</w:t>
            </w:r>
          </w:p>
          <w:p w14:paraId="3829D1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其他药品</w:t>
            </w:r>
          </w:p>
          <w:p w14:paraId="1BCCBE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患者历次就诊的所有其他药品医嘱，以时间倒序排列，可按医嘱开立时间及医嘱性质等对口服药品列表进行过滤。也可以按药品名称对其他药品列表进行搜索。</w:t>
            </w:r>
          </w:p>
          <w:p w14:paraId="681D0058">
            <w:pPr>
              <w:spacing w:line="440" w:lineRule="exact"/>
              <w:ind w:firstLine="420" w:firstLineChars="200"/>
              <w:rPr>
                <w:rFonts w:cs="宋体" w:asciiTheme="majorEastAsia" w:hAnsiTheme="majorEastAsia" w:eastAsiaTheme="majorEastAsia"/>
                <w:color w:val="auto"/>
                <w:szCs w:val="21"/>
              </w:rPr>
            </w:pPr>
            <w:bookmarkStart w:id="111" w:name="_Toc525660054"/>
            <w:r>
              <w:rPr>
                <w:rFonts w:hint="eastAsia" w:cs="宋体" w:asciiTheme="majorEastAsia" w:hAnsiTheme="majorEastAsia" w:eastAsiaTheme="majorEastAsia"/>
                <w:color w:val="auto"/>
                <w:szCs w:val="21"/>
              </w:rPr>
              <w:t>护理记录</w:t>
            </w:r>
            <w:bookmarkEnd w:id="111"/>
          </w:p>
          <w:p w14:paraId="5D488A2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提供患者历次就诊的护理记录信息查看功能；</w:t>
            </w:r>
          </w:p>
          <w:p w14:paraId="5DC2C7D5">
            <w:pPr>
              <w:spacing w:line="440" w:lineRule="exact"/>
              <w:ind w:left="357" w:leftChars="17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（4）体检视图</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按照体检时间维度，展示患者每次体检的全部体检报告信息；提供患者的体检报告首页、一般体检、内科、外科、眼科、耳鼻喉科的信息查看功能；</w:t>
            </w:r>
          </w:p>
          <w:p w14:paraId="3CD779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提供患者的体检检验报告查看功能，并实现检验项趋势分析功能；</w:t>
            </w:r>
          </w:p>
          <w:p w14:paraId="4D9B393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提供患者的体检检查报告查看功能，及PDF浏览功能；</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3、闭环管理</w:t>
            </w:r>
          </w:p>
          <w:p w14:paraId="7313AD75">
            <w:pPr>
              <w:spacing w:line="440" w:lineRule="exact"/>
              <w:ind w:left="361" w:leftChars="172"/>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(1）业务功能</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提供当前患者医嘱的展示功能；</w:t>
            </w:r>
          </w:p>
          <w:p w14:paraId="118CC7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提供临时医嘱的执行情况的功能；</w:t>
            </w:r>
          </w:p>
          <w:p w14:paraId="0FA76E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提供长期医嘱详细执行记录的功能；</w:t>
            </w:r>
          </w:p>
          <w:p w14:paraId="63B05C0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提供实时对医嘱全流程跟踪监控的功能；</w:t>
            </w:r>
          </w:p>
          <w:p w14:paraId="114A39A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展现具体执行点的执行时间和执行人；</w:t>
            </w:r>
          </w:p>
          <w:p w14:paraId="2EA8B0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根据医院的闭环业务，可配置中间追踪节点；</w:t>
            </w:r>
          </w:p>
          <w:p w14:paraId="70909B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可将相关系统中的数据采用链接的方式嵌入统一视图中。</w:t>
            </w:r>
          </w:p>
        </w:tc>
        <w:tc>
          <w:tcPr>
            <w:tcW w:w="379" w:type="pct"/>
            <w:tcBorders>
              <w:top w:val="single" w:color="auto" w:sz="4" w:space="0"/>
              <w:left w:val="single" w:color="auto" w:sz="4" w:space="0"/>
              <w:bottom w:val="single" w:color="auto" w:sz="4" w:space="0"/>
              <w:right w:val="single" w:color="auto" w:sz="4" w:space="0"/>
            </w:tcBorders>
            <w:vAlign w:val="center"/>
          </w:tcPr>
          <w:p w14:paraId="2EEB6CF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054D1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65172551">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7A0BBBF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闭环管理</w:t>
            </w:r>
          </w:p>
        </w:tc>
        <w:tc>
          <w:tcPr>
            <w:tcW w:w="3788" w:type="pct"/>
            <w:tcBorders>
              <w:top w:val="single" w:color="auto" w:sz="4" w:space="0"/>
              <w:left w:val="single" w:color="auto" w:sz="4" w:space="0"/>
              <w:bottom w:val="single" w:color="auto" w:sz="4" w:space="0"/>
              <w:right w:val="single" w:color="auto" w:sz="4" w:space="0"/>
            </w:tcBorders>
            <w:vAlign w:val="center"/>
          </w:tcPr>
          <w:p w14:paraId="351B683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1．闭环监测内容</w:t>
            </w:r>
          </w:p>
          <w:p w14:paraId="45DDF7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住院口服用药闭环追踪</w:t>
            </w:r>
          </w:p>
          <w:p w14:paraId="5E4DAD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住院静脉药物闭环追踪</w:t>
            </w:r>
          </w:p>
          <w:p w14:paraId="2E95916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住院其他用药闭环追踪</w:t>
            </w:r>
          </w:p>
          <w:p w14:paraId="10AE6C0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住院手术麻醉闭环追踪</w:t>
            </w:r>
          </w:p>
          <w:p w14:paraId="6C545A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住院检验标本闭环追踪</w:t>
            </w:r>
          </w:p>
          <w:p w14:paraId="516332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住院检查闭环追踪</w:t>
            </w:r>
          </w:p>
          <w:p w14:paraId="2534D9DC">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szCs w:val="21"/>
              </w:rPr>
              <w:t>住院</w:t>
            </w:r>
            <w:r>
              <w:rPr>
                <w:rFonts w:cs="宋体" w:asciiTheme="majorEastAsia" w:hAnsiTheme="majorEastAsia" w:eastAsiaTheme="majorEastAsia"/>
                <w:color w:val="auto"/>
                <w:szCs w:val="21"/>
              </w:rPr>
              <w:t>康复治疗闭环追踪</w:t>
            </w:r>
          </w:p>
          <w:p w14:paraId="3386ABF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门诊检查闭环追踪</w:t>
            </w:r>
          </w:p>
          <w:p w14:paraId="6E20680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门诊检验闭环追踪</w:t>
            </w:r>
          </w:p>
          <w:p w14:paraId="18C43C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门诊处方闭环追踪</w:t>
            </w:r>
          </w:p>
          <w:p w14:paraId="13EA82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重点业务临床用血闭环追踪</w:t>
            </w:r>
          </w:p>
          <w:p w14:paraId="3EF3CA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重点业务会诊闭环追踪</w:t>
            </w:r>
          </w:p>
          <w:p w14:paraId="37A05F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重点业务检验危急值闭环追踪</w:t>
            </w:r>
          </w:p>
          <w:p w14:paraId="147929F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重点业务检查危急值闭环追踪</w:t>
            </w:r>
          </w:p>
          <w:p w14:paraId="18869B6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重点业务入出转闭环追踪</w:t>
            </w:r>
          </w:p>
          <w:p w14:paraId="098727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重点业务消毒供应闭环追踪</w:t>
            </w:r>
          </w:p>
          <w:p w14:paraId="149059BB">
            <w:pPr>
              <w:spacing w:line="440" w:lineRule="exact"/>
              <w:ind w:left="361" w:leftChars="172"/>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重点业务手术器械闭环追踪</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2.危急值闭环</w:t>
            </w:r>
          </w:p>
          <w:p w14:paraId="2948F06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可在实验室检查、放射检查、核医学检查、超声波操作、磁共振成像、心电检查、病理检查、心脏诊断及床边诊断检查的各信息系统中设定危急值相关项目与标准。</w:t>
            </w:r>
          </w:p>
          <w:p w14:paraId="709DFE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检验结果达到或超过“危急值”界限时，提醒技师进行危急值复核；经复核确认为危急值后，即刻审核发布；如复核可能有样本、试剂、操作等影响因素时，可取消危急值提醒，但需即刻通知临床科室重新取样送检或检查。</w:t>
            </w:r>
          </w:p>
          <w:p w14:paraId="61058B4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通过短信、系统消息、电话等多种方式把患者病案号、姓名、科室、危急值结果等信息通知申请医生。要求实现重发消息，比如：患者转科之后，危急值结果才出来，这个时候就需要将消息发送到患者的管床医生处。</w:t>
            </w:r>
          </w:p>
          <w:p w14:paraId="37DFDB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要求提供语音或醒目的文字提示。</w:t>
            </w:r>
          </w:p>
          <w:p w14:paraId="79AC9AA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在接收到危急值通知后，必须在规定时间内做出对患者处置的诊疗意见，进行危急值处理登记，结束危急值通知；如在规定时间内没有危急值处置反馈，则逐级把消息通知发送给上级医生、科主任、主管院长等，直至完成危急值处理登记；如医生复查认为危急值报告结果不当，可通知医技科室工作人员取消危急值报告。</w:t>
            </w:r>
          </w:p>
          <w:p w14:paraId="422AFC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自动生成危急值登记本，以便管理部门抽查监督。</w:t>
            </w:r>
          </w:p>
          <w:p w14:paraId="52A158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与互联网医院实现对接，及时将危急值传输到互联网医院危急值管理界面，医生、护士在互联网医院进行危急值处理后，系统能够及时获取处置信息。</w:t>
            </w:r>
          </w:p>
          <w:p w14:paraId="6A4440F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（注：具体响应时间可根据医院实际情况进行设置）</w:t>
            </w:r>
          </w:p>
          <w:p w14:paraId="4D81145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3.药品闭环管理</w:t>
            </w:r>
          </w:p>
          <w:p w14:paraId="683BA6F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用药的闭环医嘱主要涉及病房医生、病房护士与药房药师之间的交互联动。</w:t>
            </w:r>
          </w:p>
          <w:p w14:paraId="40FDC9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从医生下达药品的医嘱信息开始，在保存医嘱时对用药合理性进行判断，判断条件有性别、年龄、过敏史、病生理状态、诊断、检验异常值等，能对药品之间的配伍禁忌和相互作用进行判断。</w:t>
            </w:r>
          </w:p>
          <w:p w14:paraId="5369DF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医嘱确认无误后，发送到护士站，护士执行医嘱校对，申请药房摆药。</w:t>
            </w:r>
          </w:p>
          <w:p w14:paraId="3E067F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药房接收到临床的摆药单，对药单进行审核，系统对其中的用药调用知识库进行合理性判断，对有问题的处方进行提示，确认无误后完成配药并发送到临床。</w:t>
            </w:r>
          </w:p>
          <w:p w14:paraId="2A7F24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护士工作站接收药品，对药品进行贴瓶签摆药等操作，对输注的药品必须严格执行配药流程，由移动护理工作站，辅助要求实现配药记录。</w:t>
            </w:r>
          </w:p>
          <w:p w14:paraId="294FE3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扫描患者的腕带和药品进行输注核对；不一致时，移动PDA进行报警；如果是高危药品，输注时能进行提示，注意滴速、输注时长等信息。</w:t>
            </w:r>
          </w:p>
          <w:p w14:paraId="18F0C4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输注期间护士进行巡视登记，对有出现不良反应的患者进行登记，以即时消息的方式通知临床医生进行相应处置，药品输注完成后要求实现拔针操作。</w:t>
            </w:r>
          </w:p>
          <w:p w14:paraId="2A0A80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医生站可以实时查看医嘱的执行状态，方便后续的治疗。</w:t>
            </w:r>
          </w:p>
          <w:p w14:paraId="55A83D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4．检查闭环管理</w:t>
            </w:r>
          </w:p>
          <w:p w14:paraId="5915D77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检查医嘱主要涉及病房医生、病房护士与检查科室之间的交互联动。</w:t>
            </w:r>
          </w:p>
          <w:p w14:paraId="17A18A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医生站下达检查医嘱，系统通过检查知识库判断当前医嘱是否合理，系统可查阅当前检查项目的注意事项。</w:t>
            </w:r>
          </w:p>
          <w:p w14:paraId="2B5F20F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确认无误后生成电子申请单，并提示医生为患者进行检查预约。医生结合患者的具体情况，选择适当的预约时间；系统根据预约预制规则自动给予警示和提醒。</w:t>
            </w:r>
          </w:p>
          <w:p w14:paraId="3E99375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预约成功后，通过短信平台或护士打印导诊单给患者，告知其检查时间、地点及注意事项。</w:t>
            </w:r>
          </w:p>
          <w:p w14:paraId="3EC216C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检查科室接收患者后，进行检查登录，可以查阅患者电子申请单、病历记录、医嘱用药、检查检验报告等信息。</w:t>
            </w:r>
          </w:p>
          <w:p w14:paraId="5B182B0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检查科室完成检查操作，调用检查报告模板，完成结构化检查报告，经由上级医生审核。</w:t>
            </w:r>
          </w:p>
          <w:p w14:paraId="5BC2DC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医护工作站可以实时查看检查的状态及报告状态。报告审核完成，医护工作站接收到即时消息。可以在工作站中根据患者姓名、住院号等信息检查查看患者的检查报告。</w:t>
            </w:r>
          </w:p>
          <w:p w14:paraId="350BADB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检查报告中能结合患者的历史检查结果进行综合警示提醒</w:t>
            </w:r>
          </w:p>
          <w:p w14:paraId="0DD910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5．检验闭环管理</w:t>
            </w:r>
          </w:p>
          <w:p w14:paraId="53A53BC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检验医嘱主要涉及病房医生、病房护士、送检人和检验科室之间的交互联动。</w:t>
            </w:r>
          </w:p>
          <w:p w14:paraId="397D219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医生下达检验医嘱，默认检验标本，系统通过检验合理性知识库判断当前所下的医嘱是否合理。</w:t>
            </w:r>
          </w:p>
          <w:p w14:paraId="09607D3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护士校对医生发送的医嘱信息，根据检验的申请项目打印标本的条码，贴在采集管上。</w:t>
            </w:r>
          </w:p>
          <w:p w14:paraId="7377321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护士在患者床边进行标本采集时，通过移动护理PDA的扫描确认采集管与患者是否一致；不一致时系统进行报警提示，减少医疗差错。</w:t>
            </w:r>
          </w:p>
          <w:p w14:paraId="161770D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采集标本的过程中，对特殊的检验项目会对患者是否空腹、是否用药进行判断，出现异常值时进行报警提示。</w:t>
            </w:r>
          </w:p>
          <w:p w14:paraId="5561EB2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护士对采集的标本进行打包处理，有护工或者相关责任人登记接收标本，将其运送到检验科室。由检验科室扫描接收并登记接收人和交接人。</w:t>
            </w:r>
          </w:p>
          <w:p w14:paraId="11CBA5A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检验科室对标本进行分组处理，扫描采血管上的条码，进行标本的检验和报告登记；系统要求提供自动审核功能，对不超出正常范围的数据进行自动判断，对异常值需要人工审核的进行单独列出。</w:t>
            </w:r>
          </w:p>
          <w:p w14:paraId="73C7579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出现危急值时，系统通过医院信息平台将数据推送到短信平台，以短信的方式通知相关责任人及时处理。</w:t>
            </w:r>
          </w:p>
          <w:p w14:paraId="3D3C0F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检验科室完成报告的审核后，医护站能实时查看患者的报告状态，并根据患者的历史检验结果生成历史趋势图和推荐疑似诊断，方便临床诊疗。</w:t>
            </w:r>
          </w:p>
          <w:p w14:paraId="22B3B8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6.手术闭环管理</w:t>
            </w:r>
          </w:p>
          <w:p w14:paraId="73FC03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手术医嘱主要涉及病房医生、病房护士、手术室和复苏室之间的交互联动。</w:t>
            </w:r>
          </w:p>
          <w:p w14:paraId="68108E2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医生下达手术医嘱，对患者的术前常规检查及对未完成的工作进行提示。</w:t>
            </w:r>
          </w:p>
          <w:p w14:paraId="71404D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根据手术医嘱，系统生成手术申请单，并对患者当前存在的异常值和危急值进行警示；由临床医生结合实际情况进行判断是否继续申请手术。</w:t>
            </w:r>
          </w:p>
          <w:p w14:paraId="0AF28F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涉及重大手术和非预期再次手术的，提醒需要完成重大手术申请审核和上级医师查房、进行术前讨论等内容。</w:t>
            </w:r>
          </w:p>
          <w:p w14:paraId="11A7052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手术经过各层级审核后，发送到手术排台系统进行排台工作。</w:t>
            </w:r>
          </w:p>
          <w:p w14:paraId="3C96AD7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手术室护士完成排台工作后，将排台信息发送到医护工作站，各角色进行患者的术前准备工作。</w:t>
            </w:r>
          </w:p>
          <w:p w14:paraId="091EF54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手术日，手术室去科室接手术患者，采用机读方式确认接收人员的一致性；手术患者运送到手术室，手术室进行接收登记，并记录患者所带物品等信息。</w:t>
            </w:r>
          </w:p>
          <w:p w14:paraId="0562A14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手术麻醉系统中记录患者手术开始、麻醉开始、手术结束、麻醉结束、复苏时间等信息。</w:t>
            </w:r>
          </w:p>
          <w:p w14:paraId="38BDA45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手术结束后患者送到复苏室，工作人员完成相关的记录，患者苏醒后由护工送回科室。</w:t>
            </w:r>
          </w:p>
          <w:p w14:paraId="34A6EE2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手术后，系统提示医生要在48小时内完成手术记录等内容。</w:t>
            </w:r>
          </w:p>
          <w:p w14:paraId="6C33D95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护士对术后患者进行监控，如果出现异常数据，以消息方式提醒医生进行相应处置，护士进行护理记录。</w:t>
            </w:r>
          </w:p>
          <w:p w14:paraId="1974CE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7．输血闭环管理</w:t>
            </w:r>
          </w:p>
          <w:p w14:paraId="7D3990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输血医嘱主要涉及病房医生、病房护士、输血科之间的交互联动。</w:t>
            </w:r>
          </w:p>
          <w:p w14:paraId="40BD51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医生根据患者诊断或者检验结果提示的输血适应证，进行新开输血医嘱操作。</w:t>
            </w:r>
          </w:p>
          <w:p w14:paraId="7EBA24C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输血系统要求提供严格的流程控制服务，首先必须完成输血的知情同意书，对患者进行输血前的评估，系统要求提供知识库判断，申请的血液制品的类型是否正确。</w:t>
            </w:r>
          </w:p>
          <w:p w14:paraId="3E95982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如果患者当次输血量或者24小时内的输血量超过8u，需要进行三级审批；只有审核通过后，才能发送输血的申请医嘱。</w:t>
            </w:r>
          </w:p>
          <w:p w14:paraId="2442941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输血申请发送到护士站进行校对，护士打印标本条码，使用PDA进行标本采集，将标本配送到输血科进行交叉配血操作。根据交叉配血的结果进行配血出库。</w:t>
            </w:r>
          </w:p>
          <w:p w14:paraId="122BB3D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护士站接收到输血科的配血完成通知，到输血科进行领血，由双人进行血液的出库操作，PDA记录出库人和接收人。</w:t>
            </w:r>
          </w:p>
          <w:p w14:paraId="4B0A89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血液运送到护士站，护士进行接收和再次确认工作，都必须是双人核对。确认无误后扫描患者腕带和血袋进行核对，确保用血的安全；核对无误后，进行输血执行。</w:t>
            </w:r>
          </w:p>
          <w:p w14:paraId="5438B32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输血过程中，护士进行不同时间段的巡视。患者出现不良反应时，使用移动护理进行登记，并将不良反应的信息以即时消息的方式通知医师和输血科。医师进行临床的处置，输血科对不良反应进行追踪。</w:t>
            </w:r>
          </w:p>
          <w:p w14:paraId="0D159FB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PDA执行的所有输血记录会同步到护士站的护理记录中，保持患者护理记录的完整性。</w:t>
            </w:r>
          </w:p>
          <w:p w14:paraId="1FE316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最后对输血进行结束操作，将空血袋进行回收和销毁。</w:t>
            </w:r>
          </w:p>
        </w:tc>
        <w:tc>
          <w:tcPr>
            <w:tcW w:w="379" w:type="pct"/>
            <w:tcBorders>
              <w:top w:val="single" w:color="auto" w:sz="4" w:space="0"/>
              <w:left w:val="single" w:color="auto" w:sz="4" w:space="0"/>
              <w:bottom w:val="single" w:color="auto" w:sz="4" w:space="0"/>
              <w:right w:val="single" w:color="auto" w:sz="4" w:space="0"/>
            </w:tcBorders>
            <w:vAlign w:val="center"/>
          </w:tcPr>
          <w:p w14:paraId="69C270B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6548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6B02DE2A">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20B0AFE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数据上报</w:t>
            </w:r>
          </w:p>
        </w:tc>
        <w:tc>
          <w:tcPr>
            <w:tcW w:w="3788" w:type="pct"/>
            <w:tcBorders>
              <w:top w:val="single" w:color="auto" w:sz="4" w:space="0"/>
              <w:left w:val="single" w:color="auto" w:sz="4" w:space="0"/>
              <w:bottom w:val="single" w:color="auto" w:sz="4" w:space="0"/>
              <w:right w:val="single" w:color="auto" w:sz="4" w:space="0"/>
            </w:tcBorders>
            <w:vAlign w:val="center"/>
          </w:tcPr>
          <w:p w14:paraId="310640B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12" w:name="传染病信息上报"/>
            <w:r>
              <w:rPr>
                <w:rFonts w:hint="eastAsia" w:cs="宋体" w:asciiTheme="majorEastAsia" w:hAnsiTheme="majorEastAsia" w:eastAsiaTheme="majorEastAsia"/>
                <w:color w:val="auto"/>
                <w:szCs w:val="21"/>
              </w:rPr>
              <w:t>.传染病信息上报</w:t>
            </w:r>
            <w:bookmarkEnd w:id="112"/>
          </w:p>
          <w:p w14:paraId="7F82E56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符合传染病（包括法定报告传染病、突发急性传染病等）、疑似传染病诊断标准的患者，以及各类突发公共卫生事件提供传染病和突发公共卫生事件直接网络直报或数据交换，实现上报卡登记、审核、统计，或直接网络上报。系统主要功能包括门诊传染病上报、院内传染病上报系统等。</w:t>
            </w:r>
          </w:p>
          <w:p w14:paraId="710037C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(1）传染病上报登记</w:t>
            </w:r>
          </w:p>
          <w:p w14:paraId="1916A5D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门诊：门诊医生在录入门诊诊断时，系统自动判断是否传染病，自动弹出传染病登记卡，也可以事后补填传染病登记卡。每天自动生成试用抗结核药物的患者信息报表、传染病登记统计表等。</w:t>
            </w:r>
          </w:p>
          <w:p w14:paraId="01A05C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住院在录入住院诊断时，系统自动判断是否传染病，自动弹出传染病登记卡，也可在专门窗口填写传染病报告卡。另外还提供死亡报告卡、恶性肿瘤、慢性病报告卡。每天自动生成出院诊断传染病明细报表、慢性非传染病疾病统计报表等。</w:t>
            </w:r>
          </w:p>
          <w:p w14:paraId="55F2D95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(2）暴发预警</w:t>
            </w:r>
          </w:p>
          <w:p w14:paraId="532CE5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此暴发预警会是针对实现维护好的规则进行预警，点击预警信息可以自动打开相关记录。</w:t>
            </w:r>
          </w:p>
          <w:p w14:paraId="64ECB7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(3）基础数据维护</w:t>
            </w:r>
          </w:p>
          <w:p w14:paraId="6BC9153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传染病诊断及相关信息维护</w:t>
            </w:r>
          </w:p>
          <w:p w14:paraId="732557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(4）统计查询</w:t>
            </w:r>
          </w:p>
          <w:p w14:paraId="035D0F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根据用户自定义条件进行统计查询，并实现查询结果的导出、打印功能。</w:t>
            </w:r>
          </w:p>
          <w:p w14:paraId="1015E8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13" w:name="重大非传染性疾病及死亡信息上报"/>
            <w:r>
              <w:rPr>
                <w:rFonts w:hint="eastAsia" w:cs="宋体" w:asciiTheme="majorEastAsia" w:hAnsiTheme="majorEastAsia" w:eastAsiaTheme="majorEastAsia"/>
                <w:color w:val="auto"/>
                <w:szCs w:val="21"/>
              </w:rPr>
              <w:t>.重大非传染性疾病及死亡信息上报</w:t>
            </w:r>
            <w:bookmarkEnd w:id="113"/>
          </w:p>
          <w:p w14:paraId="4B7393C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(1）重大疾病信息上报</w:t>
            </w:r>
          </w:p>
          <w:p w14:paraId="0FDB7B4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重大非传染性疾病（包括严重精神障碍、恶性肿瘤、职业病、高血压、糖尿病、慢阻肺以及急性心梗，脑卒中，心脏性猝死等心脑血管事件等）监测及死亡登记，与电子健康档案的数据交换。具备重大非传染性疾病患者信息及死亡登记信息的上报、审核、导出、数据交换等功能。</w:t>
            </w:r>
          </w:p>
          <w:p w14:paraId="775074EC">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上报流程审批：严重精神障碍、肿瘤、职业病等信息上报审批流程设置。规范严重精神障碍患者、肿瘤、职业病等信息上报流程，以及复核、审批的模板设置。</w:t>
            </w:r>
          </w:p>
          <w:p w14:paraId="5BB20755">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上报诊断触发：严重精神障碍、肿瘤、职业病等上报诊断触发。临床医生录入诊断为严重精神障碍、肿瘤、职业病患者信息自动触发上报。</w:t>
            </w:r>
          </w:p>
          <w:p w14:paraId="31B28B12">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患者信息采集：基于个人主索引、电子病历等，按照国家信息采集标准，采集患者基本信息、疾病信息。</w:t>
            </w:r>
          </w:p>
          <w:p w14:paraId="6D2CE710">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信息导出配置：配置导出文件类型、导出途径。</w:t>
            </w:r>
          </w:p>
          <w:p w14:paraId="05464231">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统计分析：对重大疾病信息上报情况进行统计分析。</w:t>
            </w:r>
          </w:p>
          <w:p w14:paraId="57B55D15">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质量控制管理：对于漏报情况进行监控和管理。</w:t>
            </w:r>
          </w:p>
          <w:p w14:paraId="10223D3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(2）死因信息上报</w:t>
            </w:r>
          </w:p>
          <w:p w14:paraId="6A254C5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实现死因信息采集、死因信息上报审批流程设置、死亡信息漏报补报流程等的管理。</w:t>
            </w:r>
          </w:p>
          <w:p w14:paraId="0D372337">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上报流程审批：死因信息上报审批流程设置。规范死因信息上报流程。</w:t>
            </w:r>
          </w:p>
          <w:p w14:paraId="4DC16F4D">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死因信息采集：基于个人主索引、电子病历等，按照国家相关数据标准采集死亡基本信息。</w:t>
            </w:r>
          </w:p>
          <w:p w14:paraId="796E245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死因信息上报卡导出配置：配置导出文件类型、导出途径。</w:t>
            </w:r>
          </w:p>
          <w:p w14:paraId="54284871">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质量控制：对于漏报情况进行监控和管理，并能对死亡信息漏报情况进行补报。</w:t>
            </w:r>
          </w:p>
          <w:p w14:paraId="3B0131A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14" w:name="HQMS数据上报"/>
            <w:r>
              <w:rPr>
                <w:rFonts w:hint="eastAsia" w:cs="宋体" w:asciiTheme="majorEastAsia" w:hAnsiTheme="majorEastAsia" w:eastAsiaTheme="majorEastAsia"/>
                <w:color w:val="auto"/>
                <w:szCs w:val="21"/>
              </w:rPr>
              <w:t>)HQMS数据上报</w:t>
            </w:r>
            <w:bookmarkEnd w:id="114"/>
          </w:p>
          <w:p w14:paraId="606530D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HQMS是卫健委医管司开展的医院质量监管信息网络直报工作。HQMS医院质量监测上报系统，是配合卫健委医管司实现对医院监测数据的采集、转换及上报，实现数据上传的实时性、准确性，提高数据上传质量。</w:t>
            </w:r>
          </w:p>
          <w:p w14:paraId="51B574F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提供字典映射功能。按照《住院病案首页数据采集接口标准》，进行病案首页原始数据与HQMS数据标准的映射。</w:t>
            </w:r>
          </w:p>
          <w:p w14:paraId="4569AA59">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提供结构化病案首页数据抽取功能。从电子病历结构化病案首页中自动抽取出医管司所需要病案首页原始数据。</w:t>
            </w:r>
          </w:p>
          <w:p w14:paraId="1F59D90C">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提供数据转换功能。根据字典映射结果，将抽取的病案首页原始数据按照字典映射进行转换.</w:t>
            </w:r>
          </w:p>
          <w:p w14:paraId="20293FA2">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提供DBF文件和打包功能。根据接口标准和开发说明书，将数据信息转换成dBaseIII格式的dbf文件，并压缩为zip文件。</w:t>
            </w:r>
          </w:p>
          <w:p w14:paraId="7F5BF5E1">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提供首页上报按照日期导出其他格式文件，包括CSV、Excel格式、Excel中文表头格式。</w:t>
            </w:r>
          </w:p>
          <w:p w14:paraId="065DA4D7">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提供数据上传管理功能。通过前置程序自动在每天规定的时间段将数据上传至医管司站点。</w:t>
            </w:r>
          </w:p>
          <w:p w14:paraId="5FBBD9D8">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按照最新的《广西全民健康信息平台互联互通接口规范》做相应的校验规则</w:t>
            </w:r>
            <w:r>
              <w:rPr>
                <w:rFonts w:cs="宋体" w:asciiTheme="majorEastAsia" w:hAnsiTheme="majorEastAsia" w:eastAsiaTheme="majorEastAsia"/>
                <w:color w:val="auto"/>
                <w:szCs w:val="21"/>
              </w:rPr>
              <w:t>。</w:t>
            </w:r>
          </w:p>
          <w:p w14:paraId="43D1B62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(4）食源性疾病信息上报</w:t>
            </w:r>
          </w:p>
          <w:p w14:paraId="4D30492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实现对食源性疾病病例信息的规范上报，保证食源性疾病报告的时效性、可靠性、准确性。具体功能包括：食源性疾病相关信息、患者病历摘要信息、食源性疾病统计等。</w:t>
            </w:r>
          </w:p>
          <w:p w14:paraId="2E447565">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食源性相关疾病信息：提供食源性相关疾病信息的采集和录入功能，食源性相关疾病信息包括病患基本信息、主要症状与体征、初步诊断、既往病史、暴露信息、生物标本采集、病例信息、填报机构信息记录等。食品分类、加工或包装方式、进食或购买场所类型等信息项有基础字典数据，供医生录入监测信息表时直接选择使用。进行重点信息项完整性及逻辑错误的校验提示。</w:t>
            </w:r>
          </w:p>
          <w:p w14:paraId="5072EE72">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病例摘要信息：提供疑似食源性异常与异常健康事件信息采集和录入功能，实现包括报告卡编号、病例序号、姓名、出生年月、性别、证件类型和证件号码、联系地址及电话、主要症状体征、实验室检查结果和辅助检查结果、主要诊断、可疑病因、可疑食品、上报原因等信息记录。进行重点信息项完整性及逻辑错误的校验提示。</w:t>
            </w:r>
          </w:p>
          <w:p w14:paraId="486BD1B5">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食源性疾病统计：实现在食源性疾病信息上报过程中，自动与上报系统进行编码对照，包括病例编码对照、标本编码对照、菌株编码对照3部分，根据医院信息系统中的规则进行编码对照后，将食源性疾病信息上报。</w:t>
            </w:r>
          </w:p>
          <w:p w14:paraId="69430E2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(5）市（区）人口健康信息上报</w:t>
            </w:r>
          </w:p>
          <w:p w14:paraId="4679DA0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根据市全民健康信息平台接口规范，完成与市（区）人口健康信息平台的对接，实现上传医院信息系统和电子病历系统数据。</w:t>
            </w:r>
          </w:p>
          <w:p w14:paraId="40148BA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15" w:name="医疗安全（不良）事件上报"/>
            <w:r>
              <w:rPr>
                <w:rFonts w:hint="eastAsia" w:cs="宋体" w:asciiTheme="majorEastAsia" w:hAnsiTheme="majorEastAsia" w:eastAsiaTheme="majorEastAsia"/>
                <w:color w:val="auto"/>
                <w:szCs w:val="21"/>
              </w:rPr>
              <w:t>）医疗安全（不良）事件上报</w:t>
            </w:r>
            <w:bookmarkEnd w:id="115"/>
          </w:p>
          <w:p w14:paraId="3FBD601D">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不良事件上报种类包括：医疗、药物、护理（跌倒坠床、压疮、管路滑脱、给药差错、难免性压疮申报）、医疗器械、感染性职业暴露、输血反应、后勤不良事件、信息不良事件等至少18种事件类型，并内置各类事件上报的表单模板；</w:t>
            </w:r>
          </w:p>
          <w:p w14:paraId="3155DCB0">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各类不良事件上报内容满足根据医院实际需求自定义修改，同时各项上报内容可灵活设置填写方式，最大程度减少填报人工作量；</w:t>
            </w:r>
          </w:p>
          <w:p w14:paraId="3EE00C38">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实现患者基本信息、药品信息和器械信息从第三方系统自动接入；</w:t>
            </w:r>
          </w:p>
          <w:p w14:paraId="190563F6">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实现填报内容的必填项进行控制；</w:t>
            </w:r>
          </w:p>
          <w:p w14:paraId="40499401">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实现用户查询自己上报的不良事件，可根据患者基本信息、时间、类别、状态查询到事件，并可快速定位到事件，对于已上报和已结案事件在首页位置提示；</w:t>
            </w:r>
          </w:p>
          <w:p w14:paraId="56E07267">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事件上报时实现上传附件功能；</w:t>
            </w:r>
          </w:p>
          <w:p w14:paraId="395A400B">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上报时可指定上报到具体人员或是部门；</w:t>
            </w:r>
          </w:p>
          <w:p w14:paraId="6AAD427A">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查询不良事件时，实现以时间轴形式展示，能清晰地显示事件处理进度，包括上报的时间、上报人、审核人等各种操作记录；</w:t>
            </w:r>
          </w:p>
          <w:p w14:paraId="2BD1BD45">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实现科室讨论填写、表单打印和反馈单打印；</w:t>
            </w:r>
          </w:p>
          <w:p w14:paraId="0389083E">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实现同一类事件的鱼骨图分析，可以协助医院发现该类事件发生的原因；</w:t>
            </w:r>
          </w:p>
          <w:p w14:paraId="37FB677F">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实现事件暂存，事件完善后继续上报的功能。</w:t>
            </w:r>
          </w:p>
          <w:p w14:paraId="3EF5A98D">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事件处理</w:t>
            </w:r>
          </w:p>
          <w:p w14:paraId="3B36E442">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待处理事件在登录首页能显示，方便快速处理；</w:t>
            </w:r>
          </w:p>
          <w:p w14:paraId="4420739F">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能够根据事件类型、患者姓名、发生科室、未处理天数、是否抄送等对事件进行查询和导出操作；</w:t>
            </w:r>
          </w:p>
          <w:p w14:paraId="30D16D09">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对已上报的不良事件能够查看事件上报的详细信息，填写原因分析以及整改措施等；</w:t>
            </w:r>
          </w:p>
          <w:p w14:paraId="67D9E923">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事件处理人员能对上报的事件内容直接进行修改，系统能查看事件修改前后的内容对比；</w:t>
            </w:r>
          </w:p>
          <w:p w14:paraId="3EEF3485">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事件处理人员能根据事件发生情况进行事件再分派；</w:t>
            </w:r>
          </w:p>
          <w:p w14:paraId="66A7574F">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待处理事件及新上报事件具备电脑端闪烁提醒功能。</w:t>
            </w:r>
          </w:p>
          <w:p w14:paraId="7001EADE">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统计分析</w:t>
            </w:r>
          </w:p>
          <w:p w14:paraId="06F444AE">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系统具有统计分析功能，可以针对不良事件的类别、上报时间、发生科室、级别、处理响应时间等进行分析，生成统计报表；</w:t>
            </w:r>
          </w:p>
          <w:p w14:paraId="11E1904B">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可以按年度、季度、月度以及时间区间进行查询；</w:t>
            </w:r>
          </w:p>
          <w:p w14:paraId="26FC466A">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实现根据上报时间、事件类型进行查询统计；</w:t>
            </w:r>
          </w:p>
          <w:p w14:paraId="5D06168D">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系统具备自定义查询功能，能根据时间、事件、事件内容自定义查询；</w:t>
            </w:r>
          </w:p>
          <w:p w14:paraId="7E738461">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实现数据钻取功能，方便查看具体数据来源；</w:t>
            </w:r>
          </w:p>
          <w:p w14:paraId="2C702033">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实现报表和图表结合展示，同时实现导出excel、PDF格式。</w:t>
            </w:r>
          </w:p>
          <w:p w14:paraId="3D74F1D5">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系统管理</w:t>
            </w:r>
          </w:p>
          <w:p w14:paraId="270A0611">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实现根据不同事件类型设置不同的事件上报审核流程；</w:t>
            </w:r>
          </w:p>
          <w:p w14:paraId="1AC8A7CB">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能够实现不良事件类型的扩展，满足医院不良事件类型要求；</w:t>
            </w:r>
          </w:p>
          <w:p w14:paraId="0B68B229">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系统具有系统设置模块，包括科室管理、用户管理、公告管理，页面设置、参数设置、审核信息设置以及处理反馈，可以方便快速地对系统进行维护；</w:t>
            </w:r>
          </w:p>
          <w:p w14:paraId="124231DD">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系统具有内部公告功能（如当前待处理事件），能实现内部公告的发布；</w:t>
            </w:r>
          </w:p>
          <w:p w14:paraId="1B103A7B">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系统能够保证数据的安全性，具有数据备份和数据还原的功能；</w:t>
            </w:r>
          </w:p>
          <w:p w14:paraId="748DF09F">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系统具有开放性，具备良好的输入输出接口，可为医院的HIS等数据提供接口，能够实现与医院其他系统进行联合使用；</w:t>
            </w:r>
          </w:p>
          <w:p w14:paraId="310C2A65">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系统首页显示出医院各类事件比例图、每月事件上报例数图、全院各科室上报例数、全院各类事件发生例数等；</w:t>
            </w:r>
          </w:p>
          <w:p w14:paraId="3DDA19F7">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实现微信、短信等事件处理提醒功能；</w:t>
            </w:r>
          </w:p>
          <w:p w14:paraId="664B6EF8">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实现匿名上报、同一用户切换用户角色登录功能；</w:t>
            </w:r>
          </w:p>
          <w:p w14:paraId="2904C056">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实现手机端事件上报和处理功能；</w:t>
            </w:r>
          </w:p>
          <w:p w14:paraId="27FAF946">
            <w:pPr>
              <w:numPr>
                <w:ilvl w:val="0"/>
                <w:numId w:val="5"/>
              </w:num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 包含风险评估管理。</w:t>
            </w:r>
          </w:p>
        </w:tc>
        <w:tc>
          <w:tcPr>
            <w:tcW w:w="379" w:type="pct"/>
            <w:tcBorders>
              <w:top w:val="single" w:color="auto" w:sz="4" w:space="0"/>
              <w:left w:val="single" w:color="auto" w:sz="4" w:space="0"/>
              <w:bottom w:val="single" w:color="auto" w:sz="4" w:space="0"/>
              <w:right w:val="single" w:color="auto" w:sz="4" w:space="0"/>
            </w:tcBorders>
            <w:vAlign w:val="center"/>
          </w:tcPr>
          <w:p w14:paraId="34187EB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7EB4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bottom w:val="single" w:color="auto" w:sz="4" w:space="0"/>
              <w:right w:val="single" w:color="auto" w:sz="4" w:space="0"/>
            </w:tcBorders>
            <w:vAlign w:val="center"/>
          </w:tcPr>
          <w:p w14:paraId="288E4627">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58B38BE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医院决策支持系统</w:t>
            </w:r>
          </w:p>
        </w:tc>
        <w:tc>
          <w:tcPr>
            <w:tcW w:w="3788" w:type="pct"/>
            <w:tcBorders>
              <w:top w:val="single" w:color="auto" w:sz="4" w:space="0"/>
              <w:left w:val="single" w:color="auto" w:sz="4" w:space="0"/>
              <w:bottom w:val="single" w:color="auto" w:sz="4" w:space="0"/>
              <w:right w:val="single" w:color="auto" w:sz="4" w:space="0"/>
            </w:tcBorders>
            <w:vAlign w:val="center"/>
          </w:tcPr>
          <w:p w14:paraId="228185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16" w:name="BI报表中间件"/>
            <w:r>
              <w:rPr>
                <w:rFonts w:hint="eastAsia" w:cs="宋体" w:asciiTheme="majorEastAsia" w:hAnsiTheme="majorEastAsia" w:eastAsiaTheme="majorEastAsia"/>
                <w:color w:val="auto"/>
                <w:szCs w:val="21"/>
              </w:rPr>
              <w:t>.BI报表中间件</w:t>
            </w:r>
            <w:bookmarkEnd w:id="116"/>
          </w:p>
          <w:p w14:paraId="314036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）中间件设计</w:t>
            </w:r>
          </w:p>
          <w:p w14:paraId="7E0F452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中间件开发界面友好，集数据展示（报表）和数据录入(填报)功能于一身，开发效率快，操作简单易用。</w:t>
            </w:r>
          </w:p>
          <w:p w14:paraId="0055A04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）多源数据关联</w:t>
            </w:r>
          </w:p>
          <w:p w14:paraId="440993B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中间件提供了异构数据源模型，可以进行多源数据关联，使得同一张报表的数据可以来源于同一数据库的多个不同表，或多个不同数据库。</w:t>
            </w:r>
          </w:p>
          <w:p w14:paraId="40EB736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2.提供数据仓库（DW)、数据集市，实现多种分析，如下：</w:t>
            </w:r>
          </w:p>
          <w:p w14:paraId="4317D4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17" w:name="数据仓库"/>
            <w:r>
              <w:rPr>
                <w:rFonts w:hint="eastAsia" w:cs="宋体" w:asciiTheme="majorEastAsia" w:hAnsiTheme="majorEastAsia" w:eastAsiaTheme="majorEastAsia"/>
                <w:color w:val="auto"/>
                <w:szCs w:val="21"/>
              </w:rPr>
              <w:t>）数据仓库</w:t>
            </w:r>
            <w:bookmarkEnd w:id="117"/>
          </w:p>
          <w:p w14:paraId="1F17360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星形架构设计数据仓库，数据仓库的数据是以特定的、针对某个主题的方式进行数据存储，所存储的数据依据分析的需求，采用中度或者高度聚合，数据仓库的数据相当于事实表所存储的数据。根据分析需求不同，数据仓库的主题领域按照一级分类可分为工作量分析、卫生经济分析、用药分析、重返类分析、死亡类分析、重点病种与手术分析这几大类，每个大类还可以具体细分出不同的二级分类，比如工作量分析包含门诊、住院、手术、医技的工作量业务分析。</w:t>
            </w:r>
          </w:p>
          <w:p w14:paraId="6B17410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（2）数据集市</w:t>
            </w:r>
          </w:p>
          <w:p w14:paraId="3F353E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集市实现医院运营管理和医疗质量管理KPI监管指标的内置，指标包含业务量、收入、工作效率、感染、合理用药主题。实现通过数据校验机制保障前台展示数据和业务系统数据以及相关外挂报表数据口径的一致性。实现包括院区、时间、时段、科室、科室扩展、标志、事实多维度模型。实现包括门诊业务、门诊费用、门诊效率、住院业务、住院收入、住院效率、住院医保宽表模型。实现包括门诊业务、门诊费用、门诊效率、住院业务、住院收入、住院效率、住院医保事实表模型。实现包括按年、季度、月度、院区、科室、医生统计的汇总表模型等。</w:t>
            </w:r>
          </w:p>
          <w:p w14:paraId="7B957AD6">
            <w:pPr>
              <w:spacing w:line="440" w:lineRule="exact"/>
              <w:ind w:firstLine="420" w:firstLineChars="200"/>
              <w:rPr>
                <w:rFonts w:asciiTheme="majorEastAsia" w:hAnsiTheme="majorEastAsia" w:eastAsiaTheme="majorEastAsia"/>
                <w:color w:val="auto"/>
                <w:kern w:val="0"/>
                <w:szCs w:val="21"/>
              </w:rPr>
            </w:pPr>
            <w:r>
              <w:rPr>
                <w:rFonts w:hint="eastAsia" w:asciiTheme="majorEastAsia" w:hAnsiTheme="majorEastAsia" w:eastAsiaTheme="majorEastAsia"/>
                <w:color w:val="auto"/>
                <w:szCs w:val="21"/>
              </w:rPr>
              <w:t>提供全院各医技科室检查人次、治疗人次、医生工作量等统计报表</w:t>
            </w:r>
            <w:r>
              <w:rPr>
                <w:rFonts w:asciiTheme="majorEastAsia" w:hAnsiTheme="majorEastAsia" w:eastAsiaTheme="majorEastAsia"/>
                <w:color w:val="auto"/>
                <w:szCs w:val="21"/>
              </w:rPr>
              <w:t>。</w:t>
            </w:r>
          </w:p>
          <w:p w14:paraId="6E5B67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18" w:name="主题医院医疗概况"/>
            <w:r>
              <w:rPr>
                <w:rFonts w:hint="eastAsia" w:cs="宋体" w:asciiTheme="majorEastAsia" w:hAnsiTheme="majorEastAsia" w:eastAsiaTheme="majorEastAsia"/>
                <w:color w:val="auto"/>
                <w:szCs w:val="21"/>
              </w:rPr>
              <w:t>.医院医疗概况</w:t>
            </w:r>
            <w:bookmarkEnd w:id="118"/>
          </w:p>
          <w:p w14:paraId="5BE484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医疗概况以系统决策首页的方式展示，在首页上以地图的方式分析门急诊的病人来源以及住院的病人来源，了解医院的业务辐射范围。另外，汇聚了重点关注指标内容，可以根据不同时间类型的选择快速响应指标的查询结果。通过首页，可以以丰富内容展现医院医疗情况，同时用户可直接掌握医院业务开展基本情况，辅助对医疗工作开展和决策制定。</w:t>
            </w:r>
          </w:p>
          <w:p w14:paraId="10D4F9E5">
            <w:pPr>
              <w:spacing w:line="440" w:lineRule="exact"/>
              <w:ind w:firstLine="420" w:firstLineChars="200"/>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具备通过分析门诊业务情况、门诊收费情况、门诊药品使用情况自动生成有数据、有分析、有结论的专业智能数据分析报告功能。</w:t>
            </w:r>
          </w:p>
          <w:p w14:paraId="4A1B91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119" w:name="主题工作量分析"/>
            <w:r>
              <w:rPr>
                <w:rFonts w:hint="eastAsia" w:cs="宋体" w:asciiTheme="majorEastAsia" w:hAnsiTheme="majorEastAsia" w:eastAsiaTheme="majorEastAsia"/>
                <w:color w:val="auto"/>
                <w:szCs w:val="21"/>
              </w:rPr>
              <w:t>.工作量分析</w:t>
            </w:r>
            <w:bookmarkEnd w:id="119"/>
          </w:p>
          <w:p w14:paraId="37C1806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（1）门诊</w:t>
            </w:r>
          </w:p>
          <w:p w14:paraId="48DCD5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门急诊人次分析：分别以柱状图、饼图、曲线图不同的方式展示全院总门急诊人次、科室门急诊量排行以及相关的挂号类型和对应趋势内容，并实现关键指标从全院到科室再到医生的层级下钻分析。</w:t>
            </w:r>
          </w:p>
          <w:p w14:paraId="05C7B85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诊断排行分析：通过趋势图、柱形图、表格方式，通过联动分析，分析门急诊诊断的排行，了解不同诊断的趋势情况，并通过同环比分析，掌握前二诊断的变化情况。同时可以选择不同的科室分析诊断的排行情况，方便对医院各科室对收诊患者的病种管理。</w:t>
            </w:r>
          </w:p>
          <w:p w14:paraId="7A21C0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挂号类型分析：分别以柱状图、曲线图不同的方式展示全院门急诊人次相关的挂号类型情况，并能够查看不同挂号类型的趋势。另外，可以选择不同的科室进行挂号类型的分析。实现关键指标从全院到科室的层级下钻分析。</w:t>
            </w:r>
          </w:p>
          <w:p w14:paraId="69FDD5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医保自费分析：分别以仪表盘、曲线图不同的方式展示全院门急诊医保人次、非医保人次及非医保病人占比情况，可以选择不同的科室进行医保自费的分析。实现关键指标从全院到科室再到医生的层级下钻分析。</w:t>
            </w:r>
          </w:p>
          <w:p w14:paraId="6DAE62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病人组成分析：分别以柱状图、饼图、趋势图、曲线图、联动不同的方式展示病人的来源情况。可以根据不同的地域、性别、年龄段、挂号类型、保险类型的不同的角度分析病来的来源情况。有效了解医院的主要病人情况，且了解来院就诊的人群的疾病排行内容。</w:t>
            </w:r>
          </w:p>
          <w:p w14:paraId="5764C1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（2）住院</w:t>
            </w:r>
          </w:p>
          <w:p w14:paraId="2CDAD861">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出院人次数分析：分别以柱状图、饼图、曲线图不同的方式展示全院总出院人次、科室出院人次排行以及相关的费用类型和对应趋势内容，并实现关键指标从全院到科室再到医生的层级下钻分析。</w:t>
            </w:r>
          </w:p>
          <w:p w14:paraId="78D4BA4B">
            <w:pPr>
              <w:spacing w:line="440" w:lineRule="exact"/>
              <w:ind w:left="34" w:leftChars="16"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入院人次数分析：分别以柱状图、饼图、曲线图不同的方式展示全院总入院人次、科室入院人次排行以及相关的费用类型和对应趋势内容，并实现关键指标从全院到科室再到医生的层级下钻分析。</w:t>
            </w:r>
          </w:p>
          <w:p w14:paraId="715A37B9">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出院诊断排行分析：通过趋势图、柱形图、表格方式，通过联动分析，分析出院诊断的排行，了解出院诊断的趋势情况，并通过同环比分析，掌握前二诊断的变化情况。</w:t>
            </w:r>
          </w:p>
          <w:p w14:paraId="34766544">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自动出院率分析：通过饼图、条形图、趋势不同展示方式分析医院自动出院率，及出院人次的疾病转归情况，并实现指标从全院到科室再到医生的层级下钻分析。</w:t>
            </w:r>
          </w:p>
          <w:p w14:paraId="0E35C6BF">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种出院人次分析：以病种出发，通过表格、饼图、柱状图、趋势不同可视化方式分析医院各病种的出院情况、疾病转归情况；并实现指标从全院到科室的层级下钻分析。同时可以选择不同的科室分析诊断的排行情况，方便对医院各科室对收诊患者的病种管理。</w:t>
            </w:r>
          </w:p>
          <w:p w14:paraId="51A9E0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（3）手术</w:t>
            </w:r>
          </w:p>
          <w:p w14:paraId="5D97FABE">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住院手术台数分析：分别以柱状图、饼图、曲线图不同的方式展示住院手术台数、手术类型、科室住院手术台数排行以及手术名称排行前5的TOP分析容，并实现关键指标从全院到科室再到医生的层级下钻分析。</w:t>
            </w:r>
          </w:p>
          <w:p w14:paraId="258E0F70">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二、三、四级手术比例分析：分别以柱状图、饼图、曲线图不同的方式展示全院三四级手术比例、科室三四级手术工比例情况以及全院手术排行前5的TOP分析容，并实现关键指标从全院到科室再到医生的层级下钻分析。</w:t>
            </w:r>
          </w:p>
          <w:p w14:paraId="44A36C6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住院手术排行分析：通过分析手术排行情况，掌握医院的主要手术谱。了解医院的手术谱情况，对医院病种的发展趋势变化有整体的了解，并能够下钻查看各个科室的手术谱情况。</w:t>
            </w:r>
          </w:p>
          <w:p w14:paraId="1AA348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（4）医技</w:t>
            </w:r>
          </w:p>
          <w:p w14:paraId="5FD00EC6">
            <w:pPr>
              <w:spacing w:line="440" w:lineRule="exact"/>
              <w:ind w:left="34" w:leftChars="16"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工作量分析：分别以柱状图、饼图、曲线图不同的方式展示全院检查工作情况、检查项目收入、平均检查收入、医师人均检查量指标进行分析，对各类型检查项目进行TOP分析，了解全院的检查工作量情况，并实现关键指标从全院到科室再到医生的层级下钻分析。</w:t>
            </w:r>
          </w:p>
          <w:p w14:paraId="52EE86D1">
            <w:pPr>
              <w:spacing w:line="440" w:lineRule="exact"/>
              <w:ind w:left="34" w:leftChars="16"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工作量分析：分别以柱状图、饼图、曲线图不同的方式展示全院检验工作情况、检验项目收入、平均检验收入、医师人均检验量指标进行分析，对各类型检查项目进行TOP分析，了解全院的检验工作量情况，并实现关键指标从全院到科室再到医生的层级下钻分析。</w:t>
            </w:r>
          </w:p>
          <w:p w14:paraId="07195BB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120" w:name="主题卫生经济分析"/>
            <w:r>
              <w:rPr>
                <w:rFonts w:hint="eastAsia" w:cs="宋体" w:asciiTheme="majorEastAsia" w:hAnsiTheme="majorEastAsia" w:eastAsiaTheme="majorEastAsia"/>
                <w:color w:val="auto"/>
                <w:szCs w:val="21"/>
              </w:rPr>
              <w:t>.卫生经济分析</w:t>
            </w:r>
            <w:bookmarkEnd w:id="120"/>
          </w:p>
          <w:p w14:paraId="733CA7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（1）医疗收入</w:t>
            </w:r>
          </w:p>
          <w:p w14:paraId="776B94C6">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收入增长率分析：分别以饼图、曲线图不同的方式对医疗收入增长率的趋势、目标达成情况、科室排行及医疗收入构成进行分析，了解全院医疗收入情况，并实现关键指标从全院到科室的层级下钻分析。另外，提供了医疗收入增长率的自助分析功能，主要从医疗收入占比出发，用户可以自行通过时间维度、收入构成、医院片区、业务领域维度自定义组合查询各科室医疗收入构成（药品、材料、检查、检验、医疗服务）占比情况。</w:t>
            </w:r>
          </w:p>
          <w:p w14:paraId="12A8318B">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收入结构分析：主要从医疗收入结构出发（药品收入、医疗服务性收入、卫生材料收入、检查检验收入、体检收入），通过收入占比趋势联动分析、同期增减情况、下钻科室明细，帮助医院管理者清晰地掌握医院当前收入结构达成情况，实现医院战略规划跟进和提前调控的作用。另外，提供了医疗收入占比的自助分析功能，主要从医疗收入占比出发，用户可自行通过时间维度、收入构成、医院片区、科室维度自定义组合查询各科室医疗收入组成（药品、材料、检查、检验、医疗服务）占比情况。</w:t>
            </w:r>
          </w:p>
          <w:p w14:paraId="4B27CE9A">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总收入分析：分别以柱状图、饼图、曲线图不同的方式展示医疗总收入指标，查看全院的医疗总收入情况，且能够按照门诊、住院不同费用类别进行分析；并实现关键指标从全院到科室再到医生的层级下钻分析。</w:t>
            </w:r>
          </w:p>
          <w:p w14:paraId="683C75A7">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门诊收入分析：分别以柱状图、饼图、曲线图不同的方式分析门诊收入指标，查看门诊收入情况，且能够按照不同费用类别进行分析。并实现关键指标从全院到科室再到医生的层级下钻分析。</w:t>
            </w:r>
          </w:p>
          <w:p w14:paraId="1B3BB2EE">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住院收入分析：分别以柱状图、饼图、曲线图不同的方式展示住院收入指标，查看住院收入情况，且能够按照不同费用类比进行分析。并实现关键指标从全院到科室再到医生的层级下钻分析。</w:t>
            </w:r>
          </w:p>
          <w:p w14:paraId="6FAB6658">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床日收入分析：分别以条形图、趋势图不同展示方式分析床日收入的科室排行、趋势和同期对比情况；并可以实现指标从全院到科室的层级下钻分析。</w:t>
            </w:r>
          </w:p>
          <w:p w14:paraId="7B762C5B">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药品卫生材料占比分析：分别以柱状图、饼图、曲线图不同的方式展示药品与卫生材料占比，分析药品与卫生材料占比的同环比、趋势情况，并实现指标从全院到科室层级下钻分析。</w:t>
            </w:r>
          </w:p>
          <w:p w14:paraId="1500491E">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检查检验占比分析：分别以柱状图、饼图、曲线图不同的方式展示检查检验占比，分析检查检验占比的同环比、趋势情况，并实现指标从全院到科室再到医生的层级下钻分析。</w:t>
            </w:r>
          </w:p>
          <w:p w14:paraId="184D699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（2）工作效率</w:t>
            </w:r>
          </w:p>
          <w:p w14:paraId="6666143A">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均住院天数分析：分别以柱状图、饼图、曲线图不同的方式展示全院的平均住院天数。并能够提供下钻到不同科室、医疗小组或医生的平均住院天数，加强对院级优先级指标的管理。另外，能够进行下钻各科室发现各科室的病种的平均住院日排行以及各科室的出院患者的诊断排行。为后续平均住院日的管理提供方便。</w:t>
            </w:r>
          </w:p>
          <w:p w14:paraId="28D85667">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床使用率分析：主要以柱状图、曲线图不同的方式展示全院的床位使用情况，通过实际开放床位数、实际占用总床日数相关指标分析。对全院以及科室的床位使用情况进行深入分析对比，发现床位设置较为不合理的情况，并辅助进行改正。</w:t>
            </w:r>
          </w:p>
          <w:p w14:paraId="76E2EED2">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日间手术率分析：分别以柱状图、饼图、曲线图不同的方式展示全院日间手术率、日间手术率的趋势情况以及全院日间手术率科室排行前5的TOP分析，并实现关键指标从全院到科室再到医生的层级下钻分析。</w:t>
            </w:r>
          </w:p>
          <w:p w14:paraId="4F625A49">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平均每医生门诊人次分析：分别以条形图、趋势图不同的展示方式分析每医生门诊人次同期对比、趋势、科室排行分析医院医生门诊工作情况，并实现指标从全院到科室层级下钻分析。</w:t>
            </w:r>
          </w:p>
          <w:p w14:paraId="4D65B08A">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平均每医生出院人次分析：分别以条形图、趋势图不同的展示方式分析每医生出院人次同期对比、趋势以及科室排行分析医院住院负荷释放情况，并实现指标从全院到科室层级下钻分析。</w:t>
            </w:r>
          </w:p>
          <w:p w14:paraId="0E7B54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（3）次均费用</w:t>
            </w:r>
          </w:p>
          <w:p w14:paraId="39CFC3DC">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人次均门急诊费用分析：分别以柱状图、饼图、曲线图不同的方式展示每门急诊人次费用，了解患者的门急诊费用负担水平。并实现关键指标从全院到科室再到医生的层级下钻分析。</w:t>
            </w:r>
          </w:p>
          <w:p w14:paraId="1F05D561">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人次均住院费用分析：以柱状图、饼图、曲线图不同的方式展示住院人均费用，了解患者的住院费用负担水平。并实现关键指标从全院到科室再到医生的层级下钻分析。</w:t>
            </w:r>
          </w:p>
          <w:p w14:paraId="1FBC094F">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住院患者次均药费分析：以柱状图、曲线图不同的方式展示住院次均费用，了解患者的住院药品费用负担水平。</w:t>
            </w:r>
          </w:p>
          <w:p w14:paraId="0F19BBBB">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门急诊患者次均药费分析：以柱状图、曲线图不同的方式展示门急诊次均费用，了解患者的门急诊药品费用负担水平。</w:t>
            </w:r>
          </w:p>
          <w:p w14:paraId="3EF75DC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21" w:name="主题用药分析"/>
            <w:r>
              <w:rPr>
                <w:rFonts w:hint="eastAsia" w:cs="宋体" w:asciiTheme="majorEastAsia" w:hAnsiTheme="majorEastAsia" w:eastAsiaTheme="majorEastAsia"/>
                <w:color w:val="auto"/>
                <w:szCs w:val="21"/>
              </w:rPr>
              <w:t>.用药分析</w:t>
            </w:r>
            <w:bookmarkEnd w:id="121"/>
          </w:p>
          <w:p w14:paraId="05DDAD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（1）药占比分析</w:t>
            </w:r>
          </w:p>
          <w:p w14:paraId="7737EE2A">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全院药占比分析：分别以柱状图、饼图、曲线图不同的方式展示药占比，分析药占比的同环比、趋势情况、预警情况，并实现指标从全院到科室再到医生的层级下钻分析。</w:t>
            </w:r>
          </w:p>
          <w:p w14:paraId="3F52AABE">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药使用占比分析：通过分析基本药物使用比例、使用科室排行及使用趋势方式，可查看全院基药占比情况亦可查阅门诊、住院分别的基药使用情况。全面展示医院在用药方面的合理性，并且可以下钻的方式，分析科室用药、医生用药的合理性</w:t>
            </w:r>
          </w:p>
          <w:p w14:paraId="1973D4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提供基本药物收入与支出统计表（提供时间节点选择功能）</w:t>
            </w:r>
            <w:r>
              <w:rPr>
                <w:rFonts w:cs="宋体" w:asciiTheme="majorEastAsia" w:hAnsiTheme="majorEastAsia" w:eastAsiaTheme="majorEastAsia"/>
                <w:color w:val="auto"/>
                <w:szCs w:val="21"/>
              </w:rPr>
              <w:t>。</w:t>
            </w:r>
          </w:p>
          <w:p w14:paraId="5F1391D3">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住院抗菌药费用占药费比例分析：主要通过分析住院抗菌药费用占药费比例的本期同期对比、趋势变化、科室、医生排行来了解医院住院抗菌药的使用情况、及时发现不合理用药现象采取措施解决，并实现从全院到科室再到医生的层级下钻分析。</w:t>
            </w:r>
          </w:p>
          <w:p w14:paraId="77A6EC16">
            <w:pPr>
              <w:spacing w:line="440" w:lineRule="exact"/>
              <w:ind w:left="34" w:firstLine="380" w:firstLineChars="181"/>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急诊抗菌药费用占药费比例分析：主要通过分析门急诊抗菌药费用占药费比例的本期同期对比、趋势变化、科室、医生排行来了解医院门急诊抗菌药的使用情况、及时发现不合理用药现象采取措施解决，并实现从全院到科室再到医生的层级下钻分析。</w:t>
            </w:r>
          </w:p>
          <w:p w14:paraId="1065F47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（2）抗菌药分析</w:t>
            </w:r>
          </w:p>
          <w:p w14:paraId="19F4ACB8">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抗菌药物使用率分析：分别按人次、处方统计，分析全院、住院、门诊、急诊的抗菌药使用率情况，并实现从全院到科室再到医生的层级下钻分析，整体监控抗菌药物使用情况。</w:t>
            </w:r>
          </w:p>
          <w:p w14:paraId="56570149">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菌药物使用强度分析：以出院抗菌药物使用强度和住院抗菌药物使用强度为指标分析，采用条形图、曲线图图表方式，分析抗菌药物使用强度整体情况。通过预警分析，掌握抗菌药使用强度达标科室数和未达标科室，整体监控抗菌药物使用强度。</w:t>
            </w:r>
          </w:p>
          <w:p w14:paraId="49B19854">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抗菌药物送检率分析：用条形图、曲线图图表方式分析抗菌药送检率的情况，并实现从全院到科室再到医生的层级下钻分析，整体监控抗菌药物送检情况。</w:t>
            </w:r>
          </w:p>
          <w:p w14:paraId="44E11B2C">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殊级抗菌药物使用率占比分析：通过文本、趋势图、柱形图的方式对特殊级抗菌药物使用情况进行分析，发现使用的抗菌药物中特殊级抗菌药物的使用情况。另外，可实现从全院到科室再到医生的层级下钻分析，整体监控特殊级抗菌药物使用情况。</w:t>
            </w:r>
          </w:p>
          <w:p w14:paraId="7726E98E">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殊级抗菌药物使用强度分析：通过文本、趋势图、柱形图的方式对特殊级抗菌药物使用强度进行分析，发现特殊级抗菌药物的使用强度情况。另外，可实现从全院到科室再到医生的层级下钻分析，整体监控特殊级抗菌药物使用强度情况。</w:t>
            </w:r>
          </w:p>
          <w:p w14:paraId="54E08A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122" w:name="主题重返类分析"/>
            <w:r>
              <w:rPr>
                <w:rFonts w:hint="eastAsia" w:cs="宋体" w:asciiTheme="majorEastAsia" w:hAnsiTheme="majorEastAsia" w:eastAsiaTheme="majorEastAsia"/>
                <w:color w:val="auto"/>
                <w:szCs w:val="21"/>
              </w:rPr>
              <w:t>.重返类分析</w:t>
            </w:r>
            <w:bookmarkEnd w:id="122"/>
          </w:p>
          <w:p w14:paraId="27D2411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再入院分析：通过对24小时再入院、2—15天再入院、16—31天再入院、2—31天再入院指标的分析，了解下患者的再入院人次和再入院率，并实现关键指标从全院到科室再到医生的层级下钻分析。</w:t>
            </w:r>
          </w:p>
          <w:p w14:paraId="47C9B4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bookmarkStart w:id="123" w:name="主题死亡类分析"/>
            <w:r>
              <w:rPr>
                <w:rFonts w:hint="eastAsia" w:cs="宋体" w:asciiTheme="majorEastAsia" w:hAnsiTheme="majorEastAsia" w:eastAsiaTheme="majorEastAsia"/>
                <w:color w:val="auto"/>
                <w:szCs w:val="21"/>
              </w:rPr>
              <w:t>.死亡类分析</w:t>
            </w:r>
            <w:bookmarkEnd w:id="123"/>
          </w:p>
          <w:p w14:paraId="7B0DBA3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（1）住院死亡分析</w:t>
            </w:r>
          </w:p>
          <w:p w14:paraId="7A64118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以疾病、年龄段分析住院的死亡情况，并通过分析住院总死亡率、恶性肿瘤死亡率、重点病种死亡率、新生儿住院死亡率指标，可下钻了解死亡个案信息。</w:t>
            </w:r>
          </w:p>
          <w:p w14:paraId="7CDF75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（2）手术死亡分析</w:t>
            </w:r>
          </w:p>
          <w:p w14:paraId="1B4568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以疾病、年龄段分析住院的死亡情况，并通过分析手术总死亡率、恶性肿瘤手术死亡率、重点手术死亡率、再次手术住院死亡率指标，可下钻了解死亡个案信息。</w:t>
            </w:r>
          </w:p>
          <w:p w14:paraId="4EDA09C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（3）危重抢救死亡分析</w:t>
            </w:r>
          </w:p>
          <w:p w14:paraId="20F9EA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以疾病、年龄段分析住院的死亡情况，并通过分析危重抢救成功人次、危重抢救成功率、急危重抢救死亡人数、急危重抢救死亡率指标，可下钻了解死亡个案信息。</w:t>
            </w:r>
          </w:p>
          <w:p w14:paraId="24B9C46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w:t>
            </w:r>
            <w:bookmarkStart w:id="124" w:name="主题重点病种与手术分析"/>
            <w:r>
              <w:rPr>
                <w:rFonts w:hint="eastAsia" w:cs="宋体" w:asciiTheme="majorEastAsia" w:hAnsiTheme="majorEastAsia" w:eastAsiaTheme="majorEastAsia"/>
                <w:color w:val="auto"/>
                <w:szCs w:val="21"/>
              </w:rPr>
              <w:t>.重点病种与手术分析</w:t>
            </w:r>
            <w:bookmarkEnd w:id="124"/>
          </w:p>
          <w:p w14:paraId="197463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（1）重点病种分析</w:t>
            </w:r>
          </w:p>
          <w:p w14:paraId="3B9C99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以条形图、饼图、表格方式展现，分析重点疾病的病种人次、死亡人数、死亡率、平均住院费用、平均住院日、再入院情况的指标，了解重点疾病的整体情况。</w:t>
            </w:r>
          </w:p>
          <w:p w14:paraId="05422E6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（2）重点手术分析</w:t>
            </w:r>
          </w:p>
          <w:p w14:paraId="718F848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条形图、饼图、表格方式展现，分析重点手术的手术人次、死亡人数、死亡率、平均住院费用、平均住院日、术后48小时内非计划重返手术人数、术后30天内非计划重返手术人数指标，了解重点手术的整体情况。</w:t>
            </w:r>
          </w:p>
          <w:p w14:paraId="4B41922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（3）重点恶性肿瘤手术分析</w:t>
            </w:r>
          </w:p>
          <w:p w14:paraId="2B4CA87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以条形图、饼图、表格方式展现，分析重点恶性肿瘤手术人次、死亡人数、死亡率、术后48小时内非计划重返手术人数、术后30天内非计划重返手术人数、平均住院费用、平均住院日指标，了解重点恶性肿瘤手术的整体情况。</w:t>
            </w:r>
          </w:p>
          <w:p w14:paraId="4BA04E3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具有微信端和钉钉端决策支持系统</w:t>
            </w:r>
          </w:p>
          <w:p w14:paraId="6D22D858">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是基于医院数据中心进行移动端数据整合展现的应用产品，具体分为医院决策支持（院长及分管院领导）和科室决策支持（科主任层），数据中心后台进行指标计算，按照不同角色关注重点进行重点划分和权限控制，为院领导和科主任提供实时的、准确的数据分析。具体数据统计报表和展示模式现场开发</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如有必要</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需向钉钉公司购买接口服务</w:t>
            </w:r>
            <w:r>
              <w:rPr>
                <w:rFonts w:cs="宋体" w:asciiTheme="majorEastAsia" w:hAnsiTheme="majorEastAsia" w:eastAsiaTheme="majorEastAsia"/>
                <w:color w:val="auto"/>
                <w:szCs w:val="21"/>
              </w:rPr>
              <w:t>。</w:t>
            </w:r>
          </w:p>
          <w:p w14:paraId="79D5C208">
            <w:pPr>
              <w:spacing w:line="440" w:lineRule="exact"/>
              <w:ind w:firstLine="420" w:firstLineChars="20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10.</w:t>
            </w:r>
            <w:r>
              <w:rPr>
                <w:rFonts w:hint="eastAsia" w:cs="宋体" w:asciiTheme="majorEastAsia" w:hAnsiTheme="majorEastAsia" w:eastAsiaTheme="majorEastAsia"/>
                <w:color w:val="auto"/>
                <w:szCs w:val="21"/>
              </w:rPr>
              <w:t>实现国家要求的医疗质量十大安全目标，重症医学科、病理科、神经内科、呼吸内科、肾内科、心血管内科、超声科、输血科、检验科、急诊科等专业指标的统计与提取、生成报表等功能。</w:t>
            </w:r>
          </w:p>
          <w:p w14:paraId="5ED2D54B">
            <w:pPr>
              <w:spacing w:line="440" w:lineRule="exact"/>
              <w:ind w:firstLine="420" w:firstLineChars="200"/>
              <w:rPr>
                <w:rFonts w:cs="宋体" w:asciiTheme="majorEastAsia" w:hAnsiTheme="majorEastAsia" w:eastAsiaTheme="majorEastAsia"/>
                <w:color w:val="auto"/>
                <w:kern w:val="0"/>
                <w:szCs w:val="21"/>
              </w:rPr>
            </w:pPr>
            <w:r>
              <w:rPr>
                <w:rFonts w:cs="宋体" w:asciiTheme="majorEastAsia" w:hAnsiTheme="majorEastAsia" w:eastAsiaTheme="majorEastAsia"/>
                <w:color w:val="auto"/>
                <w:szCs w:val="21"/>
              </w:rPr>
              <w:t>11</w:t>
            </w:r>
            <w:r>
              <w:rPr>
                <w:rFonts w:hint="eastAsia" w:cs="宋体" w:asciiTheme="majorEastAsia" w:hAnsiTheme="majorEastAsia" w:eastAsiaTheme="majorEastAsia"/>
                <w:color w:val="auto"/>
                <w:szCs w:val="21"/>
              </w:rPr>
              <w:t>.依据国家三级公立医院绩效考核工作要求、建立三级公立医院绩效考核指标体系，系统能实现对国考56项指标数据的自动统计并生成报表、以便进行定期监控与分析。</w:t>
            </w:r>
          </w:p>
        </w:tc>
        <w:tc>
          <w:tcPr>
            <w:tcW w:w="379" w:type="pct"/>
            <w:tcBorders>
              <w:top w:val="single" w:color="auto" w:sz="4" w:space="0"/>
              <w:left w:val="single" w:color="auto" w:sz="4" w:space="0"/>
              <w:bottom w:val="single" w:color="auto" w:sz="4" w:space="0"/>
              <w:right w:val="single" w:color="auto" w:sz="4" w:space="0"/>
            </w:tcBorders>
            <w:vAlign w:val="center"/>
          </w:tcPr>
          <w:p w14:paraId="3F30D706">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05FA53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restart"/>
            <w:tcBorders>
              <w:top w:val="single" w:color="auto" w:sz="4" w:space="0"/>
              <w:left w:val="single" w:color="auto" w:sz="4" w:space="0"/>
              <w:right w:val="single" w:color="auto" w:sz="4" w:space="0"/>
            </w:tcBorders>
            <w:vAlign w:val="center"/>
          </w:tcPr>
          <w:p w14:paraId="51CB486B">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临床决策支持系统（CDSS）</w:t>
            </w:r>
          </w:p>
        </w:tc>
        <w:tc>
          <w:tcPr>
            <w:tcW w:w="380" w:type="pct"/>
            <w:tcBorders>
              <w:top w:val="single" w:color="auto" w:sz="4" w:space="0"/>
              <w:left w:val="single" w:color="auto" w:sz="4" w:space="0"/>
              <w:bottom w:val="single" w:color="auto" w:sz="4" w:space="0"/>
              <w:right w:val="single" w:color="auto" w:sz="4" w:space="0"/>
            </w:tcBorders>
            <w:vAlign w:val="center"/>
          </w:tcPr>
          <w:p w14:paraId="0CDDB96E">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静态医学知识</w:t>
            </w:r>
          </w:p>
        </w:tc>
        <w:tc>
          <w:tcPr>
            <w:tcW w:w="3788" w:type="pct"/>
            <w:tcBorders>
              <w:top w:val="single" w:color="auto" w:sz="4" w:space="0"/>
              <w:left w:val="single" w:color="auto" w:sz="4" w:space="0"/>
              <w:bottom w:val="single" w:color="auto" w:sz="4" w:space="0"/>
              <w:right w:val="single" w:color="auto" w:sz="4" w:space="0"/>
            </w:tcBorders>
            <w:vAlign w:val="center"/>
          </w:tcPr>
          <w:p w14:paraId="7307BF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25" w:name="知识管理"/>
            <w:r>
              <w:rPr>
                <w:rFonts w:hint="eastAsia" w:cs="宋体" w:asciiTheme="majorEastAsia" w:hAnsiTheme="majorEastAsia" w:eastAsiaTheme="majorEastAsia"/>
                <w:color w:val="auto"/>
                <w:szCs w:val="21"/>
              </w:rPr>
              <w:t>.知识管理</w:t>
            </w:r>
            <w:bookmarkEnd w:id="125"/>
          </w:p>
          <w:p w14:paraId="09FEF6C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知识库管理工具，支持适应知识不断更新的需求，满足知识库内容的维护更新管理。其中，通过建模、分析大量临床经验所累积下来的数据，提炼出真正有价值的数据，通过审核管理，将数据反哺到知识库中。</w:t>
            </w:r>
          </w:p>
          <w:p w14:paraId="30FE2C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在知识库实际的临床应用中可以依据推荐临床决策的使用率和使用效果进行数据统计汇报分析，从而不断完善更新知识，达到治疗效益的最大化和医疗资源配置的最优化。</w:t>
            </w:r>
          </w:p>
          <w:p w14:paraId="1E2ABDF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26" w:name="术语字典"/>
            <w:r>
              <w:rPr>
                <w:rFonts w:hint="eastAsia" w:cs="宋体" w:asciiTheme="majorEastAsia" w:hAnsiTheme="majorEastAsia" w:eastAsiaTheme="majorEastAsia"/>
                <w:color w:val="auto"/>
                <w:szCs w:val="21"/>
              </w:rPr>
              <w:t>）术语字典</w:t>
            </w:r>
            <w:bookmarkEnd w:id="126"/>
          </w:p>
          <w:p w14:paraId="18BF97A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术语字典主要包含如下：</w:t>
            </w:r>
          </w:p>
          <w:p w14:paraId="2E7C5233">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ICD-10疾病标准字典：诊断ICD10信息，包含诊断代码、名称等。</w:t>
            </w:r>
          </w:p>
          <w:p w14:paraId="08AB8440">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ICD-10手术标准字典：诊断ICD10手术信息，包含手术代码、名称等。</w:t>
            </w:r>
          </w:p>
          <w:p w14:paraId="43525796">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ICD-9手术标准字典：诊断ICD9手术信息，包含手术代码、名称等。</w:t>
            </w:r>
          </w:p>
          <w:p w14:paraId="6ADD8BC6">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药品通用字典：药品信息，包含药品名称、代码、高危标志等。</w:t>
            </w:r>
          </w:p>
          <w:p w14:paraId="666E32B5">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检验字典：检验项目信息，包含检验代码、名称、所属分类。</w:t>
            </w:r>
          </w:p>
          <w:p w14:paraId="50305CD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检验项目指标：检验指标项目信息，如血常规包含的白细胞计数、红细胞计数、血小板计数等。</w:t>
            </w:r>
          </w:p>
          <w:p w14:paraId="1917B6C8">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检查字典：检查项目信息，包含检验代码、名称、所属分类等。</w:t>
            </w:r>
          </w:p>
          <w:p w14:paraId="0EB04D8F">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治疗字典：医嘱治疗项目信息，包含治疗代码、名称等。</w:t>
            </w:r>
          </w:p>
          <w:p w14:paraId="1FE73A4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27" w:name="字典对照"/>
            <w:r>
              <w:rPr>
                <w:rFonts w:hint="eastAsia" w:cs="宋体" w:asciiTheme="majorEastAsia" w:hAnsiTheme="majorEastAsia" w:eastAsiaTheme="majorEastAsia"/>
                <w:color w:val="auto"/>
                <w:szCs w:val="21"/>
              </w:rPr>
              <w:t>）字典对照</w:t>
            </w:r>
            <w:bookmarkEnd w:id="127"/>
          </w:p>
          <w:p w14:paraId="658F72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实现知识库术语字典与医院系统的术语字典对照维护，包含诊断字典、手术字典、药品字典、检验字典、检查字典以及治疗字典等。</w:t>
            </w:r>
          </w:p>
          <w:p w14:paraId="7F6F40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28" w:name="知识更新"/>
            <w:r>
              <w:rPr>
                <w:rFonts w:hint="eastAsia" w:cs="宋体" w:asciiTheme="majorEastAsia" w:hAnsiTheme="majorEastAsia" w:eastAsiaTheme="majorEastAsia"/>
                <w:color w:val="auto"/>
                <w:szCs w:val="21"/>
              </w:rPr>
              <w:t>）知识更新</w:t>
            </w:r>
            <w:bookmarkEnd w:id="128"/>
          </w:p>
          <w:p w14:paraId="491F39E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实现知识定期迭代更新的需求。满足依赖于大量临床经验所累积下来的数据，提炼有价值数据作为知识，来反哺到知识库中，实现医院自身的临床专科特点知识库。</w:t>
            </w:r>
          </w:p>
          <w:p w14:paraId="1B0E080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29" w:name="知识及规则"/>
            <w:r>
              <w:rPr>
                <w:rFonts w:hint="eastAsia" w:cs="宋体" w:asciiTheme="majorEastAsia" w:hAnsiTheme="majorEastAsia" w:eastAsiaTheme="majorEastAsia"/>
                <w:color w:val="auto"/>
                <w:szCs w:val="21"/>
              </w:rPr>
              <w:t>.知识及规则</w:t>
            </w:r>
            <w:bookmarkEnd w:id="129"/>
          </w:p>
          <w:p w14:paraId="033CA3A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通过从大量医学权威文献、临床指南、真实临床病例中，抽取各类医学知识实体构建知识库，涵盖了包括术语字典、医学知识、诊疗规则以及医学文献等大量医疗知识。</w:t>
            </w:r>
          </w:p>
          <w:p w14:paraId="4E78DAE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30" w:name="医学知识"/>
            <w:r>
              <w:rPr>
                <w:rFonts w:hint="eastAsia" w:cs="宋体" w:asciiTheme="majorEastAsia" w:hAnsiTheme="majorEastAsia" w:eastAsiaTheme="majorEastAsia"/>
                <w:color w:val="auto"/>
                <w:szCs w:val="21"/>
              </w:rPr>
              <w:t>）医学知识</w:t>
            </w:r>
            <w:bookmarkEnd w:id="130"/>
          </w:p>
          <w:p w14:paraId="761FD16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提供全院范围医护人员使用的文本资料（相关检验、检查、药品说明书），提供辅助医疗决策和自动校验医嘱合理性功能，知识主要包含如下： </w:t>
            </w:r>
          </w:p>
          <w:p w14:paraId="6750C68F">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疾病知识库</w:t>
            </w:r>
          </w:p>
          <w:p w14:paraId="42C7D6F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疾病知识库提供各类专科系统疾病信息，包含疾病代码，名称，别名、发病部位、症状、病因、治疗方案以及诊断依据等信息。</w:t>
            </w:r>
          </w:p>
          <w:p w14:paraId="650B0287">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症状知识库</w:t>
            </w:r>
          </w:p>
          <w:p w14:paraId="644D80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症状知识库提供各类专科系统疾病相关症状知识，包含症状代码、名称、别名、检查鉴别、诊断鉴别、预防治疗、伴随症状以及对症药品等信息。</w:t>
            </w:r>
          </w:p>
          <w:p w14:paraId="0E9262D1">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检验检查知识库</w:t>
            </w:r>
          </w:p>
          <w:p w14:paraId="0A7A26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检验检查知识库提供各类检验检查项目知识，包含禁忌、注意事项、正常值、关联疾病、标本类型、相关仪器试剂、注意事项、适应症以及检验参考范围值等信息。</w:t>
            </w:r>
          </w:p>
          <w:p w14:paraId="70C1AC47">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药品知识库</w:t>
            </w:r>
          </w:p>
          <w:p w14:paraId="3D74DAF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药品知识库提供各类药品知识，包括药名、别名、剂型、药理作用、适应证、禁忌证、注意事项、不良反应、用法用量以及药物相互作用。同时提供疾病对应的用药建议，如用药以及药品用法等信息。</w:t>
            </w:r>
          </w:p>
          <w:p w14:paraId="1B3CF762">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治疗知识库</w:t>
            </w:r>
          </w:p>
          <w:p w14:paraId="412F67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治疗知识库提供诊疗、手术等治疗知识，提供疾病对应的处置建议，如涉及治疗项目以及描述信息。</w:t>
            </w:r>
          </w:p>
          <w:p w14:paraId="2E77F9B8">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手术知识库</w:t>
            </w:r>
          </w:p>
          <w:p w14:paraId="6F991CA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手术知识库提供手术知识，包含手术名称、适应症、病因、鉴别诊断、检查、治疗原则、术前准备以及术后护理等信息。</w:t>
            </w:r>
          </w:p>
          <w:p w14:paraId="52A535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31" w:name="诊疗规则"/>
            <w:r>
              <w:rPr>
                <w:rFonts w:hint="eastAsia" w:cs="宋体" w:asciiTheme="majorEastAsia" w:hAnsiTheme="majorEastAsia" w:eastAsiaTheme="majorEastAsia"/>
                <w:color w:val="auto"/>
                <w:szCs w:val="21"/>
              </w:rPr>
              <w:t>）诊疗规则</w:t>
            </w:r>
            <w:bookmarkEnd w:id="131"/>
          </w:p>
          <w:p w14:paraId="49730EA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诊疗规则库，凭借权威临床文献指南、专家共识以及临床数据为依据，制定而成，其主要包含规则库如下：</w:t>
            </w:r>
          </w:p>
          <w:p w14:paraId="0BE22F3E">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用药合理性规则知识库</w:t>
            </w:r>
          </w:p>
          <w:p w14:paraId="49C71296">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检查申请合理性审查规则知识库</w:t>
            </w:r>
          </w:p>
          <w:p w14:paraId="17EB6539">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检验申请合理性审查规则知识库</w:t>
            </w:r>
          </w:p>
          <w:p w14:paraId="58E7B6A5">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检验报告审查规则知识库</w:t>
            </w:r>
          </w:p>
          <w:p w14:paraId="4EE8F5CD">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检验医嘱规则知识库</w:t>
            </w:r>
          </w:p>
          <w:p w14:paraId="3C5C5C44">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检查医嘱规则知识库</w:t>
            </w:r>
          </w:p>
          <w:p w14:paraId="1852F377">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检验结果指标规则知识库</w:t>
            </w:r>
          </w:p>
          <w:p w14:paraId="2FF93BAC">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检查结果指标规则知识库</w:t>
            </w:r>
          </w:p>
          <w:p w14:paraId="5323632F">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临床路径规则知识库</w:t>
            </w:r>
          </w:p>
          <w:p w14:paraId="0A593912">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高危药品预警规则知识库</w:t>
            </w:r>
          </w:p>
          <w:p w14:paraId="1BE62621">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护理计划决策规则知识库</w:t>
            </w:r>
          </w:p>
          <w:p w14:paraId="0AA4B3C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在实际临床应用中，依据患者诊疗数据，自动触发引用知识库规则进行逻辑检查，实现智能提醒、智能推送等功能。</w:t>
            </w:r>
          </w:p>
          <w:p w14:paraId="0736FB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实现实时监控，针对平台各个功能模块诊疗规则调用情况，同时详细记录患者信息和调用时间等信息。</w:t>
            </w:r>
          </w:p>
          <w:p w14:paraId="252BE33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实现统计分析，针对诊疗规则调用、执行情况等。</w:t>
            </w:r>
          </w:p>
          <w:p w14:paraId="0A1181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32" w:name="知识检索"/>
            <w:r>
              <w:rPr>
                <w:rFonts w:hint="eastAsia" w:cs="宋体" w:asciiTheme="majorEastAsia" w:hAnsiTheme="majorEastAsia" w:eastAsiaTheme="majorEastAsia"/>
                <w:color w:val="auto"/>
                <w:szCs w:val="21"/>
              </w:rPr>
              <w:t>）知识检索</w:t>
            </w:r>
            <w:bookmarkEnd w:id="132"/>
          </w:p>
          <w:p w14:paraId="4A56327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实现知识库按照疾病、药品、检验检查、手术、临床路径、文献以及量表等分类，进行检索查询，通过关键词检索和划词功能，方便医护人员能够快速检索相关信息。</w:t>
            </w:r>
          </w:p>
          <w:p w14:paraId="7B6B70F3">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3.实现对医学知识进行快捷检索。</w:t>
            </w:r>
          </w:p>
          <w:p w14:paraId="4973BD16">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4.疾病知识库</w:t>
            </w:r>
          </w:p>
          <w:p w14:paraId="27781D5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至少提供</w:t>
            </w: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000种以上疾病。实现疾病医学术语知识库查询，包括疾病名、缩写、别名、ICD疾病代码、概述、流行病学、病因、发病机制、临床表现、并发症、检验、检查、诊断、鉴别诊断、治疗、预防、预后项目。</w:t>
            </w:r>
          </w:p>
          <w:p w14:paraId="7EE2069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5.疾病流行病学分析</w:t>
            </w:r>
          </w:p>
          <w:p w14:paraId="3B6577C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提供基于真实世界研究结果的流行病学分析展示，至少包括年龄分析、性别分析、职业分析、血型分析等。</w:t>
            </w:r>
          </w:p>
          <w:p w14:paraId="5F9A4E9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6.药学知识库</w:t>
            </w:r>
          </w:p>
          <w:p w14:paraId="4DDBF48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实现药品信息查询，包括药名、商品名、剂型、药理作用、适应证、禁忌证、注意事项、不良反应、用法用量、药物相互作用等，并提供药品与最相关疾病关联展示。</w:t>
            </w:r>
          </w:p>
          <w:p w14:paraId="0884926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7.手术操作知识库</w:t>
            </w:r>
          </w:p>
          <w:p w14:paraId="20C463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实现手术和操作知识查询，包括概述、术前准备、麻醉方式、步骤、术中注意要点、术后处理、手术风险、手术并发症，提供最相关疾病关联展示。</w:t>
            </w:r>
          </w:p>
          <w:p w14:paraId="3A011063">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8.检验知识库</w:t>
            </w:r>
          </w:p>
          <w:p w14:paraId="18AE98B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实现至少1</w:t>
            </w:r>
            <w:r>
              <w:rPr>
                <w:rFonts w:cs="宋体" w:asciiTheme="majorEastAsia" w:hAnsiTheme="majorEastAsia" w:eastAsiaTheme="majorEastAsia"/>
                <w:color w:val="auto"/>
                <w:szCs w:val="21"/>
              </w:rPr>
              <w:t>3</w:t>
            </w:r>
            <w:r>
              <w:rPr>
                <w:rFonts w:hint="eastAsia" w:cs="宋体" w:asciiTheme="majorEastAsia" w:hAnsiTheme="majorEastAsia" w:eastAsiaTheme="majorEastAsia"/>
                <w:color w:val="auto"/>
                <w:szCs w:val="21"/>
              </w:rPr>
              <w:t>00种各类检验项目信息的查询，包含概述、采样方法、临床应用、参考区间、临床意义等，提供知识拓展：包括最相关疾病，并提供检验与最相关疾病关联展示。</w:t>
            </w:r>
          </w:p>
          <w:p w14:paraId="08706ABE">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9.检查知识库</w:t>
            </w:r>
          </w:p>
          <w:p w14:paraId="2D2462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至少200种检查项目的查询，包含检查项目概述、适应症、禁忌症、检查准备、方法、临床意义、注意事项等，提供知识拓展，包括最相关疾病、智能扩展图形化展示类别、相似术语、上位术语、下位术语，并提供检查与最相关疾病关联展示。</w:t>
            </w:r>
          </w:p>
          <w:p w14:paraId="68D428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10.症状知识库</w:t>
            </w:r>
          </w:p>
          <w:p w14:paraId="655B494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实现症状内容介绍，并提供症状与最相关疾病关联展示。</w:t>
            </w:r>
          </w:p>
          <w:p w14:paraId="18542C5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体征知识库，实现体征内容介绍，并提供体征与最相关疾病关联展示。</w:t>
            </w:r>
          </w:p>
          <w:p w14:paraId="4D91829D">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11.医学资料文献库</w:t>
            </w:r>
          </w:p>
          <w:p w14:paraId="0984717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实现具有代表性权威临床研究论文、医学期刊文献的查询，提供循证医学文献查询，包括系统评价和临床科学研究分类。</w:t>
            </w:r>
          </w:p>
          <w:p w14:paraId="0DC59ACC">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12.临床指南库</w:t>
            </w:r>
          </w:p>
          <w:p w14:paraId="06762D6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实现具有代表性权威的临床指南查询。</w:t>
            </w:r>
          </w:p>
          <w:p w14:paraId="6230E2A4">
            <w:pPr>
              <w:spacing w:line="440" w:lineRule="exact"/>
              <w:ind w:firstLine="205" w:firstLineChars="98"/>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13.法律法规知识库</w:t>
            </w:r>
          </w:p>
          <w:p w14:paraId="697843C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实现医学相关法律法规查询。</w:t>
            </w:r>
          </w:p>
        </w:tc>
        <w:tc>
          <w:tcPr>
            <w:tcW w:w="379" w:type="pct"/>
            <w:tcBorders>
              <w:top w:val="single" w:color="auto" w:sz="4" w:space="0"/>
              <w:left w:val="single" w:color="auto" w:sz="4" w:space="0"/>
              <w:bottom w:val="single" w:color="auto" w:sz="4" w:space="0"/>
              <w:right w:val="single" w:color="auto" w:sz="4" w:space="0"/>
            </w:tcBorders>
            <w:vAlign w:val="center"/>
          </w:tcPr>
          <w:p w14:paraId="1DEDC7BA">
            <w:pPr>
              <w:spacing w:line="440" w:lineRule="exact"/>
              <w:jc w:val="lef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1</w:t>
            </w:r>
            <w:r>
              <w:rPr>
                <w:rFonts w:hint="eastAsia" w:cs="宋体" w:asciiTheme="majorEastAsia" w:hAnsiTheme="majorEastAsia" w:eastAsiaTheme="majorEastAsia"/>
                <w:color w:val="auto"/>
                <w:szCs w:val="21"/>
              </w:rPr>
              <w:t>项</w:t>
            </w:r>
          </w:p>
        </w:tc>
      </w:tr>
      <w:tr w14:paraId="74064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50306468">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131647D7">
            <w:pPr>
              <w:spacing w:line="440" w:lineRule="exact"/>
              <w:jc w:val="center"/>
              <w:rPr>
                <w:rFonts w:cs="宋体" w:asciiTheme="majorEastAsia" w:hAnsiTheme="majorEastAsia" w:eastAsiaTheme="majorEastAsia"/>
                <w:color w:val="auto"/>
                <w:szCs w:val="21"/>
              </w:rPr>
            </w:pPr>
            <w:bookmarkStart w:id="133" w:name="检验值控提醒"/>
            <w:r>
              <w:rPr>
                <w:rFonts w:hint="eastAsia" w:cs="宋体" w:asciiTheme="majorEastAsia" w:hAnsiTheme="majorEastAsia" w:eastAsiaTheme="majorEastAsia"/>
                <w:color w:val="auto"/>
                <w:szCs w:val="21"/>
              </w:rPr>
              <w:t>检验质控提醒</w:t>
            </w:r>
            <w:bookmarkEnd w:id="133"/>
          </w:p>
        </w:tc>
        <w:tc>
          <w:tcPr>
            <w:tcW w:w="3788" w:type="pct"/>
            <w:tcBorders>
              <w:top w:val="single" w:color="auto" w:sz="4" w:space="0"/>
              <w:left w:val="single" w:color="auto" w:sz="4" w:space="0"/>
              <w:bottom w:val="single" w:color="auto" w:sz="4" w:space="0"/>
              <w:right w:val="single" w:color="auto" w:sz="4" w:space="0"/>
            </w:tcBorders>
            <w:vAlign w:val="center"/>
          </w:tcPr>
          <w:p w14:paraId="2880C4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在下检验医嘱时系统会自主结合校验患者的年龄、性别、诊断、生理指标、家族史以及过敏史等信息进行合理性判断，若不合理则弹出提示并给出正常结果判断与提示。具体合理性审查规则至少包含性别检验审查、年龄检验审查、检验结果审查、特殊人群检验审查、诊断检验禁忌审查、重复检验审查、药品互斥检验审查、药品互斥检验审查。</w:t>
            </w:r>
          </w:p>
        </w:tc>
        <w:tc>
          <w:tcPr>
            <w:tcW w:w="379" w:type="pct"/>
            <w:tcBorders>
              <w:top w:val="single" w:color="auto" w:sz="4" w:space="0"/>
              <w:left w:val="single" w:color="auto" w:sz="4" w:space="0"/>
              <w:bottom w:val="single" w:color="auto" w:sz="4" w:space="0"/>
              <w:right w:val="single" w:color="auto" w:sz="4" w:space="0"/>
            </w:tcBorders>
            <w:vAlign w:val="center"/>
          </w:tcPr>
          <w:p w14:paraId="6D18519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69D9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1189E220">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0499AF6A">
            <w:pPr>
              <w:spacing w:line="440" w:lineRule="exact"/>
              <w:jc w:val="center"/>
              <w:rPr>
                <w:rFonts w:cs="宋体" w:asciiTheme="majorEastAsia" w:hAnsiTheme="majorEastAsia" w:eastAsiaTheme="majorEastAsia"/>
                <w:color w:val="auto"/>
                <w:szCs w:val="21"/>
              </w:rPr>
            </w:pPr>
            <w:bookmarkStart w:id="134" w:name="检查质控提醒"/>
            <w:r>
              <w:rPr>
                <w:rFonts w:hint="eastAsia" w:cs="宋体" w:asciiTheme="majorEastAsia" w:hAnsiTheme="majorEastAsia" w:eastAsiaTheme="majorEastAsia"/>
                <w:color w:val="auto"/>
                <w:szCs w:val="21"/>
              </w:rPr>
              <w:t>检查质控提醒</w:t>
            </w:r>
            <w:bookmarkEnd w:id="134"/>
          </w:p>
        </w:tc>
        <w:tc>
          <w:tcPr>
            <w:tcW w:w="3788" w:type="pct"/>
            <w:tcBorders>
              <w:top w:val="single" w:color="auto" w:sz="4" w:space="0"/>
              <w:left w:val="single" w:color="auto" w:sz="4" w:space="0"/>
              <w:bottom w:val="single" w:color="auto" w:sz="4" w:space="0"/>
              <w:right w:val="single" w:color="auto" w:sz="4" w:space="0"/>
            </w:tcBorders>
            <w:vAlign w:val="center"/>
          </w:tcPr>
          <w:p w14:paraId="56FCCC4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在下检查医嘱时，系统会结合当前患者的年龄、性别及诊断、家族史，过敏史等历史检查申请与结果信息，进行合理性校验，若不合理则弹出提示。实现对检查冲突提醒规则进行反馈，用户可以选择报错和忽略。具体合理性审查规则至少包含性别检查审查、检查结果审查、年龄结果审查、特殊人群检查审查、诊断与检查禁忌质控、检查互斥审查、重复检查审查。</w:t>
            </w:r>
          </w:p>
        </w:tc>
        <w:tc>
          <w:tcPr>
            <w:tcW w:w="379" w:type="pct"/>
            <w:tcBorders>
              <w:top w:val="single" w:color="auto" w:sz="4" w:space="0"/>
              <w:left w:val="single" w:color="auto" w:sz="4" w:space="0"/>
              <w:bottom w:val="single" w:color="auto" w:sz="4" w:space="0"/>
              <w:right w:val="single" w:color="auto" w:sz="4" w:space="0"/>
            </w:tcBorders>
            <w:vAlign w:val="center"/>
          </w:tcPr>
          <w:p w14:paraId="0B8FD80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6DA1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7E384AF5">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3FF563A8">
            <w:pPr>
              <w:spacing w:line="440" w:lineRule="exact"/>
              <w:jc w:val="center"/>
              <w:rPr>
                <w:rFonts w:cs="宋体" w:asciiTheme="majorEastAsia" w:hAnsiTheme="majorEastAsia" w:eastAsiaTheme="majorEastAsia"/>
                <w:color w:val="auto"/>
                <w:szCs w:val="21"/>
              </w:rPr>
            </w:pPr>
            <w:bookmarkStart w:id="135" w:name="用药指控提醒"/>
            <w:r>
              <w:rPr>
                <w:rFonts w:hint="eastAsia" w:cs="宋体" w:asciiTheme="majorEastAsia" w:hAnsiTheme="majorEastAsia" w:eastAsiaTheme="majorEastAsia"/>
                <w:color w:val="auto"/>
                <w:szCs w:val="21"/>
              </w:rPr>
              <w:t>用药质控提醒</w:t>
            </w:r>
            <w:bookmarkEnd w:id="135"/>
          </w:p>
        </w:tc>
        <w:tc>
          <w:tcPr>
            <w:tcW w:w="3788" w:type="pct"/>
            <w:tcBorders>
              <w:top w:val="single" w:color="auto" w:sz="4" w:space="0"/>
              <w:left w:val="single" w:color="auto" w:sz="4" w:space="0"/>
              <w:bottom w:val="single" w:color="auto" w:sz="4" w:space="0"/>
              <w:right w:val="single" w:color="auto" w:sz="4" w:space="0"/>
            </w:tcBorders>
            <w:vAlign w:val="center"/>
          </w:tcPr>
          <w:p w14:paraId="4459E47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1.用药合理性质控</w:t>
            </w:r>
          </w:p>
          <w:p w14:paraId="045C82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在开具药品医嘱时，系统根据当前患者的年龄、体征、妊娠状态、性别、诊断、过敏史、历史处方以及在各系统如检验系统、检验系统的结果，来联合判断对医生开具的药品进行合理性校验质控，如果存在的风险则进行提醒。具体用药合理性审查规则至少包含诊断与用药审查、妊娠用药审查、哺乳期用药审查、性别用药审查、药物过敏史审查、用药与检验结果审查、肾功能不全用药审查、儿童用药审查。</w:t>
            </w:r>
          </w:p>
          <w:p w14:paraId="535561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2.高危药品预警</w:t>
            </w:r>
          </w:p>
          <w:p w14:paraId="564DD3B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能够根据医嘱、处方中已开具高危药品的使用情况，自动进行药品级别的提示及审查。针对高危药品不同等级分析结果，如A级、B级、C级的高危药品给出相应的警示信息，达到安全用药的目的。</w:t>
            </w:r>
          </w:p>
        </w:tc>
        <w:tc>
          <w:tcPr>
            <w:tcW w:w="379" w:type="pct"/>
            <w:tcBorders>
              <w:top w:val="single" w:color="auto" w:sz="4" w:space="0"/>
              <w:left w:val="single" w:color="auto" w:sz="4" w:space="0"/>
              <w:bottom w:val="single" w:color="auto" w:sz="4" w:space="0"/>
              <w:right w:val="single" w:color="auto" w:sz="4" w:space="0"/>
            </w:tcBorders>
            <w:vAlign w:val="center"/>
          </w:tcPr>
          <w:p w14:paraId="5A6F2E7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FEE7C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3D684A32">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nil"/>
              <w:right w:val="single" w:color="auto" w:sz="4" w:space="0"/>
            </w:tcBorders>
            <w:vAlign w:val="center"/>
          </w:tcPr>
          <w:p w14:paraId="221EE65C">
            <w:pPr>
              <w:spacing w:line="440" w:lineRule="exact"/>
              <w:jc w:val="left"/>
              <w:rPr>
                <w:rFonts w:cs="宋体" w:asciiTheme="majorEastAsia" w:hAnsiTheme="majorEastAsia" w:eastAsiaTheme="majorEastAsia"/>
                <w:color w:val="auto"/>
                <w:szCs w:val="21"/>
              </w:rPr>
            </w:pPr>
            <w:bookmarkStart w:id="136" w:name="诊断质控提醒"/>
            <w:r>
              <w:rPr>
                <w:rFonts w:hint="eastAsia" w:cs="宋体" w:asciiTheme="majorEastAsia" w:hAnsiTheme="majorEastAsia" w:eastAsiaTheme="majorEastAsia"/>
                <w:color w:val="auto"/>
                <w:szCs w:val="21"/>
              </w:rPr>
              <w:t>诊断质控提醒</w:t>
            </w:r>
            <w:bookmarkEnd w:id="136"/>
          </w:p>
        </w:tc>
        <w:tc>
          <w:tcPr>
            <w:tcW w:w="3788" w:type="pct"/>
            <w:tcBorders>
              <w:top w:val="single" w:color="auto" w:sz="4" w:space="0"/>
              <w:left w:val="single" w:color="auto" w:sz="4" w:space="0"/>
              <w:bottom w:val="single" w:color="auto" w:sz="4" w:space="0"/>
              <w:right w:val="single" w:color="auto" w:sz="4" w:space="0"/>
            </w:tcBorders>
            <w:vAlign w:val="center"/>
          </w:tcPr>
          <w:p w14:paraId="76E4E637">
            <w:pPr>
              <w:spacing w:line="440" w:lineRule="exact"/>
              <w:ind w:firstLine="420" w:firstLineChars="200"/>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实现医生在下达诊断时，系统会结合当前患者的年龄、性别以及诊断判断是否合理，若不合理则弹出提示。具体合理性审查规则至少包含性别诊断审查、年龄诊断审查、诊断互斥诊断。</w:t>
            </w:r>
          </w:p>
        </w:tc>
        <w:tc>
          <w:tcPr>
            <w:tcW w:w="379" w:type="pct"/>
            <w:tcBorders>
              <w:top w:val="single" w:color="auto" w:sz="4" w:space="0"/>
              <w:left w:val="single" w:color="auto" w:sz="4" w:space="0"/>
              <w:bottom w:val="single" w:color="auto" w:sz="4" w:space="0"/>
              <w:right w:val="single" w:color="auto" w:sz="4" w:space="0"/>
            </w:tcBorders>
            <w:vAlign w:val="center"/>
          </w:tcPr>
          <w:p w14:paraId="5E85A17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D149F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bottom w:val="single" w:color="auto" w:sz="4" w:space="0"/>
              <w:right w:val="single" w:color="auto" w:sz="4" w:space="0"/>
            </w:tcBorders>
            <w:vAlign w:val="center"/>
          </w:tcPr>
          <w:p w14:paraId="023954A8">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48568798">
            <w:pPr>
              <w:spacing w:line="440" w:lineRule="exact"/>
              <w:jc w:val="left"/>
              <w:rPr>
                <w:rFonts w:cs="宋体" w:asciiTheme="majorEastAsia" w:hAnsiTheme="majorEastAsia" w:eastAsiaTheme="majorEastAsia"/>
                <w:color w:val="auto"/>
                <w:szCs w:val="21"/>
              </w:rPr>
            </w:pPr>
            <w:bookmarkStart w:id="137" w:name="手术质控提醒"/>
            <w:r>
              <w:rPr>
                <w:rFonts w:hint="eastAsia" w:cs="宋体" w:asciiTheme="majorEastAsia" w:hAnsiTheme="majorEastAsia" w:eastAsiaTheme="majorEastAsia"/>
                <w:color w:val="auto"/>
                <w:szCs w:val="21"/>
              </w:rPr>
              <w:t>手术质控提醒</w:t>
            </w:r>
            <w:bookmarkEnd w:id="137"/>
          </w:p>
        </w:tc>
        <w:tc>
          <w:tcPr>
            <w:tcW w:w="3788" w:type="pct"/>
            <w:tcBorders>
              <w:top w:val="single" w:color="auto" w:sz="4" w:space="0"/>
              <w:left w:val="single" w:color="auto" w:sz="4" w:space="0"/>
              <w:bottom w:val="single" w:color="auto" w:sz="4" w:space="0"/>
              <w:right w:val="single" w:color="auto" w:sz="4" w:space="0"/>
            </w:tcBorders>
            <w:vAlign w:val="center"/>
          </w:tcPr>
          <w:p w14:paraId="7CCB07C8">
            <w:pPr>
              <w:spacing w:line="440" w:lineRule="exact"/>
              <w:ind w:firstLine="420" w:firstLineChars="200"/>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在下手术医嘱时，系统会结合当前患者的年龄、性别以及诊断判断是否合理，并结合手术操作要点及术前检查等功能。若不合理则弹出提示。具体手术合理性分类至少包含性别手术审查、年龄手术审查、特殊人群手术审查、手术互斥手术审查、检查互斥手术审查、检验互斥手术审查、重复手术审查、诊断手术禁忌审查、其他手术禁忌审查。</w:t>
            </w:r>
          </w:p>
        </w:tc>
        <w:tc>
          <w:tcPr>
            <w:tcW w:w="379" w:type="pct"/>
            <w:tcBorders>
              <w:top w:val="single" w:color="auto" w:sz="4" w:space="0"/>
              <w:left w:val="single" w:color="auto" w:sz="4" w:space="0"/>
              <w:bottom w:val="single" w:color="auto" w:sz="4" w:space="0"/>
              <w:right w:val="single" w:color="auto" w:sz="4" w:space="0"/>
            </w:tcBorders>
            <w:vAlign w:val="center"/>
          </w:tcPr>
          <w:p w14:paraId="715FCB3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1F7D2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restart"/>
            <w:tcBorders>
              <w:top w:val="single" w:color="auto" w:sz="4" w:space="0"/>
              <w:left w:val="single" w:color="auto" w:sz="4" w:space="0"/>
              <w:right w:val="single" w:color="auto" w:sz="4" w:space="0"/>
            </w:tcBorders>
            <w:vAlign w:val="center"/>
          </w:tcPr>
          <w:p w14:paraId="061CC28B">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统一预约服务平台</w:t>
            </w:r>
          </w:p>
        </w:tc>
        <w:tc>
          <w:tcPr>
            <w:tcW w:w="380" w:type="pct"/>
            <w:tcBorders>
              <w:top w:val="single" w:color="auto" w:sz="4" w:space="0"/>
              <w:left w:val="single" w:color="auto" w:sz="4" w:space="0"/>
              <w:bottom w:val="single" w:color="auto" w:sz="4" w:space="0"/>
              <w:right w:val="single" w:color="auto" w:sz="4" w:space="0"/>
            </w:tcBorders>
            <w:vAlign w:val="center"/>
          </w:tcPr>
          <w:p w14:paraId="694CA1B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门诊预约系统</w:t>
            </w:r>
          </w:p>
        </w:tc>
        <w:tc>
          <w:tcPr>
            <w:tcW w:w="3788" w:type="pct"/>
            <w:tcBorders>
              <w:top w:val="single" w:color="auto" w:sz="4" w:space="0"/>
              <w:left w:val="single" w:color="auto" w:sz="4" w:space="0"/>
              <w:bottom w:val="single" w:color="auto" w:sz="4" w:space="0"/>
              <w:right w:val="single" w:color="auto" w:sz="4" w:space="0"/>
            </w:tcBorders>
            <w:vAlign w:val="center"/>
          </w:tcPr>
          <w:p w14:paraId="4CF2F4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38" w:name="门诊预约"/>
            <w:r>
              <w:rPr>
                <w:rFonts w:hint="eastAsia" w:cs="宋体" w:asciiTheme="majorEastAsia" w:hAnsiTheme="majorEastAsia" w:eastAsiaTheme="majorEastAsia"/>
                <w:color w:val="auto"/>
                <w:szCs w:val="21"/>
              </w:rPr>
              <w:t>.门诊预约</w:t>
            </w:r>
            <w:bookmarkEnd w:id="138"/>
          </w:p>
          <w:p w14:paraId="3C47B0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预约实现通过分诊台、医生诊间、自助机、门户网站、手机app，微信公众号等预约渠道实现门诊号源预约。门诊预约具备完善的排班管理功能，简化医务人员以往繁杂的排班流程，也实现多样的预约规则库避免医疗资源的浪费，同时依托分诊管理和大屏叫号，充分解决科室就医无序混乱等状态。</w:t>
            </w:r>
          </w:p>
          <w:p w14:paraId="5D1325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39" w:name="排班管理"/>
            <w:r>
              <w:rPr>
                <w:rFonts w:hint="eastAsia" w:cs="宋体" w:asciiTheme="majorEastAsia" w:hAnsiTheme="majorEastAsia" w:eastAsiaTheme="majorEastAsia"/>
                <w:color w:val="auto"/>
                <w:szCs w:val="21"/>
              </w:rPr>
              <w:t>）排班管理</w:t>
            </w:r>
            <w:bookmarkEnd w:id="139"/>
          </w:p>
          <w:p w14:paraId="4DD5F77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通过完善的排班管理功能对科室医生进行排班操作。计划排班与临时排班并行满足医院日常排班需求，排班设置完成后根据排班生成号源，同时通过节假日管理和时令管理确保号源只在医院工作日内的上下班时间生成。为了满足不同科室的需求，系统实现不同科室个性化配置可预约渠道，并实现为不同渠道设置不同的可预约号源数，同时搭配便捷快速的停诊和替诊操作，使排班更加合理化和智能化。</w:t>
            </w:r>
          </w:p>
          <w:p w14:paraId="5CA001A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计划排班</w:t>
            </w:r>
          </w:p>
          <w:p w14:paraId="51CD3E7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对医生进行周期性计划排班，可根据各科室的医生资源，为每个医生设定周一到周日的排班计划，包括计划开始日期、计划结束日期、医生号别、坐诊诊室、各班次号源等。实现专家/普通号、单医生多科室、单医生多号别、医生无固定诊室坐诊等多种排班模式，做到有计划有秩序的预约资源管理。</w:t>
            </w:r>
          </w:p>
          <w:p w14:paraId="36392B6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实现医生排班的模板化配置，能够根据模板动态生成排班，无需手动操作。号源提前生成天数可配置，系统根据生成的排班计划自动生成排班总览表，方便排班人员查看核对。</w:t>
            </w:r>
          </w:p>
          <w:p w14:paraId="7196D89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临时排班管理</w:t>
            </w:r>
          </w:p>
          <w:p w14:paraId="2032BA9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实现临时排班，可用于处理计划排班之外的排班。如法定节假日等需要特殊排班时，无需修改计划排班，只需添加临时排班即可。临时排班当日系统将按照临时排班生成号源替换原计划排班的号源。</w:t>
            </w:r>
          </w:p>
          <w:p w14:paraId="60261B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多渠道号源限制</w:t>
            </w:r>
          </w:p>
          <w:p w14:paraId="2DBF283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系统实现对自助机、公众号、网站等各预约渠道号源数的上限进行限制。例如：总号源为50，可设置自助机可预约数为20，公众号可预约数为30。则自助机最多可预约20个号源，公众号最多可预约30个号源。</w:t>
            </w:r>
          </w:p>
          <w:p w14:paraId="36240CE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节假日管理</w:t>
            </w:r>
          </w:p>
          <w:p w14:paraId="5C2D10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系统实现法定节假日时全院级的休假及补班管理。</w:t>
            </w:r>
          </w:p>
          <w:p w14:paraId="0601975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实现法定节假日指定选择日期进行全院休假处理，如可设定10月1日到10月3日全院休假，则这期间不生成号源，无法预约。</w:t>
            </w:r>
          </w:p>
          <w:p w14:paraId="347E477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实现选择指定日期补周几的班，如设定10月4日全院补周五的班，则10月4日这天系统会根据周五的排班生成号源。</w:t>
            </w:r>
          </w:p>
          <w:p w14:paraId="13110A4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替诊管理</w:t>
            </w:r>
          </w:p>
          <w:p w14:paraId="7D5AEB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出现排班医生无法正常出诊，需要该科室的其他医生替代排班医生进行看诊时，排班管理人员可通过替诊管理将已预约排班的患者转移到替诊的医生手中，并发送替诊通知告知预约患者。</w:t>
            </w:r>
          </w:p>
          <w:p w14:paraId="66704D2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停诊管理</w:t>
            </w:r>
          </w:p>
          <w:p w14:paraId="124F14E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单次停诊和周期性停诊。当排班医生因特殊原因无法正常出诊时，医生可提交停诊申请，审批通过后，系统自动停诊。停诊实现按时段停诊和按班次停诊。停诊后将通过短信、微信公众号等渠道发送停诊通知提前告知已预约该医生的患者。</w:t>
            </w:r>
          </w:p>
          <w:p w14:paraId="7974D75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同时系统实现对于已停诊的医生进行一键恢复，恢复原定的计划排班并生成号源。</w:t>
            </w:r>
          </w:p>
          <w:p w14:paraId="680A690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号源管理</w:t>
            </w:r>
          </w:p>
          <w:p w14:paraId="686DE4B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在号源详情管理可以查看所有已生成的号源信息，包括科室医生的号源使用情况和具体的号源预约信息。实现对指定医生、指定班次进行停诊及加号操作。</w:t>
            </w:r>
          </w:p>
          <w:p w14:paraId="31B81D8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时令管理</w:t>
            </w:r>
          </w:p>
          <w:p w14:paraId="20A0D3F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实现冬、夏时令的维护管理，医院可设定冬、夏时令开始日期与结束日期，也可根据医院提供的其他时令设定不同的排班作息时间。</w:t>
            </w:r>
          </w:p>
          <w:p w14:paraId="3675557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40" w:name="预约管理"/>
            <w:r>
              <w:rPr>
                <w:rFonts w:hint="eastAsia" w:cs="宋体" w:asciiTheme="majorEastAsia" w:hAnsiTheme="majorEastAsia" w:eastAsiaTheme="majorEastAsia"/>
                <w:color w:val="auto"/>
                <w:szCs w:val="21"/>
              </w:rPr>
              <w:t>）预约管理</w:t>
            </w:r>
            <w:bookmarkEnd w:id="140"/>
          </w:p>
          <w:p w14:paraId="483FB36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根据排班所生成的号源将在统一号源池进行集中管理，对外为患者提供多渠道预约服务，预约时根据预约规则进行限制，例如：年龄，性别，同班次号源重复预约等，实现号源不浪费节约医疗资源。</w:t>
            </w:r>
          </w:p>
          <w:p w14:paraId="0B7E853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预约规则</w:t>
            </w:r>
          </w:p>
          <w:p w14:paraId="039857D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提供多维度的预约规则配置，包括：性别，年龄，提前预约天数和放号时间，取消预约、同班次同科室预约规则等，满足不同科室的定制化预约管理要求。</w:t>
            </w:r>
          </w:p>
          <w:p w14:paraId="2909485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取号规则</w:t>
            </w:r>
          </w:p>
          <w:p w14:paraId="062710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号规则用于设置号源预约开放天数。根据医院需要，可给不同预约渠道分配不同的放号天数。例如：设置微信公众号放号天数为7天，则患者可预约7天内的号源；如给医生工作站设置放号天数15天，则医生可帮患者预约15天内的号源。</w:t>
            </w:r>
          </w:p>
          <w:p w14:paraId="10A0F32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性别规则</w:t>
            </w:r>
          </w:p>
          <w:p w14:paraId="23EE9F3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系统实现预约时对性别的限制，如：男性患者不能预约妇科、产科、妇产科门诊。</w:t>
            </w:r>
          </w:p>
          <w:p w14:paraId="51E022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年龄规则</w:t>
            </w:r>
          </w:p>
          <w:p w14:paraId="519501A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系统实现预约时对年龄的限制，如：儿科只允许14岁以下患者预约。</w:t>
            </w:r>
          </w:p>
          <w:p w14:paraId="5CF300D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时间冲突规则</w:t>
            </w:r>
          </w:p>
          <w:p w14:paraId="30DAFA7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预约时系统会结合患者其他门诊预约时间进行判断，错开其他项目的预约时间，保证所有的预约都准确有效，同时避免号源浪费的情况发生。</w:t>
            </w:r>
          </w:p>
          <w:p w14:paraId="415237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取消预约规则</w:t>
            </w:r>
          </w:p>
          <w:p w14:paraId="366C9C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为防止发生黄牛倒号及患者多次恶意取消预约导致号源浪费等情况，实现对一个月内患者取消预约次数做限制，可设定每月取消预约的上限数。超过设定次数时，患者将被记录进黑名单，从而限制预约。</w:t>
            </w:r>
          </w:p>
          <w:p w14:paraId="26D87AE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同班次同科室预约规则</w:t>
            </w:r>
          </w:p>
          <w:p w14:paraId="717241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为防止发生黄牛倒号，医院可根据需要设置相应规则：患者不可多次预约同班次、同科室医生。</w:t>
            </w:r>
          </w:p>
          <w:p w14:paraId="69FCD51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多渠道预约</w:t>
            </w:r>
          </w:p>
          <w:p w14:paraId="300E1D1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实现多渠道预约，如分诊台、收费窗口、自助机、微信公众号、医生工作站等。</w:t>
            </w:r>
          </w:p>
          <w:p w14:paraId="32C29F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分诊台预约</w:t>
            </w:r>
          </w:p>
          <w:p w14:paraId="0EF094E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提供分诊台预约功能，实现为患者预约该分诊台管理的科室范围的预约号源，包括预约号取号和现场号取号。</w:t>
            </w:r>
          </w:p>
          <w:p w14:paraId="6D696D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收费窗口预约</w:t>
            </w:r>
          </w:p>
          <w:p w14:paraId="31CDD3D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实现收费窗口预约功能，可为患者提供预约全院现场号和预约号。</w:t>
            </w:r>
          </w:p>
          <w:p w14:paraId="4F7A04F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诊间预约</w:t>
            </w:r>
          </w:p>
          <w:p w14:paraId="76C3349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实现医生工作站诊间的预约功能，医生在诊间可为患者预约自己或者其他医生。</w:t>
            </w:r>
          </w:p>
          <w:p w14:paraId="1FD74D2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自助机预约</w:t>
            </w:r>
          </w:p>
          <w:p w14:paraId="039FBB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实现与自助机对接提供自助机预约功能，实现检索医生或者按照科室－医生进行预约。</w:t>
            </w:r>
          </w:p>
          <w:p w14:paraId="5C788AA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公众号/APP预约</w:t>
            </w:r>
          </w:p>
          <w:p w14:paraId="059B671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实现与微信公众号或者APP对接提供移动端的门诊预约功能，实现检索医生或者按照科室－医生进行预约。</w:t>
            </w:r>
          </w:p>
          <w:p w14:paraId="66BE740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电话预约</w:t>
            </w:r>
          </w:p>
          <w:p w14:paraId="119D19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实现电话预约，患者通过电话联系医院客服人员，实现客服人员通过患者身份证或者卡号为患者预约就诊医生，未建档的患者，实现无卡建档后进行预约。</w:t>
            </w:r>
          </w:p>
          <w:p w14:paraId="62796C7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区域平台预约</w:t>
            </w:r>
          </w:p>
          <w:p w14:paraId="7AF04F8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实现与区域平台进行对接，同步号源排班与号源预约状态，实现区域平台预约。</w:t>
            </w:r>
          </w:p>
          <w:p w14:paraId="5CECCA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专家号/科室普通号预约</w:t>
            </w:r>
          </w:p>
          <w:p w14:paraId="15B205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普通号预约与专家号预约。普通号预约只预约到具体科室的号源，实现按照科室普通号进行预约，普通号队列实现分诊台二次分诊到固定医生队列，也实现多位医生共享叫号普通队列。专家号预约可预约到指定的医生，预约成功后进入该医生的队列。</w:t>
            </w:r>
          </w:p>
          <w:p w14:paraId="0B7F796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取消预约</w:t>
            </w:r>
          </w:p>
          <w:p w14:paraId="3407293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实现已预约的患者取消预约，取消预约实现线上取消和线下取消，取消后的号源会被释放提供给其他患者预约。</w:t>
            </w:r>
          </w:p>
          <w:p w14:paraId="35B2246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改期预约</w:t>
            </w:r>
          </w:p>
          <w:p w14:paraId="08D30E2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患者无法按期就诊时，可以选择改签到其他日期。改签成功后，原预约号源会被释放提供给其他患者预约。</w:t>
            </w:r>
          </w:p>
          <w:p w14:paraId="472A8E9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号源查询</w:t>
            </w:r>
          </w:p>
          <w:p w14:paraId="78BD97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实现查看某时间段内科室医生的预约情况，包括预约人数、剩余号源情况、总号源数、已预约未签到人数及相应的特殊预约情况。</w:t>
            </w:r>
          </w:p>
          <w:p w14:paraId="59B35BD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预约记录查询</w:t>
            </w:r>
          </w:p>
          <w:p w14:paraId="6CEF4B8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实现查看指定患者的预约详情，包括预约时间、预约科室、预约状态等信息。</w:t>
            </w:r>
          </w:p>
          <w:p w14:paraId="32EB2A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41" w:name="签到管理"/>
            <w:r>
              <w:rPr>
                <w:rFonts w:hint="eastAsia" w:cs="宋体" w:asciiTheme="majorEastAsia" w:hAnsiTheme="majorEastAsia" w:eastAsiaTheme="majorEastAsia"/>
                <w:color w:val="auto"/>
                <w:szCs w:val="21"/>
              </w:rPr>
              <w:t>）签到管理</w:t>
            </w:r>
            <w:bookmarkEnd w:id="141"/>
          </w:p>
          <w:p w14:paraId="1B34EF0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实现患者在分诊台、自助机、公众号等进行签到候诊，签到时遵循签到规则并且实现对于已签到的患者进行查询。</w:t>
            </w:r>
          </w:p>
          <w:p w14:paraId="188B223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签到规则</w:t>
            </w:r>
          </w:p>
          <w:p w14:paraId="20CB7A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1）正常签到时间规则</w:t>
            </w:r>
          </w:p>
          <w:p w14:paraId="48A0C08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可设置提前多少分钟、延后多少分钟可签到。例如：设置提前30分钟、延后30分钟，则预约到8:00-8:30的患者，可在7:30-9:00正常签到。</w:t>
            </w:r>
          </w:p>
          <w:p w14:paraId="106EBA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可设置各班次的具体可签到时间。例如：设置上午号源可签到时间为7:30-12:00，则预约在上午时段的患者在7:30-12:00都可以正常签到。</w:t>
            </w:r>
          </w:p>
          <w:p w14:paraId="05AAE3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2）正常签到候诊顺序</w:t>
            </w:r>
          </w:p>
          <w:p w14:paraId="2045372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若根据时间段预约，则预约在同一时段内的患者，先签到先就诊。</w:t>
            </w:r>
          </w:p>
          <w:p w14:paraId="43FFFFE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若根据时间点预约，则按照患者预约号源的先后顺序进行排队候诊。</w:t>
            </w:r>
          </w:p>
          <w:p w14:paraId="4D0AA4B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迟到规则</w:t>
            </w:r>
          </w:p>
          <w:p w14:paraId="4F95095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迟到规则主要针对未能按时签到的患者设定的叫号规则。迟到规则实现对迟到时间范围进行设置，例如：可设置超过预约时间30分钟后未签到视为迟到。</w:t>
            </w:r>
          </w:p>
          <w:p w14:paraId="7B0E3AB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迟到规则实现对迟到患者设置延后看诊顺序，可根据各科室实际需求灵活配置。</w:t>
            </w:r>
          </w:p>
          <w:p w14:paraId="765245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1）迟到患者原预约号源失效，患者需重新预约。</w:t>
            </w:r>
          </w:p>
          <w:p w14:paraId="2C2B1F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2）迟到患者签到后排在当前时间段的最后一个，即医生优先看诊同一时段未迟到的患者。</w:t>
            </w:r>
          </w:p>
          <w:p w14:paraId="072507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3）迟到患者签到后自动延后几位。</w:t>
            </w:r>
          </w:p>
          <w:p w14:paraId="207CA0D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过号规则</w:t>
            </w:r>
          </w:p>
          <w:p w14:paraId="750A36E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过号规则主要针对已签到但是未能及时就诊的患者进行二次叫号。系统实现多种过号规则，可根据各科室实际需求进行配置。</w:t>
            </w:r>
          </w:p>
          <w:p w14:paraId="312FAF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1）过号患者安排在当前时间段的最后一位。</w:t>
            </w:r>
          </w:p>
          <w:p w14:paraId="675BCA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2）过号后自动延后几位。</w:t>
            </w:r>
          </w:p>
          <w:p w14:paraId="5581A9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取消规则</w:t>
            </w:r>
          </w:p>
          <w:p w14:paraId="79BAAD7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签到后可到分诊台取消签到，取消后退出叫号队列并取消当前预约号，实现取消后重新预约其他号源。</w:t>
            </w:r>
          </w:p>
          <w:p w14:paraId="477FB79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爽约规则</w:t>
            </w:r>
          </w:p>
          <w:p w14:paraId="5245063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患者在一定时间内（如30天）爽约次数（预约未就诊）达到上限要求，自动将患者加入黑名单，需要进行申诉移出黑名单后才可以再次预约，爽约规则可根据医院科室需求进行个性化配置。</w:t>
            </w:r>
          </w:p>
          <w:p w14:paraId="560966C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签到查询</w:t>
            </w:r>
          </w:p>
          <w:p w14:paraId="4C251B7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在科室分诊台可查询诊室已签到/未签到具体情况。</w:t>
            </w:r>
          </w:p>
          <w:p w14:paraId="2BBE9D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42" w:name="门诊分诊管理"/>
            <w:r>
              <w:rPr>
                <w:rFonts w:hint="eastAsia" w:cs="宋体" w:asciiTheme="majorEastAsia" w:hAnsiTheme="majorEastAsia" w:eastAsiaTheme="majorEastAsia"/>
                <w:color w:val="auto"/>
                <w:szCs w:val="21"/>
              </w:rPr>
              <w:t>.门诊分诊管理</w:t>
            </w:r>
            <w:bookmarkEnd w:id="142"/>
          </w:p>
          <w:p w14:paraId="32CC8EF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分诊管理帮助分诊人员根据患者病情及预约情况，确定患者看诊优先次序，可通过签到、回诊上屏、优先叫号等分诊规则实现分诊队列调整，解决患者在看病中所遇到的各种排队、拥挤和混乱等现象，避免患者反复进出诊室、打乱诊疗秩序。</w:t>
            </w:r>
          </w:p>
          <w:p w14:paraId="53921E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1）队列管理</w:t>
            </w:r>
          </w:p>
          <w:p w14:paraId="26B20F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分诊台护士在队列管理中对多个诊室队列进行管理，可实时同步各科室的候诊情况，帮助护士实时掌握候诊情况，包括未签到、候诊、呼叫中、已过号、已就诊等排队情况。护士还可查看号源使用情况及呼叫情况。</w:t>
            </w:r>
          </w:p>
          <w:p w14:paraId="1437F4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43" w:name="回诊管理"/>
            <w:r>
              <w:rPr>
                <w:rFonts w:hint="eastAsia" w:cs="宋体" w:asciiTheme="majorEastAsia" w:hAnsiTheme="majorEastAsia" w:eastAsiaTheme="majorEastAsia"/>
                <w:color w:val="auto"/>
                <w:szCs w:val="21"/>
              </w:rPr>
              <w:t>回诊管理</w:t>
            </w:r>
            <w:bookmarkEnd w:id="143"/>
          </w:p>
          <w:p w14:paraId="39600E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患者优先回诊到原医生，若回诊当天跨班次原医生无排班，则可选择同科室其他医生进行回诊。</w:t>
            </w:r>
          </w:p>
          <w:p w14:paraId="5B0FF885">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回诊天数管理</w:t>
            </w:r>
          </w:p>
          <w:p w14:paraId="7C33106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回诊规则用于配置回诊患者的预约规则，回诊规则实现设置可回诊天数，例如：设置回诊天数设为3，则3天内患者看诊相同科室时无需重新挂号，直接到院进行回诊签到即可。</w:t>
            </w:r>
          </w:p>
          <w:p w14:paraId="3C93406A">
            <w:pPr>
              <w:spacing w:line="440" w:lineRule="exact"/>
              <w:ind w:left="36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回诊顺序管理</w:t>
            </w:r>
          </w:p>
          <w:p w14:paraId="249549A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实现对回诊患者候诊队列顺序进行配置，提供多种方式可自行配置。</w:t>
            </w:r>
          </w:p>
          <w:p w14:paraId="50E9B784">
            <w:pPr>
              <w:spacing w:line="440" w:lineRule="exact"/>
              <w:ind w:left="42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1）可配置间隔几个初诊号插入一个回诊号，即隔几插1。例如：设置隔2插1，则回诊患者签到后，分诊排队队列自动根据配置规则，在2个初诊号源后插入1个回诊号，即可实现2个初诊患者、1个回诊患者交替看诊。</w:t>
            </w:r>
          </w:p>
          <w:p w14:paraId="72BBF185">
            <w:pPr>
              <w:spacing w:line="440" w:lineRule="exact"/>
              <w:ind w:left="42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2）可配置回诊患者插入候诊队列的指定位置。例如：设置回诊患者指定排在队列第3位。</w:t>
            </w:r>
          </w:p>
          <w:p w14:paraId="3DA48729">
            <w:pPr>
              <w:spacing w:line="440" w:lineRule="exact"/>
              <w:ind w:left="425"/>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44" w:name="优先规则"/>
            <w:r>
              <w:rPr>
                <w:rFonts w:hint="eastAsia" w:cs="宋体" w:asciiTheme="majorEastAsia" w:hAnsiTheme="majorEastAsia" w:eastAsiaTheme="majorEastAsia"/>
                <w:color w:val="auto"/>
                <w:szCs w:val="21"/>
              </w:rPr>
              <w:t>优先规则</w:t>
            </w:r>
            <w:bookmarkEnd w:id="144"/>
          </w:p>
          <w:p w14:paraId="050B359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实现对老人、儿童、军人及孕妇等特殊身份的患者配置不同的优先规则。例如：可设置70岁老人签到后自动插入到当前队列的第一位，则70岁老人可免除长时间的等候优先看诊。</w:t>
            </w:r>
          </w:p>
          <w:p w14:paraId="0B6FB28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145" w:name="动态加号"/>
            <w:r>
              <w:rPr>
                <w:rFonts w:hint="eastAsia" w:cs="宋体" w:asciiTheme="majorEastAsia" w:hAnsiTheme="majorEastAsia" w:eastAsiaTheme="majorEastAsia"/>
                <w:color w:val="auto"/>
                <w:szCs w:val="21"/>
              </w:rPr>
              <w:t>动态加号</w:t>
            </w:r>
            <w:bookmarkEnd w:id="145"/>
          </w:p>
          <w:p w14:paraId="052810F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分诊人员可以根据号源剩余情况及候诊情况，给指定医生进行加号，加号后患者即可在预约渠道进行预约，从而避免发生因患者迟到爽约导致医生空闲等情况。</w:t>
            </w:r>
          </w:p>
          <w:p w14:paraId="4B64976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146" w:name="诊室变更"/>
            <w:r>
              <w:rPr>
                <w:rFonts w:hint="eastAsia" w:cs="宋体" w:asciiTheme="majorEastAsia" w:hAnsiTheme="majorEastAsia" w:eastAsiaTheme="majorEastAsia"/>
                <w:color w:val="auto"/>
                <w:szCs w:val="21"/>
              </w:rPr>
              <w:t>诊室变更</w:t>
            </w:r>
            <w:bookmarkEnd w:id="146"/>
          </w:p>
          <w:p w14:paraId="5A2BC1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因特殊情况医生需要更换坐诊诊室时，可通过分诊台变更诊室，同步更新大屏显示信息，医生叫号时会通知患者到新诊室就诊。</w:t>
            </w:r>
          </w:p>
          <w:p w14:paraId="042614B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47" w:name="停诊管理"/>
            <w:r>
              <w:rPr>
                <w:rFonts w:hint="eastAsia" w:cs="宋体" w:asciiTheme="majorEastAsia" w:hAnsiTheme="majorEastAsia" w:eastAsiaTheme="majorEastAsia"/>
                <w:color w:val="auto"/>
                <w:szCs w:val="21"/>
              </w:rPr>
              <w:t>停诊管理</w:t>
            </w:r>
            <w:bookmarkEnd w:id="147"/>
          </w:p>
          <w:p w14:paraId="022391A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医生无法按计划出诊时，可以通过停诊功能关闭该医生的当天或者当班次的预约号源。通过发送停诊通知告知已预约患者，并将原预约取消，以便患者再次进行其他预约。</w:t>
            </w:r>
          </w:p>
          <w:p w14:paraId="17719C2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148" w:name="锁号管理"/>
            <w:r>
              <w:rPr>
                <w:rFonts w:hint="eastAsia" w:cs="宋体" w:asciiTheme="majorEastAsia" w:hAnsiTheme="majorEastAsia" w:eastAsiaTheme="majorEastAsia"/>
                <w:color w:val="auto"/>
                <w:szCs w:val="21"/>
              </w:rPr>
              <w:t>锁号管理</w:t>
            </w:r>
            <w:bookmarkEnd w:id="148"/>
          </w:p>
          <w:p w14:paraId="0F4BF05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医生临时有事无法继续看诊时，可通过锁号功能将后续未预约号源锁号，被锁号的号源无法预约。</w:t>
            </w:r>
          </w:p>
          <w:p w14:paraId="409AFD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8）</w:t>
            </w:r>
            <w:bookmarkStart w:id="149" w:name="转诊规则"/>
            <w:r>
              <w:rPr>
                <w:rFonts w:hint="eastAsia" w:cs="宋体" w:asciiTheme="majorEastAsia" w:hAnsiTheme="majorEastAsia" w:eastAsiaTheme="majorEastAsia"/>
                <w:color w:val="auto"/>
                <w:szCs w:val="21"/>
              </w:rPr>
              <w:t>转诊规则</w:t>
            </w:r>
            <w:bookmarkEnd w:id="149"/>
          </w:p>
          <w:p w14:paraId="0DCF71E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已签到患者需要更换医生时，实现通过转诊功能，转诊到指定医生的指定号源。原号源自动释放，可给其他患者预约。</w:t>
            </w:r>
          </w:p>
          <w:p w14:paraId="68CC58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50" w:name="门诊大屏叫号"/>
            <w:r>
              <w:rPr>
                <w:rFonts w:hint="eastAsia" w:cs="宋体" w:asciiTheme="majorEastAsia" w:hAnsiTheme="majorEastAsia" w:eastAsiaTheme="majorEastAsia"/>
                <w:color w:val="auto"/>
                <w:szCs w:val="21"/>
              </w:rPr>
              <w:t>.门诊大屏叫号</w:t>
            </w:r>
            <w:bookmarkEnd w:id="150"/>
          </w:p>
          <w:p w14:paraId="6F0ACC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门诊大屏叫号方便患者直观地查看坐诊医生的候诊队列，医生通过诊间叫号呼叫患者就诊，患者被呼叫即可根据大屏提示进入相关诊室就诊，保障门诊就诊秩序。</w:t>
            </w:r>
          </w:p>
          <w:p w14:paraId="21DD5B5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1）诊间叫号</w:t>
            </w:r>
          </w:p>
          <w:p w14:paraId="3DD64D7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系统实现医生诊间叫号，医生在诊间即可呼叫下一位、完成就诊、选呼、重呼、过号重呼等操作。</w:t>
            </w:r>
          </w:p>
          <w:p w14:paraId="45C2C29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2）候诊大屏</w:t>
            </w:r>
          </w:p>
          <w:p w14:paraId="0453D5C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不同的门诊诊室配置大屏显示规则，显示患者排队信息，包括当前就诊患者姓名、就诊状态（正在就诊，等待就诊），就诊诊室信息等，为患者提供直观的候诊队列信息。提供候诊区域大屏，诊室门口小屏，多种大屏联动，满足不同科室需求。</w:t>
            </w:r>
          </w:p>
          <w:p w14:paraId="06903AA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3）诊室小屏</w:t>
            </w:r>
          </w:p>
          <w:p w14:paraId="41D5E88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医生诊室门口小屏显示当前该诊室坐诊医生的基本信息，当前正在就诊的患者以及等候患者的信息，当医生呼叫下一个时，小屏同步进行联动。</w:t>
            </w:r>
          </w:p>
          <w:p w14:paraId="49E6A33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4）语音播报</w:t>
            </w:r>
          </w:p>
          <w:p w14:paraId="1F1E40D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屏叫号系统实现根据排队患者信息实现语音播报，提醒患者及时前往对应诊室就诊。系统能够同步、清晰和准确的发音，可自定义呼叫内容，播报语音可选择女声或男声，播报次数也可自行设置。具备按候诊区划分、语音效果可覆盖整个候诊区的语音播报功能。</w:t>
            </w:r>
          </w:p>
        </w:tc>
        <w:tc>
          <w:tcPr>
            <w:tcW w:w="379" w:type="pct"/>
            <w:tcBorders>
              <w:top w:val="single" w:color="auto" w:sz="4" w:space="0"/>
              <w:left w:val="single" w:color="auto" w:sz="4" w:space="0"/>
              <w:bottom w:val="single" w:color="auto" w:sz="4" w:space="0"/>
              <w:right w:val="single" w:color="auto" w:sz="4" w:space="0"/>
            </w:tcBorders>
            <w:vAlign w:val="center"/>
          </w:tcPr>
          <w:p w14:paraId="1E5977B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D0C1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right w:val="single" w:color="auto" w:sz="4" w:space="0"/>
            </w:tcBorders>
            <w:vAlign w:val="center"/>
          </w:tcPr>
          <w:p w14:paraId="1A5CB581">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27C7D98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检查预约系统</w:t>
            </w:r>
          </w:p>
        </w:tc>
        <w:tc>
          <w:tcPr>
            <w:tcW w:w="3788" w:type="pct"/>
            <w:tcBorders>
              <w:top w:val="single" w:color="auto" w:sz="4" w:space="0"/>
              <w:left w:val="single" w:color="auto" w:sz="4" w:space="0"/>
              <w:bottom w:val="single" w:color="auto" w:sz="4" w:space="0"/>
              <w:right w:val="single" w:color="auto" w:sz="4" w:space="0"/>
            </w:tcBorders>
            <w:vAlign w:val="center"/>
          </w:tcPr>
          <w:p w14:paraId="470688F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51" w:name="超声预约"/>
            <w:r>
              <w:rPr>
                <w:rFonts w:hint="eastAsia" w:cs="宋体" w:asciiTheme="majorEastAsia" w:hAnsiTheme="majorEastAsia" w:eastAsiaTheme="majorEastAsia"/>
                <w:color w:val="auto"/>
                <w:szCs w:val="21"/>
              </w:rPr>
              <w:t>.超声预约</w:t>
            </w:r>
            <w:bookmarkEnd w:id="151"/>
          </w:p>
          <w:p w14:paraId="0263E05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超声预约实现多项目进行指定预约（自主选择预约时间）、组合预约（多项目同诊室同设备占用一个号源）、快速预约（按照最近号源快速预约），或者一键预约（按照检查时间最短原则制定预约计划）。为已预约的患者提供签到排队功能，优化就诊顺序，对于不满足检查条件的患者，提供挂起功能（例如腹部超声检查需要憋尿，达不到检查要求的患者暂时挂起），让后续已满足就诊条件的患者优先检查，等满足检查条件后，再进行呼叫检查。同时由于孕妇超声检查的特殊性，对于产科超声检查，根据当前孕期自动匹配检查孕周规则，自动将产妇的预约时间定位到适合检查的时间周期，减少人工计算预约时间导致的误差，提高分诊台人员的工作效率。 </w:t>
            </w:r>
          </w:p>
          <w:p w14:paraId="120CDAC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52" w:name="放射预约"/>
            <w:r>
              <w:rPr>
                <w:rFonts w:hint="eastAsia" w:cs="宋体" w:asciiTheme="majorEastAsia" w:hAnsiTheme="majorEastAsia" w:eastAsiaTheme="majorEastAsia"/>
                <w:color w:val="auto"/>
                <w:szCs w:val="21"/>
              </w:rPr>
              <w:t>.放射预约</w:t>
            </w:r>
            <w:bookmarkEnd w:id="152"/>
          </w:p>
          <w:p w14:paraId="4C1E070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系统实现获取CT、增强CT、DR、MRI等放射检查项目的检查申请单，提供患者进行放射检查预约操作。实现根据不同检查科室的管理需要，可以配置门诊及住院患者的检查数量，满足医院对门诊及住院放射检查的管理需要。同时系统实现根据不同放射检查项目的特点，对各类放射检查设置不同的预约规则。如磁共振（MRI）检查耗时与检查部位有关，实现设置不同项目检查部位的检查时间和占用号源数量，优化MR科室的号源利用率。患者完成预约签到后生成候诊队列，与大屏叫号系统联动，改变以往通过检查单人工排队模式，提高检查科室的检查效率。 </w:t>
            </w:r>
          </w:p>
          <w:p w14:paraId="20A8E96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53" w:name="心电预约"/>
            <w:r>
              <w:rPr>
                <w:rFonts w:hint="eastAsia" w:cs="宋体" w:asciiTheme="majorEastAsia" w:hAnsiTheme="majorEastAsia" w:eastAsiaTheme="majorEastAsia"/>
                <w:color w:val="auto"/>
                <w:szCs w:val="21"/>
              </w:rPr>
              <w:t>.心电预约</w:t>
            </w:r>
            <w:bookmarkEnd w:id="153"/>
          </w:p>
          <w:p w14:paraId="00644C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获取心电检查项目的检查申请单，提供患者进行心电检查预约操作。常规心电检查依据医院现行的常规心电检查规则，进行签到、生成候诊排队，实现与叫号大屏系统呼叫信息联动。动态心电检查根据设备使用情况进行预约，设置检查时间，查看排队列表。可以直观显示当前诊疗患者以及预约排队患者，设备使用情况。</w:t>
            </w:r>
          </w:p>
          <w:p w14:paraId="67C415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154" w:name="内窥镜预约"/>
            <w:r>
              <w:rPr>
                <w:rFonts w:hint="eastAsia" w:cs="宋体" w:asciiTheme="majorEastAsia" w:hAnsiTheme="majorEastAsia" w:eastAsiaTheme="majorEastAsia"/>
                <w:color w:val="auto"/>
                <w:szCs w:val="21"/>
              </w:rPr>
              <w:t>.内窥镜预约</w:t>
            </w:r>
            <w:bookmarkEnd w:id="154"/>
          </w:p>
          <w:p w14:paraId="28C7B10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内窥镜检查预约覆盖常规胃肠镜及镇静下胃肠镜等多个项目的检查预约，实现按不同项目、诊室、设备灵活配置预约资源。</w:t>
            </w:r>
          </w:p>
          <w:p w14:paraId="01F6DBB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155" w:name="检查规则库"/>
            <w:r>
              <w:rPr>
                <w:rFonts w:hint="eastAsia" w:cs="宋体" w:asciiTheme="majorEastAsia" w:hAnsiTheme="majorEastAsia" w:eastAsiaTheme="majorEastAsia"/>
                <w:color w:val="auto"/>
                <w:szCs w:val="21"/>
              </w:rPr>
              <w:t>.检查规则库</w:t>
            </w:r>
            <w:bookmarkEnd w:id="155"/>
          </w:p>
          <w:p w14:paraId="57665F9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为患者提供多渠道（公众号、自助机、分诊台、医生诊间等）的检查预约服务，实现根据超声、放射、心电、内窥镜等各科室维护的智能预约规则，自动为患者安排最优的预约路径，缓解分诊台的预约压力，减少患者来回奔波。</w:t>
            </w:r>
          </w:p>
          <w:p w14:paraId="057549E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56" w:name="检查项目管理"/>
            <w:r>
              <w:rPr>
                <w:rFonts w:hint="eastAsia" w:cs="宋体" w:asciiTheme="majorEastAsia" w:hAnsiTheme="majorEastAsia" w:eastAsiaTheme="majorEastAsia"/>
                <w:color w:val="auto"/>
                <w:szCs w:val="21"/>
              </w:rPr>
              <w:t>检查项目管理</w:t>
            </w:r>
            <w:bookmarkEnd w:id="156"/>
          </w:p>
          <w:p w14:paraId="1D436C1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管理实现同步his的项目数据并且对于项目权重进行自定义配置，以满足不同检查科室的预约业务需求。同时实现将检查项目进行分组管理以及关联管理，满足患者同科室的多项目检查时进行组合预约，占用一个号源，避免号源浪费。</w:t>
            </w:r>
          </w:p>
          <w:p w14:paraId="28602C6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57" w:name="检查排班管理"/>
            <w:r>
              <w:rPr>
                <w:rFonts w:hint="eastAsia" w:cs="宋体" w:asciiTheme="majorEastAsia" w:hAnsiTheme="majorEastAsia" w:eastAsiaTheme="majorEastAsia"/>
                <w:color w:val="auto"/>
                <w:szCs w:val="21"/>
              </w:rPr>
              <w:t>检查排班管理</w:t>
            </w:r>
            <w:bookmarkEnd w:id="157"/>
          </w:p>
          <w:p w14:paraId="1F5E70B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排班管理功能对检查科室进行排班，计划排班与临时排班并行满足医院日常排班需求，计划排班通过维护排班模板定期自动生成号源，临时排班维护一次性排班模板用于临时号源生成，同时通过节假日管理和时令管理确保号源只在医院工作日内的上下班时间生成，同时提供便捷快速的停诊和调班操作。</w:t>
            </w:r>
          </w:p>
          <w:p w14:paraId="7A6A01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58" w:name="检查预约管理"/>
            <w:r>
              <w:rPr>
                <w:rFonts w:hint="eastAsia" w:cs="宋体" w:asciiTheme="majorEastAsia" w:hAnsiTheme="majorEastAsia" w:eastAsiaTheme="majorEastAsia"/>
                <w:color w:val="auto"/>
                <w:szCs w:val="21"/>
              </w:rPr>
              <w:t>检查预约管理</w:t>
            </w:r>
            <w:bookmarkEnd w:id="158"/>
          </w:p>
          <w:p w14:paraId="08CC787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预约实现门诊预约和住院预约，同时通过组合预约，拆分预约与特殊预约相结合，满足不同患者的预约需求。若患者因突发情况不能及时检查，实现预约成功后进行取消再约，同时也实现工作人员查询预约资源和预约日志，做到预约更灵活更便捷，使预约有迹可循。</w:t>
            </w:r>
          </w:p>
          <w:p w14:paraId="249B312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159" w:name="预约策略"/>
            <w:r>
              <w:rPr>
                <w:rFonts w:hint="eastAsia" w:cs="宋体" w:asciiTheme="majorEastAsia" w:hAnsiTheme="majorEastAsia" w:eastAsiaTheme="majorEastAsia"/>
                <w:color w:val="auto"/>
                <w:szCs w:val="21"/>
              </w:rPr>
              <w:t>预约策略</w:t>
            </w:r>
            <w:bookmarkEnd w:id="159"/>
          </w:p>
          <w:p w14:paraId="1F44C4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检查科室可设置不同的预约策略，预约时根据策略将患者预约到不同诊室下，预约策略包括：工作量优先，自主分配，剩余号源优先及机器预约。</w:t>
            </w:r>
          </w:p>
          <w:p w14:paraId="0645294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5）</w:t>
            </w:r>
            <w:bookmarkStart w:id="160" w:name="预约规则库"/>
            <w:r>
              <w:rPr>
                <w:rFonts w:hint="eastAsia" w:cs="宋体" w:asciiTheme="majorEastAsia" w:hAnsiTheme="majorEastAsia" w:eastAsiaTheme="majorEastAsia"/>
                <w:color w:val="auto"/>
                <w:szCs w:val="21"/>
              </w:rPr>
              <w:t>预约规则库</w:t>
            </w:r>
            <w:bookmarkEnd w:id="160"/>
          </w:p>
          <w:p w14:paraId="220DE19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检查预约时，由于进行不同检查项目具有不同的要求，为了预约更加智能，避免患者预约后不能进行检查。系统实现多种预约规则的配置，根据各类型预约规则对预约时间安排进行限制，安排合理的预约计划。</w:t>
            </w:r>
          </w:p>
          <w:p w14:paraId="43D93B1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61" w:name="检查事项提醒"/>
            <w:r>
              <w:rPr>
                <w:rFonts w:hint="eastAsia" w:cs="宋体" w:asciiTheme="majorEastAsia" w:hAnsiTheme="majorEastAsia" w:eastAsiaTheme="majorEastAsia"/>
                <w:color w:val="auto"/>
                <w:szCs w:val="21"/>
              </w:rPr>
              <w:t>检查事项提醒</w:t>
            </w:r>
            <w:bookmarkEnd w:id="161"/>
          </w:p>
          <w:p w14:paraId="1B8D83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实现根据科室、检查项目的检查注意事项配置对应的检查事项提醒，为患者提供指导和建议。</w:t>
            </w:r>
          </w:p>
          <w:p w14:paraId="7923E9A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例如：普通胃镜在检查前至少6小时不能进食与饮水。</w:t>
            </w:r>
          </w:p>
          <w:p w14:paraId="13746C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上午检查：前一天晚上10点后开始禁止饮食和饮水。</w:t>
            </w:r>
          </w:p>
          <w:p w14:paraId="7AEE09B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下午检查：早上可进食少量稀早餐，8点后禁止饮食和饮水。</w:t>
            </w:r>
          </w:p>
          <w:p w14:paraId="037E9CD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w:t>
            </w:r>
            <w:bookmarkStart w:id="162" w:name="检查分诊管理"/>
            <w:r>
              <w:rPr>
                <w:rFonts w:hint="eastAsia" w:cs="宋体" w:asciiTheme="majorEastAsia" w:hAnsiTheme="majorEastAsia" w:eastAsiaTheme="majorEastAsia"/>
                <w:color w:val="auto"/>
                <w:szCs w:val="21"/>
              </w:rPr>
              <w:t>.检查分诊管理</w:t>
            </w:r>
            <w:bookmarkEnd w:id="162"/>
          </w:p>
          <w:p w14:paraId="6168877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检查分诊管理通过动态挂起和优先叫号，帮助检查人员进行患者队列的查看及动态调整，实现特殊患者优先检查，迟到患者挂起及二次呼叫。</w:t>
            </w:r>
          </w:p>
          <w:p w14:paraId="7DBA5C5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63" w:name="队列管理"/>
            <w:r>
              <w:rPr>
                <w:rFonts w:hint="eastAsia" w:cs="宋体" w:asciiTheme="majorEastAsia" w:hAnsiTheme="majorEastAsia" w:eastAsiaTheme="majorEastAsia"/>
                <w:color w:val="auto"/>
                <w:szCs w:val="21"/>
              </w:rPr>
              <w:t>队列管理</w:t>
            </w:r>
            <w:bookmarkEnd w:id="163"/>
          </w:p>
          <w:p w14:paraId="5B0FA97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实现分诊台护士在队列管理中对多个诊室队列进行管理，实时同步各诊室的候诊情况，包括准备完成、候诊、检查中、已完成等排队情况。</w:t>
            </w:r>
          </w:p>
          <w:p w14:paraId="1D2AA6D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64" w:name="优先叫号"/>
            <w:r>
              <w:rPr>
                <w:rFonts w:hint="eastAsia" w:cs="宋体" w:asciiTheme="majorEastAsia" w:hAnsiTheme="majorEastAsia" w:eastAsiaTheme="majorEastAsia"/>
                <w:color w:val="auto"/>
                <w:szCs w:val="21"/>
              </w:rPr>
              <w:t>优先叫号</w:t>
            </w:r>
            <w:bookmarkEnd w:id="164"/>
          </w:p>
          <w:p w14:paraId="6402542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实现对队列中的特殊人群（急诊、军人、军属等）实现优先叫号，解决特殊患者的看病排队等候问题。</w:t>
            </w:r>
          </w:p>
          <w:p w14:paraId="7A01C2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65" w:name="动态挂起"/>
            <w:r>
              <w:rPr>
                <w:rFonts w:hint="eastAsia" w:cs="宋体" w:asciiTheme="majorEastAsia" w:hAnsiTheme="majorEastAsia" w:eastAsiaTheme="majorEastAsia"/>
                <w:color w:val="auto"/>
                <w:szCs w:val="21"/>
              </w:rPr>
              <w:t>动态挂起</w:t>
            </w:r>
            <w:bookmarkEnd w:id="165"/>
          </w:p>
          <w:p w14:paraId="2E79C20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未按时就诊的患者采用挂起机制，优先让已到患者进行检查。动态挂起操作可通过叫号系统设置，例如在叫号指定次数内患者未到达，实现挂起当前患者，优先呼叫已到患者。若被挂起的患者到达分诊台，实现二次叫号及确认，提高了检查诊室的就诊效率。</w:t>
            </w:r>
          </w:p>
          <w:p w14:paraId="785D36D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bookmarkStart w:id="166" w:name="检查大屏叫号"/>
            <w:r>
              <w:rPr>
                <w:rFonts w:hint="eastAsia" w:cs="宋体" w:asciiTheme="majorEastAsia" w:hAnsiTheme="majorEastAsia" w:eastAsiaTheme="majorEastAsia"/>
                <w:color w:val="auto"/>
                <w:szCs w:val="21"/>
              </w:rPr>
              <w:t>.检查大屏叫号</w:t>
            </w:r>
            <w:bookmarkEnd w:id="166"/>
          </w:p>
          <w:p w14:paraId="375382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候诊大屏动态显示当前检查候诊队列，方便患者随时查看当前候诊信息，做好时间安排。语音播报呼叫患者进行检查，减少了分诊台人员的工作量。</w:t>
            </w:r>
          </w:p>
          <w:p w14:paraId="52F03CE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67" w:name="诊间叫号"/>
            <w:r>
              <w:rPr>
                <w:rFonts w:hint="eastAsia" w:cs="宋体" w:asciiTheme="majorEastAsia" w:hAnsiTheme="majorEastAsia" w:eastAsiaTheme="majorEastAsia"/>
                <w:color w:val="auto"/>
                <w:szCs w:val="21"/>
              </w:rPr>
              <w:t>诊间叫号</w:t>
            </w:r>
            <w:bookmarkEnd w:id="167"/>
          </w:p>
          <w:p w14:paraId="32BC9D0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系统实现检查医生诊间叫号，医生在诊室即可完成叫号、挂起、重呼、完成等操作。</w:t>
            </w:r>
          </w:p>
          <w:p w14:paraId="559025E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68" w:name="候诊大屏"/>
            <w:r>
              <w:rPr>
                <w:rFonts w:hint="eastAsia" w:cs="宋体" w:asciiTheme="majorEastAsia" w:hAnsiTheme="majorEastAsia" w:eastAsiaTheme="majorEastAsia"/>
                <w:color w:val="auto"/>
                <w:szCs w:val="21"/>
              </w:rPr>
              <w:t>候诊大屏</w:t>
            </w:r>
            <w:bookmarkEnd w:id="168"/>
          </w:p>
          <w:p w14:paraId="07A3EA1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实现根据不同的检查诊室配置大屏显示规则，显示该诊室当前的患者排队信息，包括当前就诊患者姓名、就诊状态（正在就诊，等待就诊），检查诊室信息等，为患者提供直观的候诊队列信息。</w:t>
            </w:r>
          </w:p>
          <w:p w14:paraId="440B218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3）</w:t>
            </w:r>
            <w:bookmarkStart w:id="169" w:name="诊室小屏"/>
            <w:r>
              <w:rPr>
                <w:rFonts w:hint="eastAsia" w:cs="宋体" w:asciiTheme="majorEastAsia" w:hAnsiTheme="majorEastAsia" w:eastAsiaTheme="majorEastAsia"/>
                <w:color w:val="auto"/>
                <w:szCs w:val="21"/>
              </w:rPr>
              <w:t>诊室小屏</w:t>
            </w:r>
            <w:bookmarkEnd w:id="169"/>
          </w:p>
          <w:p w14:paraId="035196F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检查诊室门口小屏显示当前该诊室的基本信息，当前正在就诊的患者以及等候患者的信息，当医生呼叫下一个时，小屏同步进行联动。</w:t>
            </w:r>
          </w:p>
          <w:p w14:paraId="5AC968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4）</w:t>
            </w:r>
            <w:bookmarkStart w:id="170" w:name="语音播报"/>
            <w:r>
              <w:rPr>
                <w:rFonts w:hint="eastAsia" w:cs="宋体" w:asciiTheme="majorEastAsia" w:hAnsiTheme="majorEastAsia" w:eastAsiaTheme="majorEastAsia"/>
                <w:color w:val="auto"/>
                <w:szCs w:val="21"/>
              </w:rPr>
              <w:t>语音播报</w:t>
            </w:r>
            <w:bookmarkEnd w:id="170"/>
          </w:p>
          <w:p w14:paraId="110AEB8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屏叫号系统实现根据排队患者信息实现语音播报，提醒患者及时前往对应诊室进行检查。实现对需要进行诊前准备的患者进行二次叫号，第一次叫号安排进准备间，准备完成后医生进行二次叫号，提高了诊室的就诊效率。</w:t>
            </w:r>
          </w:p>
        </w:tc>
        <w:tc>
          <w:tcPr>
            <w:tcW w:w="379" w:type="pct"/>
            <w:tcBorders>
              <w:top w:val="single" w:color="auto" w:sz="4" w:space="0"/>
              <w:left w:val="single" w:color="auto" w:sz="4" w:space="0"/>
              <w:bottom w:val="single" w:color="auto" w:sz="4" w:space="0"/>
              <w:right w:val="single" w:color="auto" w:sz="4" w:space="0"/>
            </w:tcBorders>
            <w:vAlign w:val="center"/>
          </w:tcPr>
          <w:p w14:paraId="7B4DB3B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4FDDF7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vMerge w:val="continue"/>
            <w:tcBorders>
              <w:left w:val="single" w:color="auto" w:sz="4" w:space="0"/>
              <w:bottom w:val="single" w:color="auto" w:sz="4" w:space="0"/>
              <w:right w:val="single" w:color="auto" w:sz="4" w:space="0"/>
            </w:tcBorders>
            <w:vAlign w:val="center"/>
          </w:tcPr>
          <w:p w14:paraId="6F2EC4E8">
            <w:pPr>
              <w:spacing w:line="440" w:lineRule="exact"/>
              <w:jc w:val="left"/>
              <w:rPr>
                <w:rFonts w:cs="宋体" w:asciiTheme="majorEastAsia" w:hAnsiTheme="majorEastAsia" w:eastAsiaTheme="majorEastAsia"/>
                <w:color w:val="auto"/>
                <w:szCs w:val="21"/>
              </w:rPr>
            </w:pPr>
          </w:p>
        </w:tc>
        <w:tc>
          <w:tcPr>
            <w:tcW w:w="380" w:type="pct"/>
            <w:tcBorders>
              <w:top w:val="single" w:color="auto" w:sz="4" w:space="0"/>
              <w:left w:val="single" w:color="auto" w:sz="4" w:space="0"/>
              <w:bottom w:val="single" w:color="auto" w:sz="4" w:space="0"/>
              <w:right w:val="single" w:color="auto" w:sz="4" w:space="0"/>
            </w:tcBorders>
            <w:vAlign w:val="center"/>
          </w:tcPr>
          <w:p w14:paraId="1B230BC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治疗预约系统</w:t>
            </w:r>
          </w:p>
        </w:tc>
        <w:tc>
          <w:tcPr>
            <w:tcW w:w="3788" w:type="pct"/>
            <w:tcBorders>
              <w:top w:val="single" w:color="auto" w:sz="4" w:space="0"/>
              <w:left w:val="single" w:color="auto" w:sz="4" w:space="0"/>
              <w:bottom w:val="single" w:color="auto" w:sz="4" w:space="0"/>
              <w:right w:val="single" w:color="auto" w:sz="4" w:space="0"/>
            </w:tcBorders>
            <w:vAlign w:val="center"/>
          </w:tcPr>
          <w:p w14:paraId="566BB36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w:t>
            </w:r>
            <w:bookmarkStart w:id="171" w:name="放疗预约"/>
            <w:r>
              <w:rPr>
                <w:rFonts w:hint="eastAsia" w:cs="宋体" w:asciiTheme="majorEastAsia" w:hAnsiTheme="majorEastAsia" w:eastAsiaTheme="majorEastAsia"/>
                <w:color w:val="auto"/>
                <w:szCs w:val="21"/>
              </w:rPr>
              <w:t>.放疗预约</w:t>
            </w:r>
            <w:bookmarkEnd w:id="171"/>
          </w:p>
          <w:p w14:paraId="5BBCA40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获取放疗治疗单据，按照治疗频率和次数进行单据拆分，根据治疗建议和患者需求进行疗程预约或者单次指定预约，根据放疗科室维护的排班情况，提供多渠道治疗预约服务。</w:t>
            </w:r>
          </w:p>
          <w:p w14:paraId="04EEA4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bookmarkStart w:id="172" w:name="血透预约"/>
            <w:r>
              <w:rPr>
                <w:rFonts w:hint="eastAsia" w:cs="宋体" w:asciiTheme="majorEastAsia" w:hAnsiTheme="majorEastAsia" w:eastAsiaTheme="majorEastAsia"/>
                <w:color w:val="auto"/>
                <w:szCs w:val="21"/>
              </w:rPr>
              <w:t>.血透预约</w:t>
            </w:r>
            <w:bookmarkEnd w:id="172"/>
          </w:p>
          <w:p w14:paraId="6F9B3ED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获取血透治疗单据，按照治疗频率和次数进行单据拆分，根据治疗建议和患者需求进行疗程预约或者单次指定预约，根据血透科室维护的排班情况，提供多渠道治疗预约服务。</w:t>
            </w:r>
          </w:p>
          <w:p w14:paraId="437C2452">
            <w:pPr>
              <w:numPr>
                <w:ilvl w:val="0"/>
                <w:numId w:val="6"/>
              </w:num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高压氧预约</w:t>
            </w:r>
          </w:p>
          <w:p w14:paraId="517FC61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获取高压氧治疗单据，按照治疗频率和次数进行单据拆分，根据治疗建议和患者需求进行疗程预约或者单次指定预约，根据高压氧科室维护的排班情况，提供多渠道治疗预约服务。</w:t>
            </w:r>
          </w:p>
          <w:p w14:paraId="11B2FCA2">
            <w:pPr>
              <w:numPr>
                <w:ilvl w:val="0"/>
                <w:numId w:val="6"/>
              </w:num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康复预约</w:t>
            </w:r>
          </w:p>
          <w:p w14:paraId="2BB7018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获取康复治疗单据，按照治疗频率和次数进行单据拆分，根据治疗建议和患者需求进行疗程预约或者单次指定预约，根据康复科室维护的排班情况，提供多渠道治疗预约服务。</w:t>
            </w:r>
          </w:p>
          <w:p w14:paraId="638B352E">
            <w:pPr>
              <w:numPr>
                <w:ilvl w:val="0"/>
                <w:numId w:val="6"/>
              </w:num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中医养生康复预约</w:t>
            </w:r>
          </w:p>
          <w:p w14:paraId="201F419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对于需要进行中医养生康复（如拔罐，针灸等）的患者，实现获取到治疗单据，根据治疗建议和患者需求进行疗程预约或者单次指定预约，根据相关科室维护的排班情况，提供多渠道治疗预约服务。</w:t>
            </w:r>
          </w:p>
          <w:p w14:paraId="30F4D71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6.其他治疗预约。以医院实际需求为准。</w:t>
            </w:r>
          </w:p>
          <w:p w14:paraId="5FB05B9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w:t>
            </w:r>
            <w:r>
              <w:rPr>
                <w:color w:val="auto"/>
              </w:rPr>
              <w:fldChar w:fldCharType="begin"/>
            </w:r>
            <w:r>
              <w:rPr>
                <w:color w:val="auto"/>
              </w:rPr>
              <w:instrText xml:space="preserve"> HYPERLINK "file:///D:\\2023\\12月\\交通银行广西区分行广西壮族自治区江滨医院信息化建设项目\\广西区江滨医院货物采购技术参数表(智业0908).docx" \l "治疗规则库" </w:instrText>
            </w:r>
            <w:r>
              <w:rPr>
                <w:color w:val="auto"/>
              </w:rPr>
              <w:fldChar w:fldCharType="separate"/>
            </w:r>
            <w:r>
              <w:rPr>
                <w:rFonts w:hint="eastAsia" w:cs="宋体" w:asciiTheme="majorEastAsia" w:hAnsiTheme="majorEastAsia" w:eastAsiaTheme="majorEastAsia"/>
                <w:color w:val="auto"/>
                <w:szCs w:val="21"/>
              </w:rPr>
              <w:t>治疗规则库</w:t>
            </w:r>
            <w:r>
              <w:rPr>
                <w:rFonts w:hint="eastAsia" w:cs="宋体" w:asciiTheme="majorEastAsia" w:hAnsiTheme="majorEastAsia" w:eastAsiaTheme="majorEastAsia"/>
                <w:color w:val="auto"/>
                <w:szCs w:val="21"/>
              </w:rPr>
              <w:fldChar w:fldCharType="end"/>
            </w:r>
          </w:p>
          <w:p w14:paraId="3E04437F">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为患者提供康复、高压氧、放疗、血透等治疗项目的预约服务，根据医生开具的治疗计划，提供周期性的治疗预约服务，并实现一键快速预约。</w:t>
            </w:r>
          </w:p>
          <w:p w14:paraId="077ECB3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治疗项目管理</w:t>
            </w:r>
          </w:p>
          <w:p w14:paraId="6377079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导入his的治疗项目字典，将治疗项目进行分组管理以及关联管理，同时根据治疗项目的特点，将项目组分别与诊室组，医生和设备组关联，通过关联为后续诊室组预约模式下治疗项目的预约排班提供数据依据，对不同诊室下治疗项目的组合预约进行限制。提供预约渠道与项目关联，方便医院对不同渠道可预约的项目进行配置。</w:t>
            </w:r>
          </w:p>
          <w:p w14:paraId="1385B8C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项目管理</w:t>
            </w:r>
          </w:p>
          <w:p w14:paraId="0B85540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治疗项目管理是对医院的治疗项目信息进行维护，包括项目明细编码（His收费项目编码）、项目明细名称（His收费名称）等。实现通过文件导入的方式，对医院的治疗项目进行快速的维护管理。</w:t>
            </w:r>
          </w:p>
          <w:p w14:paraId="57E698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项目组管理</w:t>
            </w:r>
          </w:p>
          <w:p w14:paraId="7A57CDB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项目组管理是对治疗项目分组实现对治疗项目批量管理。</w:t>
            </w:r>
          </w:p>
          <w:p w14:paraId="7F5DFD6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项目组关联管理</w:t>
            </w:r>
          </w:p>
          <w:p w14:paraId="0A1132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维护项目组及下属项目的关联信息，便于后续对治疗项目进行批量管理。</w:t>
            </w:r>
          </w:p>
          <w:p w14:paraId="4FA1912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诊室组与项目组关联</w:t>
            </w:r>
          </w:p>
          <w:p w14:paraId="1C0F44A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对诊室组下开展的治疗项目组进行管理，通过关联为后续诊室组预约模式下的治疗项目的预约排班提供数据依据，同时对不同诊室下治疗项目的组合预约进行限制。</w:t>
            </w:r>
          </w:p>
          <w:p w14:paraId="2ECF447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设备组与项目组关联</w:t>
            </w:r>
          </w:p>
          <w:p w14:paraId="292C3D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对设备组下开展的治疗项目组进行管理，通过关联为后续设备组预约模式下的治疗项目的预约排班提供数据依据，同时对不同诊室下治疗项目的组合预约进行限制。</w:t>
            </w:r>
          </w:p>
          <w:p w14:paraId="44C896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医生与项目组关联</w:t>
            </w:r>
          </w:p>
          <w:p w14:paraId="242835E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对医生下开展的治疗项目组进行管理，通过关联为后续医生预约模式下的治疗项目的预约排班提供数据依据，同时对不同诊室下治疗项目的组合预约进行限制。</w:t>
            </w:r>
          </w:p>
          <w:p w14:paraId="778CB6E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预约渠道与项目关联管理</w:t>
            </w:r>
          </w:p>
          <w:p w14:paraId="7B801E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维护不同预约渠道下可以预约的治疗项目范围，限制项目的预约渠道。</w:t>
            </w:r>
          </w:p>
          <w:p w14:paraId="272392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治疗项目建议</w:t>
            </w:r>
          </w:p>
          <w:p w14:paraId="7D13C53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维护各个治疗项目的注意事项、治疗准备、温馨提醒等，患者预约成功后，通过短信或者预约小票提示患者。</w:t>
            </w:r>
          </w:p>
          <w:p w14:paraId="1C457B1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治疗排班管理</w:t>
            </w:r>
          </w:p>
          <w:p w14:paraId="5BDEDBA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排班管理功能，计划排班与临时排班并行满足医院日常排班需求，计划排班通过维护排班模板定期自动生成号源，临时排班维护一次性排班模板用于临时号源生成，同时通过节假日管理和时令管理确保号源只在医院工作日内的上下班时间生成，同时提供便捷快速的停诊和调班操作。</w:t>
            </w:r>
          </w:p>
          <w:p w14:paraId="4E8FF48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计划排班管理</w:t>
            </w:r>
          </w:p>
          <w:p w14:paraId="479FB50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计划排班管理实现科室的诊室、医生、设备三种排班模式，可根据科室的实际业务需要进行选择，例如中医科进行针灸治疗可直接预约到医生，康复科进行康复性训练可预约到诊室等。计划排班实现模板化配置，能够根据模板动态生成排班号源。</w:t>
            </w:r>
          </w:p>
          <w:p w14:paraId="2B95FC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临时排班管理</w:t>
            </w:r>
          </w:p>
          <w:p w14:paraId="525765B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为了避免因为诊室设备故障或人员安排影响后续患者就诊，临时排班允许排班人员对已完成的排班及已生成号源的排班信息进行追加，追加是在原有排班号源不变的情况下增加新的临时排班号源。</w:t>
            </w:r>
          </w:p>
          <w:p w14:paraId="437F9F0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节假日管理</w:t>
            </w:r>
          </w:p>
          <w:p w14:paraId="0ABF627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维护节假日信息如名称、开始时间、结束时间等，系统生成预约号源时自动跳过节假日，不生成预约号源。</w:t>
            </w:r>
          </w:p>
          <w:p w14:paraId="4348598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号源管理</w:t>
            </w:r>
          </w:p>
          <w:p w14:paraId="3531B79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号源管理可查看某科室具体的号源信息（号源使用情况）及预约情况（号源具体预约情况），实现停诊功能，停诊之前需要先改签号源或取消预约才可继续完成停诊操作。</w:t>
            </w:r>
          </w:p>
          <w:p w14:paraId="72B423B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停诊管理</w:t>
            </w:r>
          </w:p>
          <w:p w14:paraId="32677980">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治疗科室可根据院内业务需求或医生个人需求设定停诊计划，设定起止日期，还未生成号源的将不再生成预约号源，其中已生成的预约号源若存在预约记录，需先改签号源或取消预约才可继续完成停诊操作。</w:t>
            </w:r>
          </w:p>
          <w:p w14:paraId="11675F6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治疗预约</w:t>
            </w:r>
          </w:p>
          <w:p w14:paraId="1E36F1B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实现获取患者的治疗计划，根据治疗计划的次数和频率对患者进行疗程预约或指定预约，预约成功后进行签到等待治疗，实现取消预约。</w:t>
            </w:r>
          </w:p>
          <w:p w14:paraId="7EA1061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获取治疗计划</w:t>
            </w:r>
          </w:p>
          <w:p w14:paraId="5990FC3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可与治疗系统对接，获取医生为患者制定的治疗计划。</w:t>
            </w:r>
          </w:p>
          <w:p w14:paraId="0065BA6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疗程预约</w:t>
            </w:r>
          </w:p>
          <w:p w14:paraId="44ABBA1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根据医生为患者制定的治疗计划及患者需求选择相应的时段或具体时间为患者提前进行治疗疗程预约。系统自动发送预约详情、注意事项等消息告知患者，让患者在下次治疗之前做好治疗准备。</w:t>
            </w:r>
          </w:p>
          <w:p w14:paraId="412380C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指定预约</w:t>
            </w:r>
          </w:p>
          <w:p w14:paraId="00DE302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实现根据患者的时间安排进行指定时间预约，预约成功后为患者打印预约回执单，推送短信信息和治疗注意事项。</w:t>
            </w:r>
          </w:p>
          <w:p w14:paraId="2BE25C2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取消预约</w:t>
            </w:r>
          </w:p>
          <w:p w14:paraId="16B004A5">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治疗预约实现为已预约的患者进行撤销预约和变更预约时间。</w:t>
            </w:r>
          </w:p>
          <w:p w14:paraId="5A3E086A">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预约记录查询</w:t>
            </w:r>
          </w:p>
          <w:p w14:paraId="7EBE31D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实现实时查询不同时间段、不同科室的患者预约记录信息，包含患者基本信息、项目信息、状态信息（已预约/已取消）等。</w:t>
            </w:r>
          </w:p>
          <w:p w14:paraId="7C16305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预约签到</w:t>
            </w:r>
          </w:p>
          <w:p w14:paraId="7E06528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患者在治疗前可通过分诊台，自助机等进行签到，签到后进入候诊队列等待医生叫号。</w:t>
            </w:r>
          </w:p>
          <w:p w14:paraId="669E43C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治疗分诊管理</w:t>
            </w:r>
          </w:p>
          <w:p w14:paraId="05653F52">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患者预约后通过签到进入候诊队列等候叫号，分诊台实现通过优先叫号、动态挂起等实现分诊队列调整。</w:t>
            </w:r>
          </w:p>
          <w:p w14:paraId="4018AEE8">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队列管理</w:t>
            </w:r>
          </w:p>
          <w:p w14:paraId="621F0F3D">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实现分诊台护士在队列管理中对多个诊室队列进行管理，实时同步各诊室的候诊情况，包括候诊、已呼叫、已完成等排队情况。</w:t>
            </w:r>
          </w:p>
          <w:p w14:paraId="762A06E6">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优先叫号</w:t>
            </w:r>
          </w:p>
          <w:p w14:paraId="1A8508BE">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实现对队列中的特殊人群（急诊、军人、军属等）实现优先叫号，解决特殊患者的看病排队等候问题。</w:t>
            </w:r>
          </w:p>
          <w:p w14:paraId="5170CDE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动态挂起</w:t>
            </w:r>
          </w:p>
          <w:p w14:paraId="2156FA93">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对未按时就诊的患者采用挂起机制，优先让已到患者进行治疗。动态挂起操作可通过叫号系统设置，例如在叫号指定次数内患者未到达，实现挂起当前患者，优先呼叫已到患者。若被挂起的患者到达分诊台，实现二次叫号及确认，提高了检查诊室的就诊效率。</w:t>
            </w:r>
          </w:p>
          <w:p w14:paraId="6D1D654C">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治疗大屏叫号</w:t>
            </w:r>
          </w:p>
          <w:p w14:paraId="742C3EC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治疗候诊大屏动态显示当前候诊队列，方便患者随时查看当前候诊信息。语音播报呼叫患者进行治疗。</w:t>
            </w:r>
          </w:p>
          <w:p w14:paraId="02633E8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大屏叫号规则</w:t>
            </w:r>
          </w:p>
          <w:p w14:paraId="6ED208F4">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可根据医院实际需求设置大屏叫号次数、间隔时间，挂起延后数以及显示行数。实现根据院内业务需求或科室需求配置不同的叫号规则。</w:t>
            </w:r>
          </w:p>
          <w:p w14:paraId="24CE7759">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大屏显示系统</w:t>
            </w:r>
          </w:p>
          <w:p w14:paraId="28DEC29B">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实现根据不同的治疗诊室配置大屏显示规则，显示患者排队信息，包括当前治疗患者姓名、治疗状态（正在治疗，等待治疗），治疗诊室信息等，为患者提供直观的候诊队列信息。</w:t>
            </w:r>
          </w:p>
          <w:p w14:paraId="199A4297">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大屏语音系统</w:t>
            </w:r>
          </w:p>
          <w:p w14:paraId="57037101">
            <w:pPr>
              <w:spacing w:line="440" w:lineRule="exact"/>
              <w:ind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根据排队患者信息实现语音播报，提醒患者及时前往对应诊室治疗。系统能够同步、清晰和准确的发音，可自定义呼叫内容，播报语音可选择女声或男声，播报次数也可自行设置。具备按候诊区划分、语音效果可覆盖整个候诊区的语音播报功能。</w:t>
            </w:r>
          </w:p>
        </w:tc>
        <w:tc>
          <w:tcPr>
            <w:tcW w:w="379" w:type="pct"/>
            <w:tcBorders>
              <w:top w:val="single" w:color="auto" w:sz="4" w:space="0"/>
              <w:left w:val="single" w:color="auto" w:sz="4" w:space="0"/>
              <w:bottom w:val="single" w:color="auto" w:sz="4" w:space="0"/>
              <w:right w:val="single" w:color="auto" w:sz="4" w:space="0"/>
            </w:tcBorders>
            <w:vAlign w:val="center"/>
          </w:tcPr>
          <w:p w14:paraId="15B927B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6D050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tcBorders>
              <w:left w:val="single" w:color="auto" w:sz="4" w:space="0"/>
              <w:bottom w:val="single" w:color="auto" w:sz="4" w:space="0"/>
              <w:right w:val="single" w:color="auto" w:sz="4" w:space="0"/>
            </w:tcBorders>
            <w:vAlign w:val="center"/>
          </w:tcPr>
          <w:p w14:paraId="745087FC">
            <w:pPr>
              <w:widowControl/>
              <w:spacing w:line="440" w:lineRule="exact"/>
              <w:jc w:val="left"/>
              <w:rPr>
                <w:rFonts w:cs="宋体" w:asciiTheme="majorEastAsia" w:hAnsiTheme="majorEastAsia" w:eastAsiaTheme="majorEastAsia"/>
                <w:color w:val="auto"/>
                <w:kern w:val="0"/>
                <w:szCs w:val="21"/>
              </w:rPr>
            </w:pPr>
            <w:r>
              <w:rPr>
                <w:rFonts w:hint="eastAsia" w:ascii="宋体" w:hAnsi="宋体" w:cs="宋体"/>
                <w:color w:val="auto"/>
                <w:szCs w:val="21"/>
              </w:rPr>
              <w:t>现有系统接口改造</w:t>
            </w:r>
          </w:p>
        </w:tc>
        <w:tc>
          <w:tcPr>
            <w:tcW w:w="380" w:type="pct"/>
            <w:tcBorders>
              <w:top w:val="single" w:color="auto" w:sz="4" w:space="0"/>
              <w:left w:val="single" w:color="auto" w:sz="4" w:space="0"/>
              <w:bottom w:val="single" w:color="auto" w:sz="4" w:space="0"/>
              <w:right w:val="single" w:color="auto" w:sz="4" w:space="0"/>
            </w:tcBorders>
            <w:vAlign w:val="center"/>
          </w:tcPr>
          <w:p w14:paraId="19EDB8F8">
            <w:pPr>
              <w:spacing w:line="440" w:lineRule="exact"/>
              <w:jc w:val="left"/>
              <w:rPr>
                <w:rFonts w:cs="宋体" w:asciiTheme="majorEastAsia" w:hAnsiTheme="majorEastAsia" w:eastAsiaTheme="majorEastAsia"/>
                <w:color w:val="auto"/>
                <w:szCs w:val="21"/>
              </w:rPr>
            </w:pPr>
            <w:r>
              <w:rPr>
                <w:rFonts w:hint="eastAsia" w:ascii="宋体" w:hAnsi="宋体" w:cs="宋体"/>
                <w:color w:val="auto"/>
                <w:szCs w:val="21"/>
              </w:rPr>
              <w:t>现有系统接口改造</w:t>
            </w:r>
          </w:p>
        </w:tc>
        <w:tc>
          <w:tcPr>
            <w:tcW w:w="3788" w:type="pct"/>
            <w:tcBorders>
              <w:top w:val="single" w:color="auto" w:sz="4" w:space="0"/>
              <w:left w:val="single" w:color="auto" w:sz="4" w:space="0"/>
              <w:bottom w:val="single" w:color="auto" w:sz="4" w:space="0"/>
              <w:right w:val="single" w:color="auto" w:sz="4" w:space="0"/>
            </w:tcBorders>
            <w:vAlign w:val="center"/>
          </w:tcPr>
          <w:p w14:paraId="5497BC48">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根据电子病历五级建设要求、信息互联互通四级甲等要求和医院智慧服务评估三级要求，以及医院现实需要，对包含但不限于以下系统进行升级改造，必要时中标人向原厂家购买接口改造和升级服务。（包含在本次报价中，医院不再另外付费）：</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PACS/RIS系统</w:t>
            </w:r>
          </w:p>
          <w:p w14:paraId="53786711">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院感管理系统</w:t>
            </w:r>
          </w:p>
          <w:p w14:paraId="748BCF2C">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病案信息管理系统</w:t>
            </w:r>
          </w:p>
          <w:p w14:paraId="15A370E1">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 xml:space="preserve">病理管理系统  </w:t>
            </w:r>
          </w:p>
          <w:p w14:paraId="57F3D63D">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手术麻醉系统</w:t>
            </w:r>
          </w:p>
          <w:p w14:paraId="26990F9B">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重症监护信息系统</w:t>
            </w:r>
          </w:p>
          <w:p w14:paraId="1EBC3D05">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 xml:space="preserve">康复治疗管理系统  </w:t>
            </w:r>
          </w:p>
          <w:p w14:paraId="432C0F14">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心电信息管理系统</w:t>
            </w:r>
          </w:p>
          <w:p w14:paraId="34071B0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电子签名CA</w:t>
            </w:r>
          </w:p>
          <w:p w14:paraId="7613A7AA">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输血管理系统</w:t>
            </w:r>
          </w:p>
          <w:p w14:paraId="06FC7F2F">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医保智能审核系统</w:t>
            </w:r>
          </w:p>
          <w:p w14:paraId="0FB772C9">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随访系统</w:t>
            </w:r>
          </w:p>
          <w:p w14:paraId="56EBC54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广西壮族自治区医保系统</w:t>
            </w:r>
          </w:p>
          <w:p w14:paraId="79704963">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南宁市医保系统</w:t>
            </w:r>
          </w:p>
          <w:p w14:paraId="48A2AA58">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广西全民健康信息平台</w:t>
            </w:r>
          </w:p>
          <w:p w14:paraId="786D381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广西电子健康卡管理平台</w:t>
            </w:r>
          </w:p>
          <w:p w14:paraId="67ABF38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健康体检系统</w:t>
            </w:r>
          </w:p>
          <w:p w14:paraId="758957CF">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HRP系统</w:t>
            </w:r>
          </w:p>
          <w:p w14:paraId="68091A18">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HQMS上报系统</w:t>
            </w:r>
          </w:p>
          <w:p w14:paraId="08117DD1">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 xml:space="preserve">合理用药系统  </w:t>
            </w:r>
          </w:p>
          <w:p w14:paraId="0846F58E">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医院绩效考核管理系统</w:t>
            </w:r>
          </w:p>
          <w:p w14:paraId="26D6D18C">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护理管理系统</w:t>
            </w:r>
          </w:p>
          <w:p w14:paraId="088B3F31">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科教管理系统</w:t>
            </w:r>
          </w:p>
          <w:p w14:paraId="4A681D9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排队叫号系统</w:t>
            </w:r>
          </w:p>
          <w:p w14:paraId="37D3E218">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医院等级评审辅助系统</w:t>
            </w:r>
          </w:p>
          <w:p w14:paraId="0402976C">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单病种信息管理系统</w:t>
            </w:r>
          </w:p>
          <w:p w14:paraId="7BB45252">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电子票据系统</w:t>
            </w:r>
          </w:p>
          <w:p w14:paraId="6BC85AC1">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胸痛中心系统</w:t>
            </w:r>
          </w:p>
          <w:p w14:paraId="6BF17CD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数字人民币接口</w:t>
            </w:r>
          </w:p>
          <w:p w14:paraId="5BC73597">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信用就医接口</w:t>
            </w:r>
          </w:p>
          <w:p w14:paraId="33C29350">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医保贯标</w:t>
            </w:r>
          </w:p>
          <w:p w14:paraId="29AAF396">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钉钉、OA</w:t>
            </w:r>
          </w:p>
          <w:p w14:paraId="67D7F64D">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医保移动支付</w:t>
            </w:r>
          </w:p>
          <w:p w14:paraId="0644E1ED">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以及其他现有第三方软件系统</w:t>
            </w:r>
          </w:p>
        </w:tc>
        <w:tc>
          <w:tcPr>
            <w:tcW w:w="379" w:type="pct"/>
            <w:tcBorders>
              <w:top w:val="single" w:color="auto" w:sz="4" w:space="0"/>
              <w:left w:val="single" w:color="auto" w:sz="4" w:space="0"/>
              <w:bottom w:val="single" w:color="auto" w:sz="4" w:space="0"/>
              <w:right w:val="single" w:color="auto" w:sz="4" w:space="0"/>
            </w:tcBorders>
            <w:vAlign w:val="center"/>
          </w:tcPr>
          <w:p w14:paraId="63E2C3B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0D6F6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tcBorders>
              <w:left w:val="single" w:color="auto" w:sz="4" w:space="0"/>
              <w:bottom w:val="single" w:color="auto" w:sz="4" w:space="0"/>
              <w:right w:val="single" w:color="auto" w:sz="4" w:space="0"/>
            </w:tcBorders>
            <w:vAlign w:val="center"/>
          </w:tcPr>
          <w:p w14:paraId="2E2C4BC4">
            <w:pPr>
              <w:widowControl/>
              <w:spacing w:line="440" w:lineRule="exact"/>
              <w:jc w:val="left"/>
              <w:rPr>
                <w:rFonts w:ascii="宋体" w:hAnsi="宋体" w:cs="宋体"/>
                <w:color w:val="auto"/>
                <w:szCs w:val="21"/>
              </w:rPr>
            </w:pPr>
            <w:r>
              <w:rPr>
                <w:rFonts w:hint="eastAsia" w:cs="宋体" w:asciiTheme="majorEastAsia" w:hAnsiTheme="majorEastAsia" w:eastAsiaTheme="majorEastAsia"/>
                <w:color w:val="auto"/>
                <w:szCs w:val="21"/>
              </w:rPr>
              <w:t>核心系统信息安全等级保护三级测评</w:t>
            </w:r>
          </w:p>
        </w:tc>
        <w:tc>
          <w:tcPr>
            <w:tcW w:w="380" w:type="pct"/>
            <w:tcBorders>
              <w:top w:val="single" w:color="auto" w:sz="4" w:space="0"/>
              <w:left w:val="single" w:color="auto" w:sz="4" w:space="0"/>
              <w:bottom w:val="single" w:color="auto" w:sz="4" w:space="0"/>
              <w:right w:val="single" w:color="auto" w:sz="4" w:space="0"/>
            </w:tcBorders>
            <w:vAlign w:val="center"/>
          </w:tcPr>
          <w:p w14:paraId="18A3D160">
            <w:pPr>
              <w:spacing w:line="440" w:lineRule="exact"/>
              <w:jc w:val="left"/>
              <w:rPr>
                <w:rFonts w:ascii="宋体" w:hAnsi="宋体" w:cs="宋体"/>
                <w:color w:val="auto"/>
                <w:szCs w:val="21"/>
              </w:rPr>
            </w:pPr>
            <w:r>
              <w:rPr>
                <w:rFonts w:hint="eastAsia" w:cs="宋体" w:asciiTheme="majorEastAsia" w:hAnsiTheme="majorEastAsia" w:eastAsiaTheme="majorEastAsia"/>
                <w:color w:val="auto"/>
                <w:szCs w:val="21"/>
              </w:rPr>
              <w:t>核心系统信息安全等级保护三级测评</w:t>
            </w:r>
          </w:p>
        </w:tc>
        <w:tc>
          <w:tcPr>
            <w:tcW w:w="3788" w:type="pct"/>
            <w:tcBorders>
              <w:top w:val="single" w:color="auto" w:sz="4" w:space="0"/>
              <w:left w:val="single" w:color="auto" w:sz="4" w:space="0"/>
              <w:bottom w:val="single" w:color="auto" w:sz="4" w:space="0"/>
              <w:right w:val="single" w:color="auto" w:sz="4" w:space="0"/>
            </w:tcBorders>
            <w:vAlign w:val="center"/>
          </w:tcPr>
          <w:p w14:paraId="0A6C5ADF">
            <w:pPr>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核心系统验收后1年内提供核心系统第一次信息安全等级保护三级测评报告，核心系统包括：his系统、电子病历系统、集成平台</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互联网医院平台</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要求以上</w:t>
            </w:r>
            <w:r>
              <w:rPr>
                <w:rFonts w:cs="宋体" w:asciiTheme="majorEastAsia" w:hAnsiTheme="majorEastAsia" w:eastAsiaTheme="majorEastAsia"/>
                <w:color w:val="auto"/>
                <w:szCs w:val="21"/>
              </w:rPr>
              <w:t>系统通过等保2.0测评并提供的测评报告。</w:t>
            </w:r>
          </w:p>
        </w:tc>
        <w:tc>
          <w:tcPr>
            <w:tcW w:w="379" w:type="pct"/>
            <w:tcBorders>
              <w:top w:val="single" w:color="auto" w:sz="4" w:space="0"/>
              <w:left w:val="single" w:color="auto" w:sz="4" w:space="0"/>
              <w:bottom w:val="single" w:color="auto" w:sz="4" w:space="0"/>
              <w:right w:val="single" w:color="auto" w:sz="4" w:space="0"/>
            </w:tcBorders>
            <w:vAlign w:val="center"/>
          </w:tcPr>
          <w:p w14:paraId="6F93EE0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E816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52" w:type="pct"/>
            <w:tcBorders>
              <w:left w:val="single" w:color="auto" w:sz="4" w:space="0"/>
              <w:bottom w:val="single" w:color="auto" w:sz="4" w:space="0"/>
              <w:right w:val="single" w:color="auto" w:sz="4" w:space="0"/>
            </w:tcBorders>
            <w:vAlign w:val="center"/>
          </w:tcPr>
          <w:p w14:paraId="3615042E">
            <w:pPr>
              <w:widowControl/>
              <w:spacing w:line="440" w:lineRule="exact"/>
              <w:jc w:val="center"/>
              <w:rPr>
                <w:rFonts w:ascii="宋体" w:hAnsi="宋体" w:cs="宋体"/>
                <w:color w:val="auto"/>
                <w:szCs w:val="21"/>
              </w:rPr>
            </w:pPr>
            <w:r>
              <w:rPr>
                <w:rFonts w:hint="eastAsia" w:cs="宋体" w:asciiTheme="majorEastAsia" w:hAnsiTheme="majorEastAsia" w:eastAsiaTheme="majorEastAsia"/>
                <w:color w:val="auto"/>
                <w:szCs w:val="21"/>
              </w:rPr>
              <w:t>本地化开发服务</w:t>
            </w:r>
          </w:p>
        </w:tc>
        <w:tc>
          <w:tcPr>
            <w:tcW w:w="380" w:type="pct"/>
            <w:tcBorders>
              <w:top w:val="single" w:color="auto" w:sz="4" w:space="0"/>
              <w:left w:val="single" w:color="auto" w:sz="4" w:space="0"/>
              <w:bottom w:val="single" w:color="auto" w:sz="4" w:space="0"/>
              <w:right w:val="single" w:color="auto" w:sz="4" w:space="0"/>
            </w:tcBorders>
            <w:vAlign w:val="center"/>
          </w:tcPr>
          <w:p w14:paraId="232D329E">
            <w:pPr>
              <w:spacing w:line="440" w:lineRule="exact"/>
              <w:jc w:val="center"/>
              <w:rPr>
                <w:rFonts w:ascii="宋体" w:hAnsi="宋体" w:cs="宋体"/>
                <w:color w:val="auto"/>
                <w:szCs w:val="21"/>
              </w:rPr>
            </w:pPr>
            <w:r>
              <w:rPr>
                <w:rFonts w:hint="eastAsia" w:cs="宋体" w:asciiTheme="majorEastAsia" w:hAnsiTheme="majorEastAsia" w:eastAsiaTheme="majorEastAsia"/>
                <w:color w:val="auto"/>
                <w:szCs w:val="21"/>
              </w:rPr>
              <w:t>本地化开发服务</w:t>
            </w:r>
          </w:p>
        </w:tc>
        <w:tc>
          <w:tcPr>
            <w:tcW w:w="3788" w:type="pct"/>
            <w:tcBorders>
              <w:top w:val="single" w:color="auto" w:sz="4" w:space="0"/>
              <w:left w:val="single" w:color="auto" w:sz="4" w:space="0"/>
              <w:bottom w:val="single" w:color="auto" w:sz="4" w:space="0"/>
              <w:right w:val="single" w:color="auto" w:sz="4" w:space="0"/>
            </w:tcBorders>
            <w:vAlign w:val="center"/>
          </w:tcPr>
          <w:p w14:paraId="6A8D7A1A">
            <w:pPr>
              <w:spacing w:line="440" w:lineRule="exact"/>
              <w:rPr>
                <w:rFonts w:asciiTheme="majorEastAsia" w:hAnsiTheme="majorEastAsia" w:eastAsiaTheme="majorEastAsia"/>
                <w:color w:val="auto"/>
                <w:szCs w:val="21"/>
              </w:rPr>
            </w:pPr>
            <w:r>
              <w:rPr>
                <w:rFonts w:hint="eastAsia"/>
                <w:bCs/>
                <w:color w:val="auto"/>
                <w:kern w:val="0"/>
                <w:szCs w:val="21"/>
              </w:rPr>
              <w:t>负载响应时间：</w:t>
            </w:r>
            <w:r>
              <w:rPr>
                <w:rFonts w:asciiTheme="majorEastAsia" w:hAnsiTheme="majorEastAsia" w:eastAsiaTheme="majorEastAsia"/>
                <w:color w:val="auto"/>
                <w:szCs w:val="21"/>
                <w:u w:val="single"/>
              </w:rPr>
              <w:br w:type="textWrapping"/>
            </w:r>
            <w:r>
              <w:rPr>
                <w:rFonts w:hint="eastAsia" w:asciiTheme="majorEastAsia" w:hAnsiTheme="majorEastAsia" w:eastAsiaTheme="majorEastAsia"/>
                <w:color w:val="auto"/>
                <w:szCs w:val="21"/>
              </w:rPr>
              <w:t>①系统打开关键页面和保存数据平均响应时间在2～4秒以内；</w:t>
            </w:r>
          </w:p>
          <w:p w14:paraId="0511850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②统计页面平均响应时间在5～10秒以内。</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以上提供本地化开发服务，功能或需求以电子病历五级标准和医院实际需要为准。提供his系统和电子病历系统应用级源代码和数据库权限以及相关技术文档</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本项目所有软件</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系统和平台必须</w:t>
            </w:r>
            <w:r>
              <w:rPr>
                <w:rFonts w:hint="eastAsia" w:asciiTheme="majorEastAsia" w:hAnsiTheme="majorEastAsia" w:eastAsiaTheme="majorEastAsia"/>
                <w:b/>
                <w:bCs/>
                <w:color w:val="auto"/>
                <w:szCs w:val="21"/>
              </w:rPr>
              <w:t>安装在广西壮族自治区江滨医院内运行</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不能运行在未经医院允许的第三方平台上</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本项目所有软件</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系统和平台满足全院所有科室和人员使用</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不限点数</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且实现多院区和下级卫生医疗机构同部署和同步使用</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其中收费系统以及关联系统等可以根据下级医疗机构等级不同，实现执行不同收费标准功能。</w:t>
            </w:r>
          </w:p>
          <w:p w14:paraId="2F8974E7">
            <w:pPr>
              <w:spacing w:line="440" w:lineRule="exact"/>
              <w:rPr>
                <w:rFonts w:cs="宋体" w:asciiTheme="majorEastAsia" w:hAnsiTheme="majorEastAsia" w:eastAsiaTheme="majorEastAsia"/>
                <w:color w:val="auto"/>
                <w:szCs w:val="21"/>
                <w:u w:val="single"/>
              </w:rPr>
            </w:pPr>
            <w:r>
              <w:rPr>
                <w:rFonts w:hint="eastAsia" w:cs="宋体" w:asciiTheme="majorEastAsia" w:hAnsiTheme="majorEastAsia" w:eastAsiaTheme="majorEastAsia"/>
                <w:color w:val="auto"/>
                <w:szCs w:val="21"/>
                <w:u w:val="single"/>
              </w:rPr>
              <w:t>投标人承诺本次提供软件产品为公司最新产品，实施阶段如有新版本产生，根据医院需要</w:t>
            </w:r>
            <w:r>
              <w:rPr>
                <w:rFonts w:cs="宋体" w:asciiTheme="majorEastAsia" w:hAnsiTheme="majorEastAsia" w:eastAsiaTheme="majorEastAsia"/>
                <w:color w:val="auto"/>
                <w:szCs w:val="21"/>
                <w:u w:val="single"/>
              </w:rPr>
              <w:t>，</w:t>
            </w:r>
            <w:r>
              <w:rPr>
                <w:rFonts w:hint="eastAsia" w:cs="宋体" w:asciiTheme="majorEastAsia" w:hAnsiTheme="majorEastAsia" w:eastAsiaTheme="majorEastAsia"/>
                <w:color w:val="auto"/>
                <w:szCs w:val="21"/>
                <w:u w:val="single"/>
              </w:rPr>
              <w:t>免费帮升级到最新版本。</w:t>
            </w:r>
          </w:p>
          <w:p w14:paraId="5F925E97">
            <w:pPr>
              <w:spacing w:line="440" w:lineRule="exact"/>
              <w:rPr>
                <w:rFonts w:cs="宋体" w:asciiTheme="majorEastAsia" w:hAnsiTheme="majorEastAsia" w:eastAsiaTheme="majorEastAsia"/>
                <w:color w:val="auto"/>
                <w:szCs w:val="21"/>
              </w:rPr>
            </w:pPr>
            <w:r>
              <w:rPr>
                <w:rFonts w:hint="eastAsia" w:asciiTheme="majorEastAsia" w:hAnsiTheme="majorEastAsia" w:eastAsiaTheme="majorEastAsia"/>
                <w:color w:val="auto"/>
                <w:szCs w:val="21"/>
              </w:rPr>
              <w:t>投标人</w:t>
            </w:r>
            <w:r>
              <w:rPr>
                <w:rFonts w:hint="eastAsia" w:cs="宋体" w:asciiTheme="majorEastAsia" w:hAnsiTheme="majorEastAsia" w:eastAsiaTheme="majorEastAsia"/>
                <w:color w:val="auto"/>
                <w:szCs w:val="21"/>
              </w:rPr>
              <w:t>承诺软件产品没有侵权问题。如有，投标人承担所有法律责任。</w:t>
            </w:r>
          </w:p>
        </w:tc>
        <w:tc>
          <w:tcPr>
            <w:tcW w:w="379" w:type="pct"/>
            <w:tcBorders>
              <w:top w:val="single" w:color="auto" w:sz="4" w:space="0"/>
              <w:left w:val="single" w:color="auto" w:sz="4" w:space="0"/>
              <w:bottom w:val="single" w:color="auto" w:sz="4" w:space="0"/>
              <w:right w:val="single" w:color="auto" w:sz="4" w:space="0"/>
            </w:tcBorders>
            <w:vAlign w:val="center"/>
          </w:tcPr>
          <w:p w14:paraId="3351DD5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7D80D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0F4EE389">
            <w:pPr>
              <w:spacing w:line="440" w:lineRule="exact"/>
              <w:ind w:firstLine="422" w:firstLineChars="200"/>
              <w:jc w:val="left"/>
              <w:rPr>
                <w:rFonts w:cs="宋体" w:asciiTheme="majorEastAsia" w:hAnsiTheme="majorEastAsia" w:eastAsiaTheme="majorEastAsia"/>
                <w:b/>
                <w:color w:val="auto"/>
                <w:szCs w:val="21"/>
              </w:rPr>
            </w:pPr>
          </w:p>
        </w:tc>
      </w:tr>
      <w:tr w14:paraId="73893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469191F1">
            <w:pPr>
              <w:spacing w:line="440" w:lineRule="exact"/>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售后服务及其他要求： </w:t>
            </w:r>
          </w:p>
          <w:p w14:paraId="5FBBDDD5">
            <w:pPr>
              <w:spacing w:line="440" w:lineRule="exact"/>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1、系统维护期为</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年，起始时间从系统验收合格之日起计算；</w:t>
            </w:r>
          </w:p>
          <w:p w14:paraId="20D70ABF">
            <w:pPr>
              <w:spacing w:line="440" w:lineRule="exact"/>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2、维护期内因信息系统本身缺陷造成各种故障由投标人提供技术服务和维修；</w:t>
            </w:r>
          </w:p>
          <w:p w14:paraId="59B748B8">
            <w:pPr>
              <w:spacing w:line="440" w:lineRule="exact"/>
              <w:outlineLvl w:val="0"/>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3、系统试运行期内及质量保修期内投标人应免费提供与第三方系统的接口开发服务；</w:t>
            </w:r>
          </w:p>
          <w:p w14:paraId="4B41EDA5">
            <w:pPr>
              <w:spacing w:line="440" w:lineRule="exact"/>
              <w:outlineLvl w:val="0"/>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4、系统试运行期内及质量保修期内投标人应免费提供系统软件升级服务；</w:t>
            </w:r>
          </w:p>
          <w:p w14:paraId="540BCDDF">
            <w:pPr>
              <w:spacing w:line="440" w:lineRule="exact"/>
              <w:rPr>
                <w:rFonts w:asciiTheme="majorEastAsia" w:hAnsiTheme="majorEastAsia" w:eastAsiaTheme="majorEastAsia"/>
                <w:color w:val="auto"/>
                <w:kern w:val="0"/>
                <w:szCs w:val="21"/>
              </w:rPr>
            </w:pPr>
            <w:r>
              <w:rPr>
                <w:rFonts w:asciiTheme="majorEastAsia" w:hAnsiTheme="majorEastAsia" w:eastAsiaTheme="majorEastAsia"/>
                <w:color w:val="auto"/>
                <w:kern w:val="0"/>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Theme="majorEastAsia" w:hAnsiTheme="majorEastAsia" w:eastAsiaTheme="majorEastAsia"/>
                <w:color w:val="auto"/>
                <w:kern w:val="0"/>
                <w:szCs w:val="21"/>
              </w:rPr>
              <w:br w:type="textWrapping"/>
            </w:r>
            <w:r>
              <w:rPr>
                <w:rFonts w:asciiTheme="majorEastAsia" w:hAnsiTheme="majorEastAsia" w:eastAsiaTheme="majorEastAsia"/>
                <w:color w:val="auto"/>
                <w:kern w:val="0"/>
                <w:szCs w:val="21"/>
              </w:rPr>
              <w:t>6、</w:t>
            </w:r>
            <w:r>
              <w:rPr>
                <w:rFonts w:hint="eastAsia" w:asciiTheme="majorEastAsia" w:hAnsiTheme="majorEastAsia" w:eastAsiaTheme="majorEastAsia"/>
                <w:color w:val="auto"/>
                <w:kern w:val="0"/>
                <w:szCs w:val="21"/>
              </w:rPr>
              <w:t>其他要求按照项目子项“整体项目实施服务”要求执行</w:t>
            </w:r>
            <w:r>
              <w:rPr>
                <w:rFonts w:asciiTheme="majorEastAsia" w:hAnsiTheme="majorEastAsia" w:eastAsiaTheme="majorEastAsia"/>
                <w:color w:val="auto"/>
                <w:kern w:val="0"/>
                <w:szCs w:val="21"/>
              </w:rPr>
              <w:t>。</w:t>
            </w:r>
          </w:p>
        </w:tc>
      </w:tr>
      <w:tr w14:paraId="71292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5000" w:type="pct"/>
            <w:gridSpan w:val="4"/>
            <w:tcBorders>
              <w:top w:val="single" w:color="auto" w:sz="4" w:space="0"/>
              <w:left w:val="nil"/>
              <w:bottom w:val="nil"/>
              <w:right w:val="nil"/>
            </w:tcBorders>
            <w:vAlign w:val="center"/>
          </w:tcPr>
          <w:p w14:paraId="58C82EF0">
            <w:pPr>
              <w:spacing w:line="440" w:lineRule="exact"/>
              <w:rPr>
                <w:rFonts w:cs="方正仿宋_GBK" w:asciiTheme="majorEastAsia" w:hAnsiTheme="majorEastAsia" w:eastAsiaTheme="majorEastAsia"/>
                <w:color w:val="auto"/>
                <w:kern w:val="0"/>
                <w:szCs w:val="21"/>
              </w:rPr>
            </w:pPr>
          </w:p>
        </w:tc>
      </w:tr>
      <w:tr w14:paraId="6EC66B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5000" w:type="pct"/>
            <w:gridSpan w:val="4"/>
            <w:tcBorders>
              <w:top w:val="nil"/>
              <w:left w:val="nil"/>
              <w:bottom w:val="nil"/>
              <w:right w:val="nil"/>
            </w:tcBorders>
            <w:vAlign w:val="center"/>
          </w:tcPr>
          <w:p w14:paraId="253D1FED">
            <w:pPr>
              <w:spacing w:line="440" w:lineRule="exact"/>
              <w:rPr>
                <w:rFonts w:cs="方正仿宋_GBK" w:asciiTheme="majorEastAsia" w:hAnsiTheme="majorEastAsia" w:eastAsiaTheme="majorEastAsia"/>
                <w:color w:val="auto"/>
                <w:kern w:val="0"/>
                <w:szCs w:val="21"/>
              </w:rPr>
            </w:pPr>
          </w:p>
        </w:tc>
      </w:tr>
    </w:tbl>
    <w:p w14:paraId="3409F7CA">
      <w:pPr>
        <w:rPr>
          <w:vanish/>
          <w:color w:val="auto"/>
        </w:rPr>
      </w:pPr>
    </w:p>
    <w:tbl>
      <w:tblPr>
        <w:tblStyle w:val="9"/>
        <w:tblW w:w="979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09"/>
        <w:gridCol w:w="708"/>
        <w:gridCol w:w="709"/>
        <w:gridCol w:w="6804"/>
        <w:gridCol w:w="438"/>
      </w:tblGrid>
      <w:tr w14:paraId="5F66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9794" w:type="dxa"/>
            <w:gridSpan w:val="6"/>
            <w:noWrap/>
            <w:vAlign w:val="center"/>
          </w:tcPr>
          <w:p w14:paraId="3BC973FE">
            <w:pPr>
              <w:spacing w:line="320" w:lineRule="exact"/>
              <w:jc w:val="left"/>
              <w:rPr>
                <w:rFonts w:ascii="宋体" w:hAnsi="宋体"/>
                <w:color w:val="auto"/>
                <w:szCs w:val="21"/>
              </w:rPr>
            </w:pPr>
            <w:r>
              <w:rPr>
                <w:rFonts w:ascii="宋体" w:hAnsi="宋体"/>
                <w:color w:val="auto"/>
                <w:szCs w:val="21"/>
              </w:rPr>
              <w:t>2</w:t>
            </w:r>
            <w:r>
              <w:rPr>
                <w:rFonts w:hint="eastAsia" w:ascii="宋体" w:hAnsi="宋体"/>
                <w:color w:val="auto"/>
                <w:szCs w:val="21"/>
              </w:rPr>
              <w:t>.</w:t>
            </w:r>
            <w:r>
              <w:rPr>
                <w:rFonts w:ascii="宋体" w:hAnsi="宋体"/>
                <w:color w:val="auto"/>
                <w:szCs w:val="21"/>
              </w:rPr>
              <w:t>1</w:t>
            </w:r>
            <w:r>
              <w:rPr>
                <w:rFonts w:hint="eastAsia" w:ascii="宋体" w:hAnsi="宋体"/>
                <w:color w:val="auto"/>
                <w:szCs w:val="21"/>
              </w:rPr>
              <w:t>智慧病房交互平台</w:t>
            </w:r>
          </w:p>
        </w:tc>
      </w:tr>
      <w:tr w14:paraId="7278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135" w:type="dxa"/>
            <w:gridSpan w:val="2"/>
            <w:noWrap/>
            <w:vAlign w:val="center"/>
          </w:tcPr>
          <w:p w14:paraId="13943CF5">
            <w:pPr>
              <w:spacing w:line="320" w:lineRule="exact"/>
              <w:jc w:val="center"/>
              <w:rPr>
                <w:rFonts w:ascii="宋体" w:hAnsi="宋体"/>
                <w:color w:val="auto"/>
                <w:szCs w:val="21"/>
              </w:rPr>
            </w:pPr>
            <w:bookmarkStart w:id="173" w:name="_Ref81570323"/>
            <w:r>
              <w:rPr>
                <w:rFonts w:hint="eastAsia" w:ascii="宋体" w:hAnsi="宋体"/>
                <w:color w:val="auto"/>
                <w:szCs w:val="21"/>
              </w:rPr>
              <w:t>类型</w:t>
            </w:r>
          </w:p>
        </w:tc>
        <w:tc>
          <w:tcPr>
            <w:tcW w:w="708" w:type="dxa"/>
            <w:noWrap/>
            <w:vAlign w:val="center"/>
          </w:tcPr>
          <w:p w14:paraId="6C2E6859">
            <w:pPr>
              <w:spacing w:line="320" w:lineRule="exact"/>
              <w:jc w:val="center"/>
              <w:rPr>
                <w:rFonts w:ascii="宋体" w:hAnsi="宋体"/>
                <w:color w:val="auto"/>
                <w:szCs w:val="21"/>
              </w:rPr>
            </w:pPr>
            <w:r>
              <w:rPr>
                <w:rFonts w:hint="eastAsia" w:ascii="宋体" w:hAnsi="宋体"/>
                <w:color w:val="auto"/>
                <w:szCs w:val="21"/>
              </w:rPr>
              <w:t>模块</w:t>
            </w:r>
          </w:p>
        </w:tc>
        <w:tc>
          <w:tcPr>
            <w:tcW w:w="709" w:type="dxa"/>
            <w:noWrap/>
            <w:vAlign w:val="center"/>
          </w:tcPr>
          <w:p w14:paraId="2C14C337">
            <w:pPr>
              <w:spacing w:line="320" w:lineRule="exact"/>
              <w:jc w:val="center"/>
              <w:rPr>
                <w:rFonts w:ascii="宋体" w:hAnsi="宋体"/>
                <w:color w:val="auto"/>
                <w:szCs w:val="21"/>
              </w:rPr>
            </w:pPr>
            <w:r>
              <w:rPr>
                <w:rFonts w:hint="eastAsia" w:ascii="宋体" w:hAnsi="宋体"/>
                <w:color w:val="auto"/>
                <w:szCs w:val="21"/>
              </w:rPr>
              <w:t>功能名称</w:t>
            </w:r>
          </w:p>
        </w:tc>
        <w:tc>
          <w:tcPr>
            <w:tcW w:w="6804" w:type="dxa"/>
            <w:noWrap/>
            <w:vAlign w:val="center"/>
          </w:tcPr>
          <w:p w14:paraId="566474DE">
            <w:pPr>
              <w:spacing w:line="320" w:lineRule="exact"/>
              <w:ind w:firstLine="420" w:firstLineChars="200"/>
              <w:jc w:val="center"/>
              <w:rPr>
                <w:rFonts w:ascii="宋体" w:hAnsi="宋体"/>
                <w:color w:val="auto"/>
                <w:szCs w:val="21"/>
              </w:rPr>
            </w:pPr>
            <w:r>
              <w:rPr>
                <w:rFonts w:hint="eastAsia" w:ascii="宋体" w:hAnsi="宋体"/>
                <w:color w:val="auto"/>
                <w:szCs w:val="21"/>
              </w:rPr>
              <w:t>功能要求</w:t>
            </w:r>
          </w:p>
        </w:tc>
        <w:tc>
          <w:tcPr>
            <w:tcW w:w="438" w:type="dxa"/>
            <w:noWrap/>
            <w:vAlign w:val="center"/>
          </w:tcPr>
          <w:p w14:paraId="0D3B9F84">
            <w:pPr>
              <w:spacing w:line="320" w:lineRule="exact"/>
              <w:jc w:val="center"/>
              <w:rPr>
                <w:rFonts w:ascii="宋体" w:hAnsi="宋体"/>
                <w:color w:val="auto"/>
                <w:szCs w:val="21"/>
              </w:rPr>
            </w:pPr>
            <w:r>
              <w:rPr>
                <w:rFonts w:hint="eastAsia" w:ascii="宋体" w:hAnsi="宋体"/>
                <w:color w:val="auto"/>
                <w:szCs w:val="21"/>
              </w:rPr>
              <w:t>数量</w:t>
            </w:r>
          </w:p>
        </w:tc>
      </w:tr>
      <w:tr w14:paraId="1E84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426" w:type="dxa"/>
            <w:vMerge w:val="restart"/>
            <w:noWrap/>
            <w:vAlign w:val="center"/>
          </w:tcPr>
          <w:p w14:paraId="2441DE86">
            <w:pPr>
              <w:spacing w:line="320" w:lineRule="exact"/>
              <w:jc w:val="left"/>
              <w:rPr>
                <w:rFonts w:ascii="宋体" w:hAnsi="宋体"/>
                <w:color w:val="auto"/>
                <w:szCs w:val="21"/>
              </w:rPr>
            </w:pPr>
          </w:p>
        </w:tc>
        <w:tc>
          <w:tcPr>
            <w:tcW w:w="709" w:type="dxa"/>
            <w:vMerge w:val="restart"/>
            <w:noWrap/>
            <w:vAlign w:val="center"/>
          </w:tcPr>
          <w:p w14:paraId="68A5DF2A">
            <w:pPr>
              <w:spacing w:line="320" w:lineRule="exact"/>
              <w:jc w:val="left"/>
              <w:rPr>
                <w:rFonts w:ascii="宋体" w:hAnsi="宋体"/>
                <w:color w:val="auto"/>
                <w:szCs w:val="21"/>
              </w:rPr>
            </w:pPr>
            <w:r>
              <w:rPr>
                <w:rFonts w:hint="eastAsia" w:ascii="宋体" w:hAnsi="宋体"/>
                <w:color w:val="auto"/>
                <w:szCs w:val="21"/>
              </w:rPr>
              <w:t>交互大屏</w:t>
            </w:r>
          </w:p>
        </w:tc>
        <w:tc>
          <w:tcPr>
            <w:tcW w:w="708" w:type="dxa"/>
            <w:vMerge w:val="restart"/>
            <w:noWrap/>
            <w:vAlign w:val="center"/>
          </w:tcPr>
          <w:p w14:paraId="48F7FF03">
            <w:pPr>
              <w:spacing w:line="320" w:lineRule="exact"/>
              <w:jc w:val="left"/>
              <w:rPr>
                <w:rFonts w:ascii="宋体" w:hAnsi="宋体"/>
                <w:color w:val="auto"/>
                <w:szCs w:val="21"/>
              </w:rPr>
            </w:pPr>
            <w:r>
              <w:rPr>
                <w:rFonts w:hint="eastAsia" w:ascii="宋体" w:hAnsi="宋体"/>
                <w:color w:val="auto"/>
                <w:szCs w:val="21"/>
              </w:rPr>
              <w:t>病区概览</w:t>
            </w:r>
          </w:p>
        </w:tc>
        <w:tc>
          <w:tcPr>
            <w:tcW w:w="709" w:type="dxa"/>
            <w:vMerge w:val="restart"/>
            <w:noWrap/>
            <w:vAlign w:val="center"/>
          </w:tcPr>
          <w:p w14:paraId="1C69E62E">
            <w:pPr>
              <w:spacing w:line="320" w:lineRule="exact"/>
              <w:jc w:val="center"/>
              <w:rPr>
                <w:rFonts w:ascii="宋体" w:hAnsi="宋体"/>
                <w:color w:val="auto"/>
                <w:szCs w:val="21"/>
              </w:rPr>
            </w:pPr>
            <w:r>
              <w:rPr>
                <w:rFonts w:hint="eastAsia" w:ascii="宋体" w:hAnsi="宋体"/>
                <w:color w:val="auto"/>
                <w:szCs w:val="21"/>
              </w:rPr>
              <w:t>病区动态</w:t>
            </w:r>
          </w:p>
        </w:tc>
        <w:tc>
          <w:tcPr>
            <w:tcW w:w="6804" w:type="dxa"/>
            <w:noWrap/>
            <w:vAlign w:val="center"/>
          </w:tcPr>
          <w:p w14:paraId="7C9F7007">
            <w:pPr>
              <w:spacing w:line="320" w:lineRule="exact"/>
              <w:ind w:firstLine="420" w:firstLineChars="200"/>
              <w:rPr>
                <w:rFonts w:ascii="宋体" w:hAnsi="宋体"/>
                <w:color w:val="auto"/>
                <w:szCs w:val="21"/>
              </w:rPr>
            </w:pPr>
            <w:r>
              <w:rPr>
                <w:rFonts w:hint="eastAsia" w:ascii="宋体" w:hAnsi="宋体"/>
                <w:color w:val="auto"/>
                <w:szCs w:val="21"/>
              </w:rPr>
              <w:t xml:space="preserve"> 医护人员可以通过病区概览，了解整个病区的整体情况。系统自动提取包括查看病区患者动态信息，包括但不限于住院总人数、新入院、新转入、出院、转出、特/一级、病危、病重、预手术、手术、欠费、禁食等。满足不同病区的不同需求，按病区需要进行配置。同时实现一览表整体或分类打印或导出功能。</w:t>
            </w:r>
          </w:p>
        </w:tc>
        <w:tc>
          <w:tcPr>
            <w:tcW w:w="438" w:type="dxa"/>
            <w:vMerge w:val="restart"/>
            <w:noWrap/>
            <w:vAlign w:val="center"/>
          </w:tcPr>
          <w:p w14:paraId="26067FC9">
            <w:pPr>
              <w:spacing w:line="320" w:lineRule="exact"/>
              <w:jc w:val="center"/>
              <w:rPr>
                <w:rFonts w:ascii="宋体" w:hAnsi="宋体"/>
                <w:color w:val="auto"/>
                <w:szCs w:val="21"/>
              </w:rPr>
            </w:pPr>
            <w:r>
              <w:rPr>
                <w:rFonts w:ascii="宋体" w:hAnsi="宋体"/>
                <w:color w:val="auto"/>
                <w:szCs w:val="21"/>
              </w:rPr>
              <w:t>1</w:t>
            </w:r>
            <w:r>
              <w:rPr>
                <w:rFonts w:hint="eastAsia" w:ascii="宋体" w:hAnsi="宋体"/>
                <w:color w:val="auto"/>
                <w:szCs w:val="21"/>
              </w:rPr>
              <w:t>套</w:t>
            </w:r>
          </w:p>
        </w:tc>
      </w:tr>
      <w:tr w14:paraId="25DD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426" w:type="dxa"/>
            <w:vMerge w:val="continue"/>
            <w:noWrap/>
            <w:vAlign w:val="center"/>
          </w:tcPr>
          <w:p w14:paraId="7460A15F">
            <w:pPr>
              <w:spacing w:line="320" w:lineRule="exact"/>
              <w:ind w:firstLine="420" w:firstLineChars="200"/>
              <w:jc w:val="left"/>
              <w:rPr>
                <w:rFonts w:ascii="宋体" w:hAnsi="宋体"/>
                <w:color w:val="auto"/>
                <w:szCs w:val="21"/>
              </w:rPr>
            </w:pPr>
          </w:p>
        </w:tc>
        <w:tc>
          <w:tcPr>
            <w:tcW w:w="709" w:type="dxa"/>
            <w:vMerge w:val="continue"/>
            <w:noWrap/>
            <w:vAlign w:val="center"/>
          </w:tcPr>
          <w:p w14:paraId="6113EF4D">
            <w:pPr>
              <w:spacing w:line="320" w:lineRule="exact"/>
              <w:ind w:firstLine="420" w:firstLineChars="200"/>
              <w:jc w:val="left"/>
              <w:rPr>
                <w:rFonts w:ascii="宋体" w:hAnsi="宋体"/>
                <w:color w:val="auto"/>
                <w:szCs w:val="21"/>
              </w:rPr>
            </w:pPr>
          </w:p>
        </w:tc>
        <w:tc>
          <w:tcPr>
            <w:tcW w:w="708" w:type="dxa"/>
            <w:vMerge w:val="continue"/>
            <w:noWrap/>
            <w:vAlign w:val="center"/>
          </w:tcPr>
          <w:p w14:paraId="69C40C5E">
            <w:pPr>
              <w:spacing w:line="320" w:lineRule="exact"/>
              <w:ind w:firstLine="420" w:firstLineChars="200"/>
              <w:jc w:val="left"/>
              <w:rPr>
                <w:rFonts w:ascii="宋体" w:hAnsi="宋体"/>
                <w:color w:val="auto"/>
                <w:szCs w:val="21"/>
              </w:rPr>
            </w:pPr>
          </w:p>
        </w:tc>
        <w:tc>
          <w:tcPr>
            <w:tcW w:w="709" w:type="dxa"/>
            <w:vMerge w:val="continue"/>
            <w:noWrap/>
            <w:vAlign w:val="center"/>
          </w:tcPr>
          <w:p w14:paraId="30D6F9CD">
            <w:pPr>
              <w:spacing w:line="320" w:lineRule="exact"/>
              <w:ind w:firstLine="420" w:firstLineChars="200"/>
              <w:jc w:val="center"/>
              <w:rPr>
                <w:rFonts w:ascii="宋体" w:hAnsi="宋体"/>
                <w:color w:val="auto"/>
                <w:szCs w:val="21"/>
              </w:rPr>
            </w:pPr>
          </w:p>
        </w:tc>
        <w:tc>
          <w:tcPr>
            <w:tcW w:w="6804" w:type="dxa"/>
            <w:noWrap/>
            <w:vAlign w:val="center"/>
          </w:tcPr>
          <w:p w14:paraId="5B0D4FEC">
            <w:pPr>
              <w:spacing w:line="320" w:lineRule="exact"/>
              <w:ind w:firstLine="420" w:firstLineChars="200"/>
              <w:rPr>
                <w:rFonts w:ascii="宋体" w:hAnsi="宋体"/>
                <w:color w:val="auto"/>
                <w:szCs w:val="21"/>
              </w:rPr>
            </w:pPr>
            <w:r>
              <w:rPr>
                <w:rFonts w:hint="eastAsia" w:ascii="宋体" w:hAnsi="宋体"/>
                <w:color w:val="auto"/>
                <w:szCs w:val="21"/>
              </w:rPr>
              <w:t>护士可以手动修改病区动态。包括但不限于住院总人数、新入院、新转入、出院、转出、特/一级、病危、病重、预手术、手术、欠费、禁食等。满足不同病区的不同需求，按病区需要进行配置。</w:t>
            </w:r>
          </w:p>
        </w:tc>
        <w:tc>
          <w:tcPr>
            <w:tcW w:w="438" w:type="dxa"/>
            <w:vMerge w:val="continue"/>
            <w:noWrap/>
            <w:vAlign w:val="center"/>
          </w:tcPr>
          <w:p w14:paraId="43736C61">
            <w:pPr>
              <w:spacing w:line="320" w:lineRule="exact"/>
              <w:ind w:firstLine="420" w:firstLineChars="200"/>
              <w:jc w:val="center"/>
              <w:rPr>
                <w:rFonts w:ascii="宋体" w:hAnsi="宋体"/>
                <w:color w:val="auto"/>
                <w:szCs w:val="21"/>
              </w:rPr>
            </w:pPr>
          </w:p>
        </w:tc>
      </w:tr>
      <w:tr w14:paraId="538D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008BBF15">
            <w:pPr>
              <w:spacing w:line="320" w:lineRule="exact"/>
              <w:ind w:firstLine="420" w:firstLineChars="200"/>
              <w:jc w:val="left"/>
              <w:rPr>
                <w:rFonts w:ascii="宋体" w:hAnsi="宋体"/>
                <w:color w:val="auto"/>
                <w:szCs w:val="21"/>
              </w:rPr>
            </w:pPr>
          </w:p>
        </w:tc>
        <w:tc>
          <w:tcPr>
            <w:tcW w:w="709" w:type="dxa"/>
            <w:vMerge w:val="continue"/>
            <w:noWrap/>
            <w:vAlign w:val="center"/>
          </w:tcPr>
          <w:p w14:paraId="70B5BD15">
            <w:pPr>
              <w:spacing w:line="320" w:lineRule="exact"/>
              <w:ind w:firstLine="420" w:firstLineChars="200"/>
              <w:jc w:val="left"/>
              <w:rPr>
                <w:rFonts w:ascii="宋体" w:hAnsi="宋体"/>
                <w:color w:val="auto"/>
                <w:szCs w:val="21"/>
              </w:rPr>
            </w:pPr>
          </w:p>
        </w:tc>
        <w:tc>
          <w:tcPr>
            <w:tcW w:w="708" w:type="dxa"/>
            <w:vMerge w:val="continue"/>
            <w:noWrap/>
            <w:vAlign w:val="center"/>
          </w:tcPr>
          <w:p w14:paraId="1E7610A2">
            <w:pPr>
              <w:spacing w:line="320" w:lineRule="exact"/>
              <w:ind w:firstLine="420" w:firstLineChars="200"/>
              <w:jc w:val="left"/>
              <w:rPr>
                <w:rFonts w:ascii="宋体" w:hAnsi="宋体"/>
                <w:color w:val="auto"/>
                <w:szCs w:val="21"/>
              </w:rPr>
            </w:pPr>
          </w:p>
        </w:tc>
        <w:tc>
          <w:tcPr>
            <w:tcW w:w="709" w:type="dxa"/>
            <w:noWrap/>
            <w:vAlign w:val="center"/>
          </w:tcPr>
          <w:p w14:paraId="0F4A0D90">
            <w:pPr>
              <w:spacing w:line="320" w:lineRule="exact"/>
              <w:jc w:val="center"/>
              <w:rPr>
                <w:rFonts w:ascii="宋体" w:hAnsi="宋体"/>
                <w:color w:val="auto"/>
                <w:szCs w:val="21"/>
              </w:rPr>
            </w:pPr>
            <w:r>
              <w:rPr>
                <w:rFonts w:hint="eastAsia" w:ascii="宋体" w:hAnsi="宋体"/>
                <w:color w:val="auto"/>
                <w:szCs w:val="21"/>
              </w:rPr>
              <w:t>转床动态</w:t>
            </w:r>
          </w:p>
        </w:tc>
        <w:tc>
          <w:tcPr>
            <w:tcW w:w="6804" w:type="dxa"/>
            <w:noWrap/>
            <w:vAlign w:val="center"/>
          </w:tcPr>
          <w:p w14:paraId="61C88F16">
            <w:pPr>
              <w:spacing w:line="320" w:lineRule="exact"/>
              <w:ind w:firstLine="420" w:firstLineChars="200"/>
              <w:rPr>
                <w:rFonts w:ascii="宋体" w:hAnsi="宋体"/>
                <w:color w:val="auto"/>
                <w:szCs w:val="21"/>
              </w:rPr>
            </w:pPr>
            <w:r>
              <w:rPr>
                <w:rFonts w:hint="eastAsia" w:ascii="宋体" w:hAnsi="宋体"/>
                <w:color w:val="auto"/>
                <w:szCs w:val="21"/>
              </w:rPr>
              <w:t>自动提取转床患者，显示患者从X床转到X床，多次转床可自动归集。</w:t>
            </w:r>
          </w:p>
        </w:tc>
        <w:tc>
          <w:tcPr>
            <w:tcW w:w="438" w:type="dxa"/>
            <w:vMerge w:val="continue"/>
            <w:noWrap/>
            <w:vAlign w:val="center"/>
          </w:tcPr>
          <w:p w14:paraId="58025420">
            <w:pPr>
              <w:spacing w:line="320" w:lineRule="exact"/>
              <w:ind w:firstLine="420" w:firstLineChars="200"/>
              <w:jc w:val="center"/>
              <w:rPr>
                <w:rFonts w:ascii="宋体" w:hAnsi="宋体"/>
                <w:color w:val="auto"/>
                <w:szCs w:val="21"/>
              </w:rPr>
            </w:pPr>
          </w:p>
        </w:tc>
      </w:tr>
      <w:tr w14:paraId="2BD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426" w:type="dxa"/>
            <w:vMerge w:val="continue"/>
            <w:noWrap/>
            <w:vAlign w:val="center"/>
          </w:tcPr>
          <w:p w14:paraId="4A58C496">
            <w:pPr>
              <w:spacing w:line="320" w:lineRule="exact"/>
              <w:ind w:firstLine="420" w:firstLineChars="200"/>
              <w:jc w:val="left"/>
              <w:rPr>
                <w:rFonts w:ascii="宋体" w:hAnsi="宋体"/>
                <w:color w:val="auto"/>
                <w:szCs w:val="21"/>
              </w:rPr>
            </w:pPr>
          </w:p>
        </w:tc>
        <w:tc>
          <w:tcPr>
            <w:tcW w:w="709" w:type="dxa"/>
            <w:vMerge w:val="continue"/>
            <w:noWrap/>
            <w:vAlign w:val="center"/>
          </w:tcPr>
          <w:p w14:paraId="364E4C1B">
            <w:pPr>
              <w:spacing w:line="320" w:lineRule="exact"/>
              <w:ind w:firstLine="420" w:firstLineChars="200"/>
              <w:jc w:val="left"/>
              <w:rPr>
                <w:rFonts w:ascii="宋体" w:hAnsi="宋体"/>
                <w:color w:val="auto"/>
                <w:szCs w:val="21"/>
              </w:rPr>
            </w:pPr>
          </w:p>
        </w:tc>
        <w:tc>
          <w:tcPr>
            <w:tcW w:w="708" w:type="dxa"/>
            <w:vMerge w:val="continue"/>
            <w:noWrap/>
            <w:vAlign w:val="center"/>
          </w:tcPr>
          <w:p w14:paraId="19B70B60">
            <w:pPr>
              <w:spacing w:line="320" w:lineRule="exact"/>
              <w:ind w:firstLine="420" w:firstLineChars="200"/>
              <w:jc w:val="left"/>
              <w:rPr>
                <w:rFonts w:ascii="宋体" w:hAnsi="宋体"/>
                <w:color w:val="auto"/>
                <w:szCs w:val="21"/>
              </w:rPr>
            </w:pPr>
          </w:p>
        </w:tc>
        <w:tc>
          <w:tcPr>
            <w:tcW w:w="709" w:type="dxa"/>
            <w:noWrap/>
            <w:vAlign w:val="center"/>
          </w:tcPr>
          <w:p w14:paraId="0AE90FBF">
            <w:pPr>
              <w:spacing w:line="320" w:lineRule="exact"/>
              <w:jc w:val="center"/>
              <w:rPr>
                <w:rFonts w:ascii="宋体" w:hAnsi="宋体"/>
                <w:color w:val="auto"/>
                <w:szCs w:val="21"/>
              </w:rPr>
            </w:pPr>
            <w:r>
              <w:rPr>
                <w:rFonts w:hint="eastAsia" w:ascii="宋体" w:hAnsi="宋体"/>
                <w:color w:val="auto"/>
                <w:szCs w:val="21"/>
              </w:rPr>
              <w:t>手术动态</w:t>
            </w:r>
          </w:p>
        </w:tc>
        <w:tc>
          <w:tcPr>
            <w:tcW w:w="6804" w:type="dxa"/>
            <w:noWrap/>
            <w:vAlign w:val="center"/>
          </w:tcPr>
          <w:p w14:paraId="3BFE4280">
            <w:pPr>
              <w:spacing w:line="320" w:lineRule="exact"/>
              <w:ind w:firstLine="420" w:firstLineChars="200"/>
              <w:rPr>
                <w:rFonts w:ascii="宋体" w:hAnsi="宋体"/>
                <w:color w:val="auto"/>
                <w:szCs w:val="21"/>
              </w:rPr>
            </w:pPr>
            <w:r>
              <w:rPr>
                <w:rFonts w:hint="eastAsia" w:ascii="宋体" w:hAnsi="宋体"/>
                <w:color w:val="auto"/>
                <w:szCs w:val="21"/>
              </w:rPr>
              <w:t>自动提取预手术患者和今日手术患者床号。今日手术患者按照手术的顺序排列，显示手术的台号。能够区分出全麻患者和半麻患者。患者手术后返回病房后，显示返回的标记，提示医护人员该患者已经返回。</w:t>
            </w:r>
          </w:p>
        </w:tc>
        <w:tc>
          <w:tcPr>
            <w:tcW w:w="438" w:type="dxa"/>
            <w:vMerge w:val="continue"/>
            <w:noWrap/>
            <w:vAlign w:val="center"/>
          </w:tcPr>
          <w:p w14:paraId="415AB7F8">
            <w:pPr>
              <w:spacing w:line="320" w:lineRule="exact"/>
              <w:ind w:firstLine="420" w:firstLineChars="200"/>
              <w:jc w:val="center"/>
              <w:rPr>
                <w:rFonts w:ascii="宋体" w:hAnsi="宋体"/>
                <w:color w:val="auto"/>
                <w:szCs w:val="21"/>
              </w:rPr>
            </w:pPr>
          </w:p>
        </w:tc>
      </w:tr>
      <w:tr w14:paraId="42ED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0B63337F">
            <w:pPr>
              <w:spacing w:line="320" w:lineRule="exact"/>
              <w:ind w:firstLine="420" w:firstLineChars="200"/>
              <w:jc w:val="left"/>
              <w:rPr>
                <w:rFonts w:ascii="宋体" w:hAnsi="宋体"/>
                <w:color w:val="auto"/>
                <w:szCs w:val="21"/>
              </w:rPr>
            </w:pPr>
          </w:p>
        </w:tc>
        <w:tc>
          <w:tcPr>
            <w:tcW w:w="709" w:type="dxa"/>
            <w:vMerge w:val="continue"/>
            <w:noWrap/>
            <w:vAlign w:val="center"/>
          </w:tcPr>
          <w:p w14:paraId="44C0D343">
            <w:pPr>
              <w:spacing w:line="320" w:lineRule="exact"/>
              <w:ind w:firstLine="420" w:firstLineChars="200"/>
              <w:jc w:val="left"/>
              <w:rPr>
                <w:rFonts w:ascii="宋体" w:hAnsi="宋体"/>
                <w:color w:val="auto"/>
                <w:szCs w:val="21"/>
              </w:rPr>
            </w:pPr>
          </w:p>
        </w:tc>
        <w:tc>
          <w:tcPr>
            <w:tcW w:w="708" w:type="dxa"/>
            <w:vMerge w:val="continue"/>
            <w:noWrap/>
            <w:vAlign w:val="center"/>
          </w:tcPr>
          <w:p w14:paraId="40078D38">
            <w:pPr>
              <w:spacing w:line="320" w:lineRule="exact"/>
              <w:ind w:firstLine="420" w:firstLineChars="200"/>
              <w:jc w:val="left"/>
              <w:rPr>
                <w:rFonts w:ascii="宋体" w:hAnsi="宋体"/>
                <w:color w:val="auto"/>
                <w:szCs w:val="21"/>
              </w:rPr>
            </w:pPr>
          </w:p>
        </w:tc>
        <w:tc>
          <w:tcPr>
            <w:tcW w:w="709" w:type="dxa"/>
            <w:noWrap/>
            <w:vAlign w:val="center"/>
          </w:tcPr>
          <w:p w14:paraId="5723880C">
            <w:pPr>
              <w:spacing w:line="320" w:lineRule="exact"/>
              <w:jc w:val="center"/>
              <w:rPr>
                <w:rFonts w:ascii="宋体" w:hAnsi="宋体"/>
                <w:color w:val="auto"/>
                <w:szCs w:val="21"/>
              </w:rPr>
            </w:pPr>
            <w:r>
              <w:rPr>
                <w:rFonts w:hint="eastAsia" w:ascii="宋体" w:hAnsi="宋体"/>
                <w:color w:val="auto"/>
                <w:szCs w:val="21"/>
              </w:rPr>
              <w:t>病区概览备注</w:t>
            </w:r>
          </w:p>
        </w:tc>
        <w:tc>
          <w:tcPr>
            <w:tcW w:w="6804" w:type="dxa"/>
            <w:noWrap/>
            <w:vAlign w:val="center"/>
          </w:tcPr>
          <w:p w14:paraId="7ADC86A2">
            <w:pPr>
              <w:spacing w:line="320" w:lineRule="exact"/>
              <w:ind w:firstLine="420" w:firstLineChars="200"/>
              <w:rPr>
                <w:rFonts w:ascii="宋体" w:hAnsi="宋体"/>
                <w:color w:val="auto"/>
                <w:szCs w:val="21"/>
              </w:rPr>
            </w:pPr>
            <w:r>
              <w:rPr>
                <w:rFonts w:hint="eastAsia" w:ascii="宋体" w:hAnsi="宋体"/>
                <w:color w:val="auto"/>
                <w:szCs w:val="21"/>
              </w:rPr>
              <w:t>护士可以给概览中的患者进行备注。</w:t>
            </w:r>
          </w:p>
        </w:tc>
        <w:tc>
          <w:tcPr>
            <w:tcW w:w="438" w:type="dxa"/>
            <w:vMerge w:val="continue"/>
            <w:noWrap/>
            <w:vAlign w:val="center"/>
          </w:tcPr>
          <w:p w14:paraId="29FC3A74">
            <w:pPr>
              <w:spacing w:line="320" w:lineRule="exact"/>
              <w:ind w:firstLine="420" w:firstLineChars="200"/>
              <w:jc w:val="center"/>
              <w:rPr>
                <w:rFonts w:ascii="宋体" w:hAnsi="宋体"/>
                <w:color w:val="auto"/>
                <w:szCs w:val="21"/>
              </w:rPr>
            </w:pPr>
          </w:p>
        </w:tc>
      </w:tr>
      <w:tr w14:paraId="7416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426" w:type="dxa"/>
            <w:vMerge w:val="continue"/>
            <w:noWrap/>
            <w:vAlign w:val="center"/>
          </w:tcPr>
          <w:p w14:paraId="05912038">
            <w:pPr>
              <w:spacing w:line="320" w:lineRule="exact"/>
              <w:ind w:firstLine="420" w:firstLineChars="200"/>
              <w:jc w:val="left"/>
              <w:rPr>
                <w:rFonts w:ascii="宋体" w:hAnsi="宋体"/>
                <w:color w:val="auto"/>
                <w:szCs w:val="21"/>
              </w:rPr>
            </w:pPr>
          </w:p>
        </w:tc>
        <w:tc>
          <w:tcPr>
            <w:tcW w:w="709" w:type="dxa"/>
            <w:vMerge w:val="continue"/>
            <w:noWrap/>
            <w:vAlign w:val="center"/>
          </w:tcPr>
          <w:p w14:paraId="14510A25">
            <w:pPr>
              <w:spacing w:line="320" w:lineRule="exact"/>
              <w:ind w:firstLine="420" w:firstLineChars="200"/>
              <w:jc w:val="left"/>
              <w:rPr>
                <w:rFonts w:ascii="宋体" w:hAnsi="宋体"/>
                <w:color w:val="auto"/>
                <w:szCs w:val="21"/>
              </w:rPr>
            </w:pPr>
          </w:p>
        </w:tc>
        <w:tc>
          <w:tcPr>
            <w:tcW w:w="708" w:type="dxa"/>
            <w:vMerge w:val="continue"/>
            <w:noWrap/>
            <w:vAlign w:val="center"/>
          </w:tcPr>
          <w:p w14:paraId="20B96403">
            <w:pPr>
              <w:spacing w:line="320" w:lineRule="exact"/>
              <w:ind w:firstLine="420" w:firstLineChars="200"/>
              <w:jc w:val="left"/>
              <w:rPr>
                <w:rFonts w:ascii="宋体" w:hAnsi="宋体"/>
                <w:color w:val="auto"/>
                <w:szCs w:val="21"/>
              </w:rPr>
            </w:pPr>
          </w:p>
        </w:tc>
        <w:tc>
          <w:tcPr>
            <w:tcW w:w="709" w:type="dxa"/>
            <w:noWrap/>
            <w:vAlign w:val="center"/>
          </w:tcPr>
          <w:p w14:paraId="01378D39">
            <w:pPr>
              <w:spacing w:line="320" w:lineRule="exact"/>
              <w:jc w:val="left"/>
              <w:rPr>
                <w:rFonts w:ascii="宋体" w:hAnsi="宋体"/>
                <w:color w:val="auto"/>
                <w:szCs w:val="21"/>
              </w:rPr>
            </w:pPr>
            <w:r>
              <w:rPr>
                <w:rFonts w:hint="eastAsia" w:ascii="宋体" w:hAnsi="宋体"/>
                <w:color w:val="auto"/>
                <w:szCs w:val="21"/>
              </w:rPr>
              <w:t>护理内容</w:t>
            </w:r>
          </w:p>
        </w:tc>
        <w:tc>
          <w:tcPr>
            <w:tcW w:w="6804" w:type="dxa"/>
            <w:noWrap/>
            <w:vAlign w:val="center"/>
          </w:tcPr>
          <w:p w14:paraId="55DA88DD">
            <w:pPr>
              <w:spacing w:line="320" w:lineRule="exact"/>
              <w:ind w:firstLine="420" w:firstLineChars="200"/>
              <w:jc w:val="left"/>
              <w:rPr>
                <w:rFonts w:ascii="宋体" w:hAnsi="宋体"/>
                <w:color w:val="auto"/>
                <w:szCs w:val="21"/>
              </w:rPr>
            </w:pPr>
            <w:r>
              <w:rPr>
                <w:rFonts w:hint="eastAsia" w:ascii="宋体" w:hAnsi="宋体"/>
                <w:color w:val="auto"/>
                <w:szCs w:val="21"/>
              </w:rPr>
              <w:t xml:space="preserve"> 医护人员可以一目了然地看到病区患者护理重点项目，系统自动提取，包括但不限于绝对卧床、24小时出入量、测血压（分频次）、测血糖（分时段）、输氧、气切护理、病灶冲洗、引流、各类换药、导管等。满足不同病区的不同需求，按病区需要进行配置。实现备注。</w:t>
            </w:r>
          </w:p>
        </w:tc>
        <w:tc>
          <w:tcPr>
            <w:tcW w:w="438" w:type="dxa"/>
            <w:vMerge w:val="continue"/>
            <w:noWrap/>
            <w:vAlign w:val="center"/>
          </w:tcPr>
          <w:p w14:paraId="6548B8D3">
            <w:pPr>
              <w:spacing w:line="320" w:lineRule="exact"/>
              <w:ind w:firstLine="420" w:firstLineChars="200"/>
              <w:jc w:val="center"/>
              <w:rPr>
                <w:rFonts w:ascii="宋体" w:hAnsi="宋体"/>
                <w:color w:val="auto"/>
                <w:szCs w:val="21"/>
              </w:rPr>
            </w:pPr>
          </w:p>
        </w:tc>
      </w:tr>
      <w:tr w14:paraId="69D3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286A11E4">
            <w:pPr>
              <w:spacing w:line="320" w:lineRule="exact"/>
              <w:ind w:firstLine="420" w:firstLineChars="200"/>
              <w:jc w:val="left"/>
              <w:rPr>
                <w:rFonts w:ascii="宋体" w:hAnsi="宋体"/>
                <w:color w:val="auto"/>
                <w:szCs w:val="21"/>
              </w:rPr>
            </w:pPr>
          </w:p>
        </w:tc>
        <w:tc>
          <w:tcPr>
            <w:tcW w:w="709" w:type="dxa"/>
            <w:vMerge w:val="continue"/>
            <w:noWrap/>
            <w:vAlign w:val="center"/>
          </w:tcPr>
          <w:p w14:paraId="2DC74AF7">
            <w:pPr>
              <w:spacing w:line="320" w:lineRule="exact"/>
              <w:ind w:firstLine="420" w:firstLineChars="200"/>
              <w:jc w:val="left"/>
              <w:rPr>
                <w:rFonts w:ascii="宋体" w:hAnsi="宋体"/>
                <w:color w:val="auto"/>
                <w:szCs w:val="21"/>
              </w:rPr>
            </w:pPr>
          </w:p>
        </w:tc>
        <w:tc>
          <w:tcPr>
            <w:tcW w:w="708" w:type="dxa"/>
            <w:vMerge w:val="continue"/>
            <w:noWrap/>
            <w:vAlign w:val="center"/>
          </w:tcPr>
          <w:p w14:paraId="60ED5252">
            <w:pPr>
              <w:spacing w:line="320" w:lineRule="exact"/>
              <w:ind w:firstLine="420" w:firstLineChars="200"/>
              <w:jc w:val="left"/>
              <w:rPr>
                <w:rFonts w:ascii="宋体" w:hAnsi="宋体"/>
                <w:color w:val="auto"/>
                <w:szCs w:val="21"/>
              </w:rPr>
            </w:pPr>
          </w:p>
        </w:tc>
        <w:tc>
          <w:tcPr>
            <w:tcW w:w="709" w:type="dxa"/>
            <w:noWrap/>
            <w:vAlign w:val="center"/>
          </w:tcPr>
          <w:p w14:paraId="5688D1A6">
            <w:pPr>
              <w:spacing w:line="320" w:lineRule="exact"/>
              <w:jc w:val="left"/>
              <w:rPr>
                <w:rFonts w:ascii="宋体" w:hAnsi="宋体"/>
                <w:color w:val="auto"/>
                <w:szCs w:val="21"/>
              </w:rPr>
            </w:pPr>
            <w:r>
              <w:rPr>
                <w:rFonts w:hint="eastAsia" w:ascii="宋体" w:hAnsi="宋体"/>
                <w:color w:val="auto"/>
                <w:szCs w:val="21"/>
              </w:rPr>
              <w:t>护理内容备注</w:t>
            </w:r>
          </w:p>
        </w:tc>
        <w:tc>
          <w:tcPr>
            <w:tcW w:w="6804" w:type="dxa"/>
            <w:noWrap/>
            <w:vAlign w:val="center"/>
          </w:tcPr>
          <w:p w14:paraId="3651EDA9">
            <w:pPr>
              <w:spacing w:line="320" w:lineRule="exact"/>
              <w:ind w:firstLine="420" w:firstLineChars="200"/>
              <w:jc w:val="left"/>
              <w:rPr>
                <w:rFonts w:ascii="宋体" w:hAnsi="宋体"/>
                <w:color w:val="auto"/>
                <w:szCs w:val="21"/>
              </w:rPr>
            </w:pPr>
            <w:r>
              <w:rPr>
                <w:rFonts w:hint="eastAsia" w:ascii="宋体" w:hAnsi="宋体"/>
                <w:color w:val="auto"/>
                <w:szCs w:val="21"/>
              </w:rPr>
              <w:t xml:space="preserve"> 护士可以给护理内容中的患者进行备注。</w:t>
            </w:r>
          </w:p>
        </w:tc>
        <w:tc>
          <w:tcPr>
            <w:tcW w:w="438" w:type="dxa"/>
            <w:vMerge w:val="continue"/>
            <w:noWrap/>
            <w:vAlign w:val="center"/>
          </w:tcPr>
          <w:p w14:paraId="59C23341">
            <w:pPr>
              <w:spacing w:line="320" w:lineRule="exact"/>
              <w:ind w:firstLine="420" w:firstLineChars="200"/>
              <w:jc w:val="center"/>
              <w:rPr>
                <w:rFonts w:ascii="宋体" w:hAnsi="宋体"/>
                <w:color w:val="auto"/>
                <w:szCs w:val="21"/>
              </w:rPr>
            </w:pPr>
          </w:p>
        </w:tc>
      </w:tr>
      <w:tr w14:paraId="6772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26" w:type="dxa"/>
            <w:vMerge w:val="continue"/>
            <w:noWrap/>
            <w:vAlign w:val="center"/>
          </w:tcPr>
          <w:p w14:paraId="180F1C11">
            <w:pPr>
              <w:spacing w:line="320" w:lineRule="exact"/>
              <w:ind w:firstLine="420" w:firstLineChars="200"/>
              <w:jc w:val="left"/>
              <w:rPr>
                <w:rFonts w:ascii="宋体" w:hAnsi="宋体"/>
                <w:color w:val="auto"/>
                <w:szCs w:val="21"/>
              </w:rPr>
            </w:pPr>
          </w:p>
        </w:tc>
        <w:tc>
          <w:tcPr>
            <w:tcW w:w="709" w:type="dxa"/>
            <w:vMerge w:val="continue"/>
            <w:noWrap/>
            <w:vAlign w:val="center"/>
          </w:tcPr>
          <w:p w14:paraId="6B02A9DA">
            <w:pPr>
              <w:spacing w:line="320" w:lineRule="exact"/>
              <w:ind w:firstLine="420" w:firstLineChars="200"/>
              <w:jc w:val="left"/>
              <w:rPr>
                <w:rFonts w:ascii="宋体" w:hAnsi="宋体"/>
                <w:color w:val="auto"/>
                <w:szCs w:val="21"/>
              </w:rPr>
            </w:pPr>
          </w:p>
        </w:tc>
        <w:tc>
          <w:tcPr>
            <w:tcW w:w="708" w:type="dxa"/>
            <w:vMerge w:val="continue"/>
            <w:noWrap/>
            <w:vAlign w:val="center"/>
          </w:tcPr>
          <w:p w14:paraId="5E4D8E43">
            <w:pPr>
              <w:spacing w:line="320" w:lineRule="exact"/>
              <w:ind w:firstLine="420" w:firstLineChars="200"/>
              <w:jc w:val="left"/>
              <w:rPr>
                <w:rFonts w:ascii="宋体" w:hAnsi="宋体"/>
                <w:color w:val="auto"/>
                <w:szCs w:val="21"/>
              </w:rPr>
            </w:pPr>
          </w:p>
        </w:tc>
        <w:tc>
          <w:tcPr>
            <w:tcW w:w="709" w:type="dxa"/>
            <w:vMerge w:val="restart"/>
            <w:noWrap/>
            <w:vAlign w:val="center"/>
          </w:tcPr>
          <w:p w14:paraId="0BBFA556">
            <w:pPr>
              <w:spacing w:line="320" w:lineRule="exact"/>
              <w:jc w:val="left"/>
              <w:rPr>
                <w:rFonts w:ascii="宋体" w:hAnsi="宋体"/>
                <w:color w:val="auto"/>
                <w:szCs w:val="21"/>
              </w:rPr>
            </w:pPr>
            <w:r>
              <w:rPr>
                <w:rFonts w:hint="eastAsia" w:ascii="宋体" w:hAnsi="宋体"/>
                <w:color w:val="auto"/>
                <w:szCs w:val="21"/>
              </w:rPr>
              <w:t>检验检查预约</w:t>
            </w:r>
          </w:p>
        </w:tc>
        <w:tc>
          <w:tcPr>
            <w:tcW w:w="6804" w:type="dxa"/>
            <w:noWrap/>
            <w:vAlign w:val="center"/>
          </w:tcPr>
          <w:p w14:paraId="5D297F96">
            <w:pPr>
              <w:spacing w:line="320" w:lineRule="exact"/>
              <w:ind w:firstLine="420" w:firstLineChars="200"/>
              <w:rPr>
                <w:rFonts w:ascii="宋体" w:hAnsi="宋体"/>
                <w:color w:val="auto"/>
                <w:szCs w:val="21"/>
              </w:rPr>
            </w:pPr>
            <w:r>
              <w:rPr>
                <w:rFonts w:hint="eastAsia" w:ascii="宋体" w:hAnsi="宋体"/>
                <w:color w:val="auto"/>
                <w:szCs w:val="21"/>
              </w:rPr>
              <w:t xml:space="preserve"> 显示病区患者近期检验检查预约情况，包括床号、姓名、检验检查项目、部位、预约日期与时间段、特殊备注等。</w:t>
            </w:r>
          </w:p>
        </w:tc>
        <w:tc>
          <w:tcPr>
            <w:tcW w:w="438" w:type="dxa"/>
            <w:vMerge w:val="continue"/>
            <w:noWrap/>
            <w:vAlign w:val="center"/>
          </w:tcPr>
          <w:p w14:paraId="257B5B0C">
            <w:pPr>
              <w:spacing w:line="320" w:lineRule="exact"/>
              <w:ind w:firstLine="420" w:firstLineChars="200"/>
              <w:jc w:val="center"/>
              <w:rPr>
                <w:rFonts w:ascii="宋体" w:hAnsi="宋体"/>
                <w:color w:val="auto"/>
                <w:szCs w:val="21"/>
              </w:rPr>
            </w:pPr>
          </w:p>
        </w:tc>
      </w:tr>
      <w:tr w14:paraId="41AA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2DACFFA3">
            <w:pPr>
              <w:spacing w:line="320" w:lineRule="exact"/>
              <w:ind w:firstLine="420" w:firstLineChars="200"/>
              <w:jc w:val="left"/>
              <w:rPr>
                <w:rFonts w:ascii="宋体" w:hAnsi="宋体"/>
                <w:color w:val="auto"/>
                <w:szCs w:val="21"/>
              </w:rPr>
            </w:pPr>
          </w:p>
        </w:tc>
        <w:tc>
          <w:tcPr>
            <w:tcW w:w="709" w:type="dxa"/>
            <w:vMerge w:val="continue"/>
            <w:noWrap/>
            <w:vAlign w:val="center"/>
          </w:tcPr>
          <w:p w14:paraId="564DC220">
            <w:pPr>
              <w:spacing w:line="320" w:lineRule="exact"/>
              <w:ind w:firstLine="420" w:firstLineChars="200"/>
              <w:jc w:val="left"/>
              <w:rPr>
                <w:rFonts w:ascii="宋体" w:hAnsi="宋体"/>
                <w:color w:val="auto"/>
                <w:szCs w:val="21"/>
              </w:rPr>
            </w:pPr>
          </w:p>
        </w:tc>
        <w:tc>
          <w:tcPr>
            <w:tcW w:w="708" w:type="dxa"/>
            <w:vMerge w:val="continue"/>
            <w:noWrap/>
            <w:vAlign w:val="center"/>
          </w:tcPr>
          <w:p w14:paraId="4716BF90">
            <w:pPr>
              <w:spacing w:line="320" w:lineRule="exact"/>
              <w:ind w:firstLine="420" w:firstLineChars="200"/>
              <w:jc w:val="left"/>
              <w:rPr>
                <w:rFonts w:ascii="宋体" w:hAnsi="宋体"/>
                <w:color w:val="auto"/>
                <w:szCs w:val="21"/>
              </w:rPr>
            </w:pPr>
          </w:p>
        </w:tc>
        <w:tc>
          <w:tcPr>
            <w:tcW w:w="709" w:type="dxa"/>
            <w:vMerge w:val="continue"/>
            <w:noWrap/>
            <w:vAlign w:val="center"/>
          </w:tcPr>
          <w:p w14:paraId="70BD0F6E">
            <w:pPr>
              <w:spacing w:line="320" w:lineRule="exact"/>
              <w:ind w:firstLine="420" w:firstLineChars="200"/>
              <w:jc w:val="left"/>
              <w:rPr>
                <w:rFonts w:ascii="宋体" w:hAnsi="宋体"/>
                <w:color w:val="auto"/>
                <w:szCs w:val="21"/>
              </w:rPr>
            </w:pPr>
          </w:p>
        </w:tc>
        <w:tc>
          <w:tcPr>
            <w:tcW w:w="6804" w:type="dxa"/>
            <w:noWrap/>
            <w:vAlign w:val="center"/>
          </w:tcPr>
          <w:p w14:paraId="3AF40E35">
            <w:pPr>
              <w:spacing w:line="320" w:lineRule="exact"/>
              <w:ind w:firstLine="420" w:firstLineChars="200"/>
              <w:rPr>
                <w:rFonts w:ascii="宋体" w:hAnsi="宋体"/>
                <w:color w:val="auto"/>
                <w:szCs w:val="21"/>
              </w:rPr>
            </w:pPr>
            <w:r>
              <w:rPr>
                <w:rFonts w:hint="eastAsia" w:ascii="宋体" w:hAnsi="宋体"/>
                <w:color w:val="auto"/>
                <w:szCs w:val="21"/>
              </w:rPr>
              <w:t xml:space="preserve"> 项目类型包括但不限于胃肠镜、空腹/非空腹B超、心脏彩超、CT、MR、DR、X线等。按病区需要配置。</w:t>
            </w:r>
          </w:p>
        </w:tc>
        <w:tc>
          <w:tcPr>
            <w:tcW w:w="438" w:type="dxa"/>
            <w:vMerge w:val="continue"/>
            <w:noWrap/>
            <w:vAlign w:val="center"/>
          </w:tcPr>
          <w:p w14:paraId="64B9A296">
            <w:pPr>
              <w:spacing w:line="320" w:lineRule="exact"/>
              <w:ind w:firstLine="420" w:firstLineChars="200"/>
              <w:jc w:val="center"/>
              <w:rPr>
                <w:rFonts w:ascii="宋体" w:hAnsi="宋体"/>
                <w:color w:val="auto"/>
                <w:szCs w:val="21"/>
              </w:rPr>
            </w:pPr>
          </w:p>
        </w:tc>
      </w:tr>
      <w:tr w14:paraId="73E1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2CF15F0B">
            <w:pPr>
              <w:spacing w:line="320" w:lineRule="exact"/>
              <w:ind w:firstLine="420" w:firstLineChars="200"/>
              <w:jc w:val="left"/>
              <w:rPr>
                <w:rFonts w:ascii="宋体" w:hAnsi="宋体"/>
                <w:color w:val="auto"/>
                <w:szCs w:val="21"/>
              </w:rPr>
            </w:pPr>
          </w:p>
        </w:tc>
        <w:tc>
          <w:tcPr>
            <w:tcW w:w="709" w:type="dxa"/>
            <w:vMerge w:val="continue"/>
            <w:noWrap/>
            <w:vAlign w:val="center"/>
          </w:tcPr>
          <w:p w14:paraId="57B5531A">
            <w:pPr>
              <w:spacing w:line="320" w:lineRule="exact"/>
              <w:ind w:firstLine="420" w:firstLineChars="200"/>
              <w:jc w:val="left"/>
              <w:rPr>
                <w:rFonts w:ascii="宋体" w:hAnsi="宋体"/>
                <w:color w:val="auto"/>
                <w:szCs w:val="21"/>
              </w:rPr>
            </w:pPr>
          </w:p>
        </w:tc>
        <w:tc>
          <w:tcPr>
            <w:tcW w:w="708" w:type="dxa"/>
            <w:vMerge w:val="continue"/>
            <w:noWrap/>
            <w:vAlign w:val="center"/>
          </w:tcPr>
          <w:p w14:paraId="045B9C38">
            <w:pPr>
              <w:spacing w:line="320" w:lineRule="exact"/>
              <w:ind w:firstLine="420" w:firstLineChars="200"/>
              <w:jc w:val="left"/>
              <w:rPr>
                <w:rFonts w:ascii="宋体" w:hAnsi="宋体"/>
                <w:color w:val="auto"/>
                <w:szCs w:val="21"/>
              </w:rPr>
            </w:pPr>
          </w:p>
        </w:tc>
        <w:tc>
          <w:tcPr>
            <w:tcW w:w="709" w:type="dxa"/>
            <w:vMerge w:val="continue"/>
            <w:noWrap/>
            <w:vAlign w:val="center"/>
          </w:tcPr>
          <w:p w14:paraId="25EB5EA9">
            <w:pPr>
              <w:spacing w:line="320" w:lineRule="exact"/>
              <w:ind w:firstLine="420" w:firstLineChars="200"/>
              <w:jc w:val="left"/>
              <w:rPr>
                <w:rFonts w:ascii="宋体" w:hAnsi="宋体"/>
                <w:color w:val="auto"/>
                <w:szCs w:val="21"/>
              </w:rPr>
            </w:pPr>
          </w:p>
        </w:tc>
        <w:tc>
          <w:tcPr>
            <w:tcW w:w="6804" w:type="dxa"/>
            <w:noWrap/>
            <w:vAlign w:val="center"/>
          </w:tcPr>
          <w:p w14:paraId="75CFE4D0">
            <w:pPr>
              <w:spacing w:line="320" w:lineRule="exact"/>
              <w:ind w:firstLine="420" w:firstLineChars="200"/>
              <w:rPr>
                <w:rFonts w:ascii="宋体" w:hAnsi="宋体"/>
                <w:color w:val="auto"/>
                <w:szCs w:val="21"/>
              </w:rPr>
            </w:pPr>
            <w:r>
              <w:rPr>
                <w:rFonts w:hint="eastAsia" w:ascii="宋体" w:hAnsi="宋体"/>
                <w:color w:val="auto"/>
                <w:szCs w:val="21"/>
              </w:rPr>
              <w:t>实现对接检验检查预约数据自动排期显示预约情况。</w:t>
            </w:r>
          </w:p>
        </w:tc>
        <w:tc>
          <w:tcPr>
            <w:tcW w:w="438" w:type="dxa"/>
            <w:vMerge w:val="continue"/>
            <w:noWrap/>
            <w:vAlign w:val="center"/>
          </w:tcPr>
          <w:p w14:paraId="061287D1">
            <w:pPr>
              <w:spacing w:line="320" w:lineRule="exact"/>
              <w:ind w:firstLine="420" w:firstLineChars="200"/>
              <w:jc w:val="center"/>
              <w:rPr>
                <w:rFonts w:ascii="宋体" w:hAnsi="宋体"/>
                <w:color w:val="auto"/>
                <w:szCs w:val="21"/>
              </w:rPr>
            </w:pPr>
          </w:p>
        </w:tc>
      </w:tr>
      <w:tr w14:paraId="7BF7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5990A161">
            <w:pPr>
              <w:spacing w:line="320" w:lineRule="exact"/>
              <w:ind w:firstLine="420" w:firstLineChars="200"/>
              <w:jc w:val="left"/>
              <w:rPr>
                <w:rFonts w:ascii="宋体" w:hAnsi="宋体"/>
                <w:color w:val="auto"/>
                <w:szCs w:val="21"/>
              </w:rPr>
            </w:pPr>
          </w:p>
        </w:tc>
        <w:tc>
          <w:tcPr>
            <w:tcW w:w="709" w:type="dxa"/>
            <w:vMerge w:val="continue"/>
            <w:noWrap/>
            <w:vAlign w:val="center"/>
          </w:tcPr>
          <w:p w14:paraId="56628BC9">
            <w:pPr>
              <w:spacing w:line="320" w:lineRule="exact"/>
              <w:ind w:firstLine="420" w:firstLineChars="200"/>
              <w:jc w:val="left"/>
              <w:rPr>
                <w:rFonts w:ascii="宋体" w:hAnsi="宋体"/>
                <w:color w:val="auto"/>
                <w:szCs w:val="21"/>
              </w:rPr>
            </w:pPr>
          </w:p>
        </w:tc>
        <w:tc>
          <w:tcPr>
            <w:tcW w:w="708" w:type="dxa"/>
            <w:vMerge w:val="continue"/>
            <w:noWrap/>
            <w:vAlign w:val="center"/>
          </w:tcPr>
          <w:p w14:paraId="3DA83A64">
            <w:pPr>
              <w:spacing w:line="320" w:lineRule="exact"/>
              <w:ind w:firstLine="420" w:firstLineChars="200"/>
              <w:jc w:val="left"/>
              <w:rPr>
                <w:rFonts w:ascii="宋体" w:hAnsi="宋体"/>
                <w:color w:val="auto"/>
                <w:szCs w:val="21"/>
              </w:rPr>
            </w:pPr>
          </w:p>
        </w:tc>
        <w:tc>
          <w:tcPr>
            <w:tcW w:w="709" w:type="dxa"/>
            <w:vMerge w:val="continue"/>
            <w:noWrap/>
            <w:vAlign w:val="center"/>
          </w:tcPr>
          <w:p w14:paraId="0BF65DBE">
            <w:pPr>
              <w:spacing w:line="320" w:lineRule="exact"/>
              <w:ind w:firstLine="420" w:firstLineChars="200"/>
              <w:jc w:val="left"/>
              <w:rPr>
                <w:rFonts w:ascii="宋体" w:hAnsi="宋体"/>
                <w:color w:val="auto"/>
                <w:szCs w:val="21"/>
              </w:rPr>
            </w:pPr>
          </w:p>
        </w:tc>
        <w:tc>
          <w:tcPr>
            <w:tcW w:w="6804" w:type="dxa"/>
            <w:noWrap/>
            <w:vAlign w:val="center"/>
          </w:tcPr>
          <w:p w14:paraId="5E488BFB">
            <w:pPr>
              <w:spacing w:line="320" w:lineRule="exact"/>
              <w:ind w:firstLine="420" w:firstLineChars="200"/>
              <w:rPr>
                <w:rFonts w:ascii="宋体" w:hAnsi="宋体"/>
                <w:color w:val="auto"/>
                <w:szCs w:val="21"/>
              </w:rPr>
            </w:pPr>
            <w:r>
              <w:rPr>
                <w:rFonts w:hint="eastAsia" w:ascii="宋体" w:hAnsi="宋体"/>
                <w:color w:val="auto"/>
                <w:szCs w:val="21"/>
              </w:rPr>
              <w:t xml:space="preserve"> 能够手动增加或者修改检查项目</w:t>
            </w:r>
          </w:p>
        </w:tc>
        <w:tc>
          <w:tcPr>
            <w:tcW w:w="438" w:type="dxa"/>
            <w:vMerge w:val="continue"/>
            <w:noWrap/>
            <w:vAlign w:val="center"/>
          </w:tcPr>
          <w:p w14:paraId="2BF6B528">
            <w:pPr>
              <w:spacing w:line="320" w:lineRule="exact"/>
              <w:ind w:firstLine="420" w:firstLineChars="200"/>
              <w:jc w:val="center"/>
              <w:rPr>
                <w:rFonts w:ascii="宋体" w:hAnsi="宋体"/>
                <w:color w:val="auto"/>
                <w:szCs w:val="21"/>
              </w:rPr>
            </w:pPr>
          </w:p>
        </w:tc>
      </w:tr>
      <w:tr w14:paraId="2B12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426" w:type="dxa"/>
            <w:vMerge w:val="continue"/>
            <w:noWrap/>
            <w:vAlign w:val="center"/>
          </w:tcPr>
          <w:p w14:paraId="6D3124C7">
            <w:pPr>
              <w:spacing w:line="320" w:lineRule="exact"/>
              <w:ind w:firstLine="420" w:firstLineChars="200"/>
              <w:jc w:val="left"/>
              <w:rPr>
                <w:rFonts w:ascii="宋体" w:hAnsi="宋体"/>
                <w:color w:val="auto"/>
                <w:szCs w:val="21"/>
              </w:rPr>
            </w:pPr>
          </w:p>
        </w:tc>
        <w:tc>
          <w:tcPr>
            <w:tcW w:w="709" w:type="dxa"/>
            <w:vMerge w:val="continue"/>
            <w:noWrap/>
            <w:vAlign w:val="center"/>
          </w:tcPr>
          <w:p w14:paraId="4D7707A1">
            <w:pPr>
              <w:spacing w:line="320" w:lineRule="exact"/>
              <w:ind w:firstLine="420" w:firstLineChars="200"/>
              <w:jc w:val="left"/>
              <w:rPr>
                <w:rFonts w:ascii="宋体" w:hAnsi="宋体"/>
                <w:color w:val="auto"/>
                <w:szCs w:val="21"/>
              </w:rPr>
            </w:pPr>
          </w:p>
        </w:tc>
        <w:tc>
          <w:tcPr>
            <w:tcW w:w="708" w:type="dxa"/>
            <w:vMerge w:val="continue"/>
            <w:noWrap/>
            <w:vAlign w:val="center"/>
          </w:tcPr>
          <w:p w14:paraId="14FC2483">
            <w:pPr>
              <w:spacing w:line="320" w:lineRule="exact"/>
              <w:ind w:firstLine="420" w:firstLineChars="200"/>
              <w:jc w:val="left"/>
              <w:rPr>
                <w:rFonts w:ascii="宋体" w:hAnsi="宋体"/>
                <w:color w:val="auto"/>
                <w:szCs w:val="21"/>
              </w:rPr>
            </w:pPr>
          </w:p>
        </w:tc>
        <w:tc>
          <w:tcPr>
            <w:tcW w:w="709" w:type="dxa"/>
            <w:vMerge w:val="restart"/>
            <w:noWrap/>
            <w:vAlign w:val="center"/>
          </w:tcPr>
          <w:p w14:paraId="43DB417C">
            <w:pPr>
              <w:spacing w:line="320" w:lineRule="exact"/>
              <w:jc w:val="left"/>
              <w:rPr>
                <w:rFonts w:ascii="宋体" w:hAnsi="宋体"/>
                <w:color w:val="auto"/>
                <w:szCs w:val="21"/>
              </w:rPr>
            </w:pPr>
            <w:r>
              <w:rPr>
                <w:rFonts w:hint="eastAsia" w:ascii="宋体" w:hAnsi="宋体"/>
                <w:color w:val="auto"/>
                <w:szCs w:val="21"/>
              </w:rPr>
              <w:t>医护排班</w:t>
            </w:r>
          </w:p>
        </w:tc>
        <w:tc>
          <w:tcPr>
            <w:tcW w:w="6804" w:type="dxa"/>
            <w:noWrap/>
            <w:vAlign w:val="center"/>
          </w:tcPr>
          <w:p w14:paraId="6CB77524">
            <w:pPr>
              <w:spacing w:line="320" w:lineRule="exact"/>
              <w:ind w:firstLine="420" w:firstLineChars="200"/>
              <w:rPr>
                <w:rFonts w:ascii="宋体" w:hAnsi="宋体"/>
                <w:color w:val="auto"/>
                <w:szCs w:val="21"/>
              </w:rPr>
            </w:pPr>
            <w:r>
              <w:rPr>
                <w:rFonts w:hint="eastAsia" w:ascii="宋体" w:hAnsi="宋体"/>
                <w:color w:val="auto"/>
                <w:szCs w:val="21"/>
              </w:rPr>
              <w:t xml:space="preserve"> 显示当天各班次分组情况、管床范围和责任护士，以及一二三线当班医生。按病区需要配置。展示病区当天的管床信息，实现用户手动维护管床信息，实现以责任组的维度显示管床信息，实现以护士的维度显示管床信息</w:t>
            </w:r>
          </w:p>
        </w:tc>
        <w:tc>
          <w:tcPr>
            <w:tcW w:w="438" w:type="dxa"/>
            <w:vMerge w:val="continue"/>
            <w:noWrap/>
            <w:vAlign w:val="center"/>
          </w:tcPr>
          <w:p w14:paraId="7994DDFB">
            <w:pPr>
              <w:spacing w:line="320" w:lineRule="exact"/>
              <w:ind w:firstLine="420" w:firstLineChars="200"/>
              <w:jc w:val="center"/>
              <w:rPr>
                <w:rFonts w:ascii="宋体" w:hAnsi="宋体"/>
                <w:color w:val="auto"/>
                <w:szCs w:val="21"/>
              </w:rPr>
            </w:pPr>
          </w:p>
        </w:tc>
      </w:tr>
      <w:tr w14:paraId="7519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25FA4EEA">
            <w:pPr>
              <w:spacing w:line="320" w:lineRule="exact"/>
              <w:ind w:firstLine="420" w:firstLineChars="200"/>
              <w:jc w:val="left"/>
              <w:rPr>
                <w:rFonts w:ascii="宋体" w:hAnsi="宋体"/>
                <w:color w:val="auto"/>
                <w:szCs w:val="21"/>
              </w:rPr>
            </w:pPr>
          </w:p>
        </w:tc>
        <w:tc>
          <w:tcPr>
            <w:tcW w:w="709" w:type="dxa"/>
            <w:vMerge w:val="continue"/>
            <w:noWrap/>
            <w:vAlign w:val="center"/>
          </w:tcPr>
          <w:p w14:paraId="24E63A44">
            <w:pPr>
              <w:spacing w:line="320" w:lineRule="exact"/>
              <w:ind w:firstLine="420" w:firstLineChars="200"/>
              <w:jc w:val="left"/>
              <w:rPr>
                <w:rFonts w:ascii="宋体" w:hAnsi="宋体"/>
                <w:color w:val="auto"/>
                <w:szCs w:val="21"/>
              </w:rPr>
            </w:pPr>
          </w:p>
        </w:tc>
        <w:tc>
          <w:tcPr>
            <w:tcW w:w="708" w:type="dxa"/>
            <w:vMerge w:val="continue"/>
            <w:noWrap/>
            <w:vAlign w:val="center"/>
          </w:tcPr>
          <w:p w14:paraId="2D43159A">
            <w:pPr>
              <w:spacing w:line="320" w:lineRule="exact"/>
              <w:ind w:firstLine="420" w:firstLineChars="200"/>
              <w:jc w:val="left"/>
              <w:rPr>
                <w:rFonts w:ascii="宋体" w:hAnsi="宋体"/>
                <w:color w:val="auto"/>
                <w:szCs w:val="21"/>
              </w:rPr>
            </w:pPr>
          </w:p>
        </w:tc>
        <w:tc>
          <w:tcPr>
            <w:tcW w:w="709" w:type="dxa"/>
            <w:vMerge w:val="continue"/>
            <w:noWrap/>
            <w:vAlign w:val="center"/>
          </w:tcPr>
          <w:p w14:paraId="5C90A447">
            <w:pPr>
              <w:spacing w:line="320" w:lineRule="exact"/>
              <w:ind w:firstLine="420" w:firstLineChars="200"/>
              <w:jc w:val="left"/>
              <w:rPr>
                <w:rFonts w:ascii="宋体" w:hAnsi="宋体"/>
                <w:color w:val="auto"/>
                <w:szCs w:val="21"/>
              </w:rPr>
            </w:pPr>
          </w:p>
        </w:tc>
        <w:tc>
          <w:tcPr>
            <w:tcW w:w="6804" w:type="dxa"/>
            <w:noWrap/>
            <w:vAlign w:val="center"/>
          </w:tcPr>
          <w:p w14:paraId="3392C615">
            <w:pPr>
              <w:spacing w:line="320" w:lineRule="exact"/>
              <w:ind w:firstLine="420" w:firstLineChars="200"/>
              <w:rPr>
                <w:rFonts w:ascii="宋体" w:hAnsi="宋体"/>
                <w:color w:val="auto"/>
                <w:szCs w:val="21"/>
              </w:rPr>
            </w:pPr>
            <w:r>
              <w:rPr>
                <w:rFonts w:hint="eastAsia" w:ascii="宋体" w:hAnsi="宋体"/>
                <w:color w:val="auto"/>
                <w:szCs w:val="21"/>
              </w:rPr>
              <w:t xml:space="preserve"> 显示值班护士的能级，符合护理质控要求。</w:t>
            </w:r>
          </w:p>
        </w:tc>
        <w:tc>
          <w:tcPr>
            <w:tcW w:w="438" w:type="dxa"/>
            <w:vMerge w:val="continue"/>
            <w:noWrap/>
            <w:vAlign w:val="center"/>
          </w:tcPr>
          <w:p w14:paraId="2602583E">
            <w:pPr>
              <w:spacing w:line="320" w:lineRule="exact"/>
              <w:ind w:firstLine="420" w:firstLineChars="200"/>
              <w:jc w:val="center"/>
              <w:rPr>
                <w:rFonts w:ascii="宋体" w:hAnsi="宋体"/>
                <w:color w:val="auto"/>
                <w:szCs w:val="21"/>
              </w:rPr>
            </w:pPr>
          </w:p>
        </w:tc>
      </w:tr>
      <w:tr w14:paraId="5EE2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08C7B226">
            <w:pPr>
              <w:spacing w:line="320" w:lineRule="exact"/>
              <w:ind w:firstLine="420" w:firstLineChars="200"/>
              <w:jc w:val="left"/>
              <w:rPr>
                <w:rFonts w:ascii="宋体" w:hAnsi="宋体"/>
                <w:color w:val="auto"/>
                <w:szCs w:val="21"/>
              </w:rPr>
            </w:pPr>
          </w:p>
        </w:tc>
        <w:tc>
          <w:tcPr>
            <w:tcW w:w="709" w:type="dxa"/>
            <w:vMerge w:val="continue"/>
            <w:noWrap/>
            <w:vAlign w:val="center"/>
          </w:tcPr>
          <w:p w14:paraId="3AD05E9E">
            <w:pPr>
              <w:spacing w:line="320" w:lineRule="exact"/>
              <w:ind w:firstLine="420" w:firstLineChars="200"/>
              <w:jc w:val="left"/>
              <w:rPr>
                <w:rFonts w:ascii="宋体" w:hAnsi="宋体"/>
                <w:color w:val="auto"/>
                <w:szCs w:val="21"/>
              </w:rPr>
            </w:pPr>
          </w:p>
        </w:tc>
        <w:tc>
          <w:tcPr>
            <w:tcW w:w="708" w:type="dxa"/>
            <w:vMerge w:val="continue"/>
            <w:noWrap/>
            <w:vAlign w:val="center"/>
          </w:tcPr>
          <w:p w14:paraId="62845688">
            <w:pPr>
              <w:spacing w:line="320" w:lineRule="exact"/>
              <w:ind w:firstLine="420" w:firstLineChars="200"/>
              <w:jc w:val="left"/>
              <w:rPr>
                <w:rFonts w:ascii="宋体" w:hAnsi="宋体"/>
                <w:color w:val="auto"/>
                <w:szCs w:val="21"/>
              </w:rPr>
            </w:pPr>
          </w:p>
        </w:tc>
        <w:tc>
          <w:tcPr>
            <w:tcW w:w="709" w:type="dxa"/>
            <w:vMerge w:val="continue"/>
            <w:noWrap/>
            <w:vAlign w:val="center"/>
          </w:tcPr>
          <w:p w14:paraId="02E9F6D5">
            <w:pPr>
              <w:spacing w:line="320" w:lineRule="exact"/>
              <w:ind w:firstLine="420" w:firstLineChars="200"/>
              <w:jc w:val="left"/>
              <w:rPr>
                <w:rFonts w:ascii="宋体" w:hAnsi="宋体"/>
                <w:color w:val="auto"/>
                <w:szCs w:val="21"/>
              </w:rPr>
            </w:pPr>
          </w:p>
        </w:tc>
        <w:tc>
          <w:tcPr>
            <w:tcW w:w="6804" w:type="dxa"/>
            <w:noWrap/>
            <w:vAlign w:val="center"/>
          </w:tcPr>
          <w:p w14:paraId="5E6C1370">
            <w:pPr>
              <w:spacing w:line="320" w:lineRule="exact"/>
              <w:ind w:firstLine="420" w:firstLineChars="200"/>
              <w:rPr>
                <w:rFonts w:ascii="宋体" w:hAnsi="宋体"/>
                <w:color w:val="auto"/>
                <w:szCs w:val="21"/>
              </w:rPr>
            </w:pPr>
            <w:r>
              <w:rPr>
                <w:rFonts w:hint="eastAsia" w:ascii="宋体" w:hAnsi="宋体"/>
                <w:color w:val="auto"/>
                <w:szCs w:val="21"/>
              </w:rPr>
              <w:t xml:space="preserve"> 可查询历史排班，可导出。</w:t>
            </w:r>
          </w:p>
        </w:tc>
        <w:tc>
          <w:tcPr>
            <w:tcW w:w="438" w:type="dxa"/>
            <w:vMerge w:val="continue"/>
            <w:noWrap/>
            <w:vAlign w:val="center"/>
          </w:tcPr>
          <w:p w14:paraId="0D4369D0">
            <w:pPr>
              <w:spacing w:line="320" w:lineRule="exact"/>
              <w:ind w:firstLine="420" w:firstLineChars="200"/>
              <w:jc w:val="center"/>
              <w:rPr>
                <w:rFonts w:ascii="宋体" w:hAnsi="宋体"/>
                <w:color w:val="auto"/>
                <w:szCs w:val="21"/>
              </w:rPr>
            </w:pPr>
          </w:p>
        </w:tc>
      </w:tr>
      <w:tr w14:paraId="6A72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4332F0D0">
            <w:pPr>
              <w:spacing w:line="320" w:lineRule="exact"/>
              <w:ind w:firstLine="420" w:firstLineChars="200"/>
              <w:jc w:val="left"/>
              <w:rPr>
                <w:rFonts w:ascii="宋体" w:hAnsi="宋体"/>
                <w:color w:val="auto"/>
                <w:szCs w:val="21"/>
              </w:rPr>
            </w:pPr>
          </w:p>
        </w:tc>
        <w:tc>
          <w:tcPr>
            <w:tcW w:w="709" w:type="dxa"/>
            <w:vMerge w:val="continue"/>
            <w:noWrap/>
            <w:vAlign w:val="center"/>
          </w:tcPr>
          <w:p w14:paraId="09875389">
            <w:pPr>
              <w:spacing w:line="320" w:lineRule="exact"/>
              <w:ind w:firstLine="420" w:firstLineChars="200"/>
              <w:jc w:val="left"/>
              <w:rPr>
                <w:rFonts w:ascii="宋体" w:hAnsi="宋体"/>
                <w:color w:val="auto"/>
                <w:szCs w:val="21"/>
              </w:rPr>
            </w:pPr>
          </w:p>
        </w:tc>
        <w:tc>
          <w:tcPr>
            <w:tcW w:w="708" w:type="dxa"/>
            <w:vMerge w:val="continue"/>
            <w:noWrap/>
            <w:vAlign w:val="center"/>
          </w:tcPr>
          <w:p w14:paraId="582059F2">
            <w:pPr>
              <w:spacing w:line="320" w:lineRule="exact"/>
              <w:ind w:firstLine="420" w:firstLineChars="200"/>
              <w:jc w:val="left"/>
              <w:rPr>
                <w:rFonts w:ascii="宋体" w:hAnsi="宋体"/>
                <w:color w:val="auto"/>
                <w:szCs w:val="21"/>
              </w:rPr>
            </w:pPr>
          </w:p>
        </w:tc>
        <w:tc>
          <w:tcPr>
            <w:tcW w:w="709" w:type="dxa"/>
            <w:vMerge w:val="continue"/>
            <w:noWrap/>
            <w:vAlign w:val="center"/>
          </w:tcPr>
          <w:p w14:paraId="71FE627C">
            <w:pPr>
              <w:spacing w:line="320" w:lineRule="exact"/>
              <w:ind w:firstLine="420" w:firstLineChars="200"/>
              <w:jc w:val="left"/>
              <w:rPr>
                <w:rFonts w:ascii="宋体" w:hAnsi="宋体"/>
                <w:color w:val="auto"/>
                <w:szCs w:val="21"/>
              </w:rPr>
            </w:pPr>
          </w:p>
        </w:tc>
        <w:tc>
          <w:tcPr>
            <w:tcW w:w="6804" w:type="dxa"/>
            <w:noWrap/>
            <w:vAlign w:val="center"/>
          </w:tcPr>
          <w:p w14:paraId="4B9286EC">
            <w:pPr>
              <w:spacing w:line="320" w:lineRule="exact"/>
              <w:ind w:firstLine="420" w:firstLineChars="200"/>
              <w:rPr>
                <w:rFonts w:ascii="宋体" w:hAnsi="宋体"/>
                <w:color w:val="auto"/>
                <w:szCs w:val="21"/>
              </w:rPr>
            </w:pPr>
            <w:r>
              <w:rPr>
                <w:rFonts w:hint="eastAsia" w:ascii="宋体" w:hAnsi="宋体"/>
                <w:color w:val="auto"/>
                <w:szCs w:val="21"/>
              </w:rPr>
              <w:t>该护理质量管理系统，可将排班表自动导入，自动显示值班护士，管床范围，护士能级等</w:t>
            </w:r>
          </w:p>
        </w:tc>
        <w:tc>
          <w:tcPr>
            <w:tcW w:w="438" w:type="dxa"/>
            <w:vMerge w:val="continue"/>
            <w:noWrap/>
            <w:vAlign w:val="center"/>
          </w:tcPr>
          <w:p w14:paraId="63270F95">
            <w:pPr>
              <w:spacing w:line="320" w:lineRule="exact"/>
              <w:ind w:firstLine="420" w:firstLineChars="200"/>
              <w:jc w:val="center"/>
              <w:rPr>
                <w:rFonts w:ascii="宋体" w:hAnsi="宋体"/>
                <w:color w:val="auto"/>
                <w:szCs w:val="21"/>
              </w:rPr>
            </w:pPr>
          </w:p>
        </w:tc>
      </w:tr>
      <w:tr w14:paraId="7946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2471FBC1">
            <w:pPr>
              <w:spacing w:line="320" w:lineRule="exact"/>
              <w:ind w:firstLine="420" w:firstLineChars="200"/>
              <w:jc w:val="left"/>
              <w:rPr>
                <w:rFonts w:ascii="宋体" w:hAnsi="宋体"/>
                <w:color w:val="auto"/>
                <w:szCs w:val="21"/>
              </w:rPr>
            </w:pPr>
          </w:p>
        </w:tc>
        <w:tc>
          <w:tcPr>
            <w:tcW w:w="709" w:type="dxa"/>
            <w:vMerge w:val="continue"/>
            <w:noWrap/>
            <w:vAlign w:val="center"/>
          </w:tcPr>
          <w:p w14:paraId="15E5EF22">
            <w:pPr>
              <w:spacing w:line="320" w:lineRule="exact"/>
              <w:ind w:firstLine="420" w:firstLineChars="200"/>
              <w:jc w:val="left"/>
              <w:rPr>
                <w:rFonts w:ascii="宋体" w:hAnsi="宋体"/>
                <w:color w:val="auto"/>
                <w:szCs w:val="21"/>
              </w:rPr>
            </w:pPr>
          </w:p>
        </w:tc>
        <w:tc>
          <w:tcPr>
            <w:tcW w:w="708" w:type="dxa"/>
            <w:vMerge w:val="continue"/>
            <w:noWrap/>
            <w:vAlign w:val="center"/>
          </w:tcPr>
          <w:p w14:paraId="31BB5AC1">
            <w:pPr>
              <w:spacing w:line="320" w:lineRule="exact"/>
              <w:ind w:firstLine="420" w:firstLineChars="200"/>
              <w:jc w:val="left"/>
              <w:rPr>
                <w:rFonts w:ascii="宋体" w:hAnsi="宋体"/>
                <w:color w:val="auto"/>
                <w:szCs w:val="21"/>
              </w:rPr>
            </w:pPr>
          </w:p>
        </w:tc>
        <w:tc>
          <w:tcPr>
            <w:tcW w:w="709" w:type="dxa"/>
            <w:noWrap/>
            <w:vAlign w:val="center"/>
          </w:tcPr>
          <w:p w14:paraId="022D54F5">
            <w:pPr>
              <w:spacing w:line="320" w:lineRule="exact"/>
              <w:jc w:val="left"/>
              <w:rPr>
                <w:rFonts w:ascii="宋体" w:hAnsi="宋体"/>
                <w:color w:val="auto"/>
                <w:szCs w:val="21"/>
              </w:rPr>
            </w:pPr>
            <w:r>
              <w:rPr>
                <w:rFonts w:hint="eastAsia" w:ascii="宋体" w:hAnsi="宋体"/>
                <w:color w:val="auto"/>
                <w:szCs w:val="21"/>
              </w:rPr>
              <w:t>通知公告</w:t>
            </w:r>
          </w:p>
        </w:tc>
        <w:tc>
          <w:tcPr>
            <w:tcW w:w="6804" w:type="dxa"/>
            <w:noWrap/>
            <w:vAlign w:val="center"/>
          </w:tcPr>
          <w:p w14:paraId="3358D2AC">
            <w:pPr>
              <w:spacing w:line="320" w:lineRule="exact"/>
              <w:ind w:firstLine="420" w:firstLineChars="200"/>
              <w:rPr>
                <w:rFonts w:ascii="宋体" w:hAnsi="宋体"/>
                <w:color w:val="auto"/>
                <w:szCs w:val="21"/>
              </w:rPr>
            </w:pPr>
            <w:r>
              <w:rPr>
                <w:rFonts w:hint="eastAsia" w:ascii="宋体" w:hAnsi="宋体"/>
                <w:color w:val="auto"/>
                <w:szCs w:val="21"/>
              </w:rPr>
              <w:t xml:space="preserve"> 显示通知公告、重点注意事项等。实现pc端录入，也实现直接在屏幕打字、手写</w:t>
            </w:r>
          </w:p>
        </w:tc>
        <w:tc>
          <w:tcPr>
            <w:tcW w:w="438" w:type="dxa"/>
            <w:vMerge w:val="continue"/>
            <w:noWrap/>
            <w:vAlign w:val="center"/>
          </w:tcPr>
          <w:p w14:paraId="1FD4E487">
            <w:pPr>
              <w:spacing w:line="320" w:lineRule="exact"/>
              <w:ind w:firstLine="420" w:firstLineChars="200"/>
              <w:jc w:val="center"/>
              <w:rPr>
                <w:rFonts w:ascii="宋体" w:hAnsi="宋体"/>
                <w:color w:val="auto"/>
                <w:szCs w:val="21"/>
              </w:rPr>
            </w:pPr>
          </w:p>
        </w:tc>
      </w:tr>
      <w:tr w14:paraId="58B1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426" w:type="dxa"/>
            <w:vMerge w:val="continue"/>
            <w:noWrap/>
            <w:vAlign w:val="center"/>
          </w:tcPr>
          <w:p w14:paraId="720046CA">
            <w:pPr>
              <w:spacing w:line="320" w:lineRule="exact"/>
              <w:ind w:firstLine="420" w:firstLineChars="200"/>
              <w:jc w:val="left"/>
              <w:rPr>
                <w:rFonts w:ascii="宋体" w:hAnsi="宋体"/>
                <w:color w:val="auto"/>
                <w:szCs w:val="21"/>
              </w:rPr>
            </w:pPr>
          </w:p>
        </w:tc>
        <w:tc>
          <w:tcPr>
            <w:tcW w:w="709" w:type="dxa"/>
            <w:vMerge w:val="continue"/>
            <w:noWrap/>
            <w:vAlign w:val="center"/>
          </w:tcPr>
          <w:p w14:paraId="26EA0C7D">
            <w:pPr>
              <w:spacing w:line="320" w:lineRule="exact"/>
              <w:ind w:firstLine="420" w:firstLineChars="200"/>
              <w:jc w:val="left"/>
              <w:rPr>
                <w:rFonts w:ascii="宋体" w:hAnsi="宋体"/>
                <w:color w:val="auto"/>
                <w:szCs w:val="21"/>
              </w:rPr>
            </w:pPr>
          </w:p>
        </w:tc>
        <w:tc>
          <w:tcPr>
            <w:tcW w:w="708" w:type="dxa"/>
            <w:vMerge w:val="restart"/>
            <w:noWrap/>
            <w:vAlign w:val="center"/>
          </w:tcPr>
          <w:p w14:paraId="6E3D8214">
            <w:pPr>
              <w:spacing w:line="320" w:lineRule="exact"/>
              <w:jc w:val="left"/>
              <w:rPr>
                <w:rFonts w:ascii="宋体" w:hAnsi="宋体"/>
                <w:color w:val="auto"/>
                <w:szCs w:val="21"/>
              </w:rPr>
            </w:pPr>
            <w:r>
              <w:rPr>
                <w:rFonts w:hint="eastAsia" w:ascii="宋体" w:hAnsi="宋体"/>
                <w:color w:val="auto"/>
                <w:szCs w:val="21"/>
              </w:rPr>
              <w:t>床位列表</w:t>
            </w:r>
          </w:p>
        </w:tc>
        <w:tc>
          <w:tcPr>
            <w:tcW w:w="709" w:type="dxa"/>
            <w:vMerge w:val="restart"/>
            <w:noWrap/>
            <w:vAlign w:val="center"/>
          </w:tcPr>
          <w:p w14:paraId="4BA9460B">
            <w:pPr>
              <w:spacing w:line="320" w:lineRule="exact"/>
              <w:jc w:val="left"/>
              <w:rPr>
                <w:rFonts w:ascii="宋体" w:hAnsi="宋体"/>
                <w:color w:val="auto"/>
                <w:szCs w:val="21"/>
              </w:rPr>
            </w:pPr>
            <w:r>
              <w:rPr>
                <w:rFonts w:hint="eastAsia" w:ascii="宋体" w:hAnsi="宋体"/>
                <w:color w:val="auto"/>
                <w:szCs w:val="21"/>
              </w:rPr>
              <w:t>床位卡片</w:t>
            </w:r>
          </w:p>
        </w:tc>
        <w:tc>
          <w:tcPr>
            <w:tcW w:w="6804" w:type="dxa"/>
            <w:noWrap/>
            <w:vAlign w:val="center"/>
          </w:tcPr>
          <w:p w14:paraId="2790E371">
            <w:pPr>
              <w:spacing w:line="320" w:lineRule="exact"/>
              <w:ind w:firstLine="420" w:firstLineChars="200"/>
              <w:rPr>
                <w:rFonts w:ascii="宋体" w:hAnsi="宋体"/>
                <w:color w:val="auto"/>
                <w:szCs w:val="21"/>
              </w:rPr>
            </w:pPr>
            <w:r>
              <w:rPr>
                <w:rFonts w:hint="eastAsia" w:ascii="宋体" w:hAnsi="宋体"/>
                <w:color w:val="auto"/>
                <w:szCs w:val="21"/>
              </w:rPr>
              <w:t>患者信息一览表，可按床位顺序显示病区在院患者、空床等情况，信息种类包括床号、房间号、住院号、姓名、性别、年龄、入院日期、入院诊断、管床医生、管床护士、饮食类型、过敏信息、护理级别及相应级别的颜色、病危/病重、护理风险（跌倒、压疮、dvt、自杀风险等）及对应风险等级、新入院/新转入、出院/转出、预手术、手术、术后1/2/3天、缴费类型、是否欠费、是否预约床、是否有多重耐药等。实现按病区需要配置。各类信息自动抓取实时更新。</w:t>
            </w:r>
          </w:p>
        </w:tc>
        <w:tc>
          <w:tcPr>
            <w:tcW w:w="438" w:type="dxa"/>
            <w:vMerge w:val="continue"/>
            <w:noWrap/>
            <w:vAlign w:val="center"/>
          </w:tcPr>
          <w:p w14:paraId="011CE61B">
            <w:pPr>
              <w:spacing w:line="320" w:lineRule="exact"/>
              <w:ind w:firstLine="420" w:firstLineChars="200"/>
              <w:jc w:val="center"/>
              <w:rPr>
                <w:rFonts w:ascii="宋体" w:hAnsi="宋体"/>
                <w:color w:val="auto"/>
                <w:szCs w:val="21"/>
              </w:rPr>
            </w:pPr>
          </w:p>
        </w:tc>
      </w:tr>
      <w:tr w14:paraId="4A17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426" w:type="dxa"/>
            <w:vMerge w:val="continue"/>
            <w:noWrap/>
            <w:vAlign w:val="center"/>
          </w:tcPr>
          <w:p w14:paraId="5CFAB4D7">
            <w:pPr>
              <w:spacing w:line="320" w:lineRule="exact"/>
              <w:ind w:firstLine="420" w:firstLineChars="200"/>
              <w:jc w:val="left"/>
              <w:rPr>
                <w:rFonts w:ascii="宋体" w:hAnsi="宋体"/>
                <w:color w:val="auto"/>
                <w:szCs w:val="21"/>
              </w:rPr>
            </w:pPr>
          </w:p>
        </w:tc>
        <w:tc>
          <w:tcPr>
            <w:tcW w:w="709" w:type="dxa"/>
            <w:vMerge w:val="continue"/>
            <w:noWrap/>
            <w:vAlign w:val="center"/>
          </w:tcPr>
          <w:p w14:paraId="673C1B77">
            <w:pPr>
              <w:spacing w:line="320" w:lineRule="exact"/>
              <w:ind w:firstLine="420" w:firstLineChars="200"/>
              <w:jc w:val="left"/>
              <w:rPr>
                <w:rFonts w:ascii="宋体" w:hAnsi="宋体"/>
                <w:color w:val="auto"/>
                <w:szCs w:val="21"/>
              </w:rPr>
            </w:pPr>
          </w:p>
        </w:tc>
        <w:tc>
          <w:tcPr>
            <w:tcW w:w="708" w:type="dxa"/>
            <w:vMerge w:val="continue"/>
            <w:noWrap/>
            <w:vAlign w:val="center"/>
          </w:tcPr>
          <w:p w14:paraId="6F61AC8C">
            <w:pPr>
              <w:spacing w:line="320" w:lineRule="exact"/>
              <w:ind w:firstLine="420" w:firstLineChars="200"/>
              <w:jc w:val="left"/>
              <w:rPr>
                <w:rFonts w:ascii="宋体" w:hAnsi="宋体"/>
                <w:color w:val="auto"/>
                <w:szCs w:val="21"/>
              </w:rPr>
            </w:pPr>
          </w:p>
        </w:tc>
        <w:tc>
          <w:tcPr>
            <w:tcW w:w="709" w:type="dxa"/>
            <w:vMerge w:val="continue"/>
            <w:noWrap/>
            <w:vAlign w:val="center"/>
          </w:tcPr>
          <w:p w14:paraId="6141032B">
            <w:pPr>
              <w:spacing w:line="320" w:lineRule="exact"/>
              <w:ind w:firstLine="420" w:firstLineChars="200"/>
              <w:jc w:val="left"/>
              <w:rPr>
                <w:rFonts w:ascii="宋体" w:hAnsi="宋体"/>
                <w:color w:val="auto"/>
                <w:szCs w:val="21"/>
              </w:rPr>
            </w:pPr>
          </w:p>
        </w:tc>
        <w:tc>
          <w:tcPr>
            <w:tcW w:w="6804" w:type="dxa"/>
            <w:noWrap/>
            <w:vAlign w:val="center"/>
          </w:tcPr>
          <w:p w14:paraId="3F5D9898">
            <w:pPr>
              <w:spacing w:line="320" w:lineRule="exact"/>
              <w:ind w:firstLine="420" w:firstLineChars="200"/>
              <w:rPr>
                <w:rFonts w:ascii="宋体" w:hAnsi="宋体"/>
                <w:color w:val="auto"/>
                <w:szCs w:val="21"/>
              </w:rPr>
            </w:pPr>
            <w:r>
              <w:rPr>
                <w:rFonts w:hint="eastAsia" w:ascii="宋体" w:hAnsi="宋体"/>
                <w:color w:val="auto"/>
                <w:szCs w:val="21"/>
              </w:rPr>
              <w:t>实现快速分类查询床位患者。病危/病重、护理风险（跌倒、压疮、dvt、自杀风险等）及对应风险等级、新入院/新转入、出院/转出、预手术、手术、术后1/2/3天等。高风险患者按照风险等级排序</w:t>
            </w:r>
          </w:p>
        </w:tc>
        <w:tc>
          <w:tcPr>
            <w:tcW w:w="438" w:type="dxa"/>
            <w:vMerge w:val="continue"/>
            <w:noWrap/>
            <w:vAlign w:val="center"/>
          </w:tcPr>
          <w:p w14:paraId="1C57B779">
            <w:pPr>
              <w:spacing w:line="320" w:lineRule="exact"/>
              <w:ind w:firstLine="420" w:firstLineChars="200"/>
              <w:jc w:val="center"/>
              <w:rPr>
                <w:rFonts w:ascii="宋体" w:hAnsi="宋体"/>
                <w:color w:val="auto"/>
                <w:szCs w:val="21"/>
              </w:rPr>
            </w:pPr>
          </w:p>
        </w:tc>
      </w:tr>
      <w:tr w14:paraId="6806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371FF9BE">
            <w:pPr>
              <w:spacing w:line="320" w:lineRule="exact"/>
              <w:ind w:firstLine="420" w:firstLineChars="200"/>
              <w:jc w:val="left"/>
              <w:rPr>
                <w:rFonts w:ascii="宋体" w:hAnsi="宋体"/>
                <w:color w:val="auto"/>
                <w:szCs w:val="21"/>
              </w:rPr>
            </w:pPr>
          </w:p>
        </w:tc>
        <w:tc>
          <w:tcPr>
            <w:tcW w:w="709" w:type="dxa"/>
            <w:vMerge w:val="continue"/>
            <w:noWrap/>
            <w:vAlign w:val="center"/>
          </w:tcPr>
          <w:p w14:paraId="4CB6AA52">
            <w:pPr>
              <w:spacing w:line="320" w:lineRule="exact"/>
              <w:ind w:firstLine="420" w:firstLineChars="200"/>
              <w:jc w:val="left"/>
              <w:rPr>
                <w:rFonts w:ascii="宋体" w:hAnsi="宋体"/>
                <w:color w:val="auto"/>
                <w:szCs w:val="21"/>
              </w:rPr>
            </w:pPr>
          </w:p>
        </w:tc>
        <w:tc>
          <w:tcPr>
            <w:tcW w:w="708" w:type="dxa"/>
            <w:vMerge w:val="continue"/>
            <w:noWrap/>
            <w:vAlign w:val="center"/>
          </w:tcPr>
          <w:p w14:paraId="1E5ACFA0">
            <w:pPr>
              <w:spacing w:line="320" w:lineRule="exact"/>
              <w:ind w:firstLine="420" w:firstLineChars="200"/>
              <w:jc w:val="left"/>
              <w:rPr>
                <w:rFonts w:ascii="宋体" w:hAnsi="宋体"/>
                <w:color w:val="auto"/>
                <w:szCs w:val="21"/>
              </w:rPr>
            </w:pPr>
          </w:p>
        </w:tc>
        <w:tc>
          <w:tcPr>
            <w:tcW w:w="709" w:type="dxa"/>
            <w:vMerge w:val="restart"/>
            <w:noWrap/>
            <w:vAlign w:val="center"/>
          </w:tcPr>
          <w:p w14:paraId="1FCC4CD8">
            <w:pPr>
              <w:spacing w:line="320" w:lineRule="exact"/>
              <w:jc w:val="left"/>
              <w:rPr>
                <w:rFonts w:ascii="宋体" w:hAnsi="宋体"/>
                <w:color w:val="auto"/>
                <w:szCs w:val="21"/>
              </w:rPr>
            </w:pPr>
            <w:r>
              <w:rPr>
                <w:rFonts w:hint="eastAsia" w:ascii="宋体" w:hAnsi="宋体"/>
                <w:color w:val="auto"/>
                <w:szCs w:val="21"/>
              </w:rPr>
              <w:t>预约查询</w:t>
            </w:r>
          </w:p>
        </w:tc>
        <w:tc>
          <w:tcPr>
            <w:tcW w:w="6804" w:type="dxa"/>
            <w:noWrap/>
            <w:vAlign w:val="center"/>
          </w:tcPr>
          <w:p w14:paraId="41DF1198">
            <w:pPr>
              <w:spacing w:line="320" w:lineRule="exact"/>
              <w:ind w:firstLine="420" w:firstLineChars="200"/>
              <w:rPr>
                <w:rFonts w:ascii="宋体" w:hAnsi="宋体"/>
                <w:color w:val="auto"/>
                <w:szCs w:val="21"/>
              </w:rPr>
            </w:pPr>
            <w:r>
              <w:rPr>
                <w:rFonts w:hint="eastAsia" w:ascii="宋体" w:hAnsi="宋体"/>
                <w:color w:val="auto"/>
                <w:szCs w:val="21"/>
              </w:rPr>
              <w:t xml:space="preserve"> 显示预约标记，实现查看床位预约的患者基本情况。</w:t>
            </w:r>
          </w:p>
        </w:tc>
        <w:tc>
          <w:tcPr>
            <w:tcW w:w="438" w:type="dxa"/>
            <w:vMerge w:val="continue"/>
            <w:noWrap/>
            <w:vAlign w:val="center"/>
          </w:tcPr>
          <w:p w14:paraId="73D7008C">
            <w:pPr>
              <w:spacing w:line="320" w:lineRule="exact"/>
              <w:ind w:firstLine="420" w:firstLineChars="200"/>
              <w:jc w:val="center"/>
              <w:rPr>
                <w:rFonts w:ascii="宋体" w:hAnsi="宋体"/>
                <w:color w:val="auto"/>
                <w:szCs w:val="21"/>
              </w:rPr>
            </w:pPr>
          </w:p>
        </w:tc>
      </w:tr>
      <w:tr w14:paraId="4934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426" w:type="dxa"/>
            <w:vMerge w:val="continue"/>
            <w:noWrap/>
            <w:vAlign w:val="center"/>
          </w:tcPr>
          <w:p w14:paraId="67E7F02A">
            <w:pPr>
              <w:spacing w:line="320" w:lineRule="exact"/>
              <w:ind w:firstLine="420" w:firstLineChars="200"/>
              <w:jc w:val="left"/>
              <w:rPr>
                <w:rFonts w:ascii="宋体" w:hAnsi="宋体"/>
                <w:color w:val="auto"/>
                <w:szCs w:val="21"/>
              </w:rPr>
            </w:pPr>
          </w:p>
        </w:tc>
        <w:tc>
          <w:tcPr>
            <w:tcW w:w="709" w:type="dxa"/>
            <w:vMerge w:val="continue"/>
            <w:noWrap/>
            <w:vAlign w:val="center"/>
          </w:tcPr>
          <w:p w14:paraId="7C1233CB">
            <w:pPr>
              <w:spacing w:line="320" w:lineRule="exact"/>
              <w:ind w:firstLine="420" w:firstLineChars="200"/>
              <w:jc w:val="left"/>
              <w:rPr>
                <w:rFonts w:ascii="宋体" w:hAnsi="宋体"/>
                <w:color w:val="auto"/>
                <w:szCs w:val="21"/>
              </w:rPr>
            </w:pPr>
          </w:p>
        </w:tc>
        <w:tc>
          <w:tcPr>
            <w:tcW w:w="708" w:type="dxa"/>
            <w:vMerge w:val="continue"/>
            <w:noWrap/>
            <w:vAlign w:val="center"/>
          </w:tcPr>
          <w:p w14:paraId="0B3CA23F">
            <w:pPr>
              <w:spacing w:line="320" w:lineRule="exact"/>
              <w:ind w:firstLine="420" w:firstLineChars="200"/>
              <w:jc w:val="left"/>
              <w:rPr>
                <w:rFonts w:ascii="宋体" w:hAnsi="宋体"/>
                <w:color w:val="auto"/>
                <w:szCs w:val="21"/>
              </w:rPr>
            </w:pPr>
          </w:p>
        </w:tc>
        <w:tc>
          <w:tcPr>
            <w:tcW w:w="709" w:type="dxa"/>
            <w:vMerge w:val="continue"/>
            <w:noWrap/>
            <w:vAlign w:val="center"/>
          </w:tcPr>
          <w:p w14:paraId="10EE977C">
            <w:pPr>
              <w:spacing w:line="320" w:lineRule="exact"/>
              <w:ind w:firstLine="420" w:firstLineChars="200"/>
              <w:jc w:val="left"/>
              <w:rPr>
                <w:rFonts w:ascii="宋体" w:hAnsi="宋体"/>
                <w:color w:val="auto"/>
                <w:szCs w:val="21"/>
              </w:rPr>
            </w:pPr>
          </w:p>
        </w:tc>
        <w:tc>
          <w:tcPr>
            <w:tcW w:w="6804" w:type="dxa"/>
            <w:noWrap/>
            <w:vAlign w:val="center"/>
          </w:tcPr>
          <w:p w14:paraId="39AC6D17">
            <w:pPr>
              <w:spacing w:line="320" w:lineRule="exact"/>
              <w:ind w:firstLine="420" w:firstLineChars="200"/>
              <w:rPr>
                <w:rFonts w:ascii="宋体" w:hAnsi="宋体"/>
                <w:color w:val="auto"/>
                <w:szCs w:val="21"/>
              </w:rPr>
            </w:pPr>
            <w:r>
              <w:rPr>
                <w:rFonts w:hint="eastAsia" w:ascii="宋体" w:hAnsi="宋体"/>
                <w:color w:val="auto"/>
                <w:szCs w:val="21"/>
              </w:rPr>
              <w:t xml:space="preserve"> 对于特殊疾病患者，可以按床位，单独隐藏患者的诊断</w:t>
            </w:r>
          </w:p>
        </w:tc>
        <w:tc>
          <w:tcPr>
            <w:tcW w:w="438" w:type="dxa"/>
            <w:vMerge w:val="continue"/>
            <w:noWrap/>
            <w:vAlign w:val="center"/>
          </w:tcPr>
          <w:p w14:paraId="6948C2CA">
            <w:pPr>
              <w:spacing w:line="320" w:lineRule="exact"/>
              <w:ind w:firstLine="420" w:firstLineChars="200"/>
              <w:jc w:val="center"/>
              <w:rPr>
                <w:rFonts w:ascii="宋体" w:hAnsi="宋体"/>
                <w:color w:val="auto"/>
                <w:szCs w:val="21"/>
              </w:rPr>
            </w:pPr>
          </w:p>
        </w:tc>
      </w:tr>
      <w:tr w14:paraId="758D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26" w:type="dxa"/>
            <w:vMerge w:val="continue"/>
            <w:noWrap/>
            <w:vAlign w:val="center"/>
          </w:tcPr>
          <w:p w14:paraId="3D757B52">
            <w:pPr>
              <w:spacing w:line="320" w:lineRule="exact"/>
              <w:ind w:firstLine="420" w:firstLineChars="200"/>
              <w:jc w:val="left"/>
              <w:rPr>
                <w:rFonts w:ascii="宋体" w:hAnsi="宋体"/>
                <w:color w:val="auto"/>
                <w:szCs w:val="21"/>
              </w:rPr>
            </w:pPr>
          </w:p>
        </w:tc>
        <w:tc>
          <w:tcPr>
            <w:tcW w:w="709" w:type="dxa"/>
            <w:vMerge w:val="continue"/>
            <w:noWrap/>
            <w:vAlign w:val="center"/>
          </w:tcPr>
          <w:p w14:paraId="6101DF78">
            <w:pPr>
              <w:spacing w:line="320" w:lineRule="exact"/>
              <w:ind w:firstLine="420" w:firstLineChars="200"/>
              <w:jc w:val="left"/>
              <w:rPr>
                <w:rFonts w:ascii="宋体" w:hAnsi="宋体"/>
                <w:color w:val="auto"/>
                <w:szCs w:val="21"/>
              </w:rPr>
            </w:pPr>
          </w:p>
        </w:tc>
        <w:tc>
          <w:tcPr>
            <w:tcW w:w="708" w:type="dxa"/>
            <w:vMerge w:val="continue"/>
            <w:noWrap/>
            <w:vAlign w:val="center"/>
          </w:tcPr>
          <w:p w14:paraId="55A4C150">
            <w:pPr>
              <w:spacing w:line="320" w:lineRule="exact"/>
              <w:ind w:firstLine="420" w:firstLineChars="200"/>
              <w:jc w:val="left"/>
              <w:rPr>
                <w:rFonts w:ascii="宋体" w:hAnsi="宋体"/>
                <w:color w:val="auto"/>
                <w:szCs w:val="21"/>
              </w:rPr>
            </w:pPr>
          </w:p>
        </w:tc>
        <w:tc>
          <w:tcPr>
            <w:tcW w:w="709" w:type="dxa"/>
            <w:noWrap/>
            <w:vAlign w:val="center"/>
          </w:tcPr>
          <w:p w14:paraId="05055A58">
            <w:pPr>
              <w:spacing w:line="320" w:lineRule="exact"/>
              <w:jc w:val="left"/>
              <w:rPr>
                <w:rFonts w:ascii="宋体" w:hAnsi="宋体"/>
                <w:color w:val="auto"/>
                <w:szCs w:val="21"/>
              </w:rPr>
            </w:pPr>
            <w:r>
              <w:rPr>
                <w:rFonts w:hint="eastAsia" w:ascii="宋体" w:hAnsi="宋体"/>
                <w:color w:val="auto"/>
                <w:szCs w:val="21"/>
              </w:rPr>
              <w:t>类型筛选</w:t>
            </w:r>
          </w:p>
        </w:tc>
        <w:tc>
          <w:tcPr>
            <w:tcW w:w="6804" w:type="dxa"/>
            <w:noWrap/>
            <w:vAlign w:val="center"/>
          </w:tcPr>
          <w:p w14:paraId="0B3D7E0E">
            <w:pPr>
              <w:spacing w:line="320" w:lineRule="exact"/>
              <w:ind w:firstLine="420" w:firstLineChars="200"/>
              <w:jc w:val="left"/>
              <w:rPr>
                <w:rFonts w:ascii="宋体" w:hAnsi="宋体"/>
                <w:color w:val="auto"/>
                <w:szCs w:val="21"/>
              </w:rPr>
            </w:pPr>
            <w:r>
              <w:rPr>
                <w:rFonts w:hint="eastAsia" w:ascii="宋体" w:hAnsi="宋体"/>
                <w:color w:val="auto"/>
                <w:szCs w:val="21"/>
              </w:rPr>
              <w:t xml:space="preserve"> 列出重点筛选项及其汇总人数，快速查看某类患者信息。筛选项包括床位类型、患者危重级别、患者类型、风险类型等。</w:t>
            </w:r>
          </w:p>
        </w:tc>
        <w:tc>
          <w:tcPr>
            <w:tcW w:w="438" w:type="dxa"/>
            <w:vMerge w:val="continue"/>
            <w:noWrap/>
            <w:vAlign w:val="center"/>
          </w:tcPr>
          <w:p w14:paraId="48A0E538">
            <w:pPr>
              <w:spacing w:line="320" w:lineRule="exact"/>
              <w:ind w:firstLine="420" w:firstLineChars="200"/>
              <w:jc w:val="center"/>
              <w:rPr>
                <w:rFonts w:ascii="宋体" w:hAnsi="宋体"/>
                <w:color w:val="auto"/>
                <w:szCs w:val="21"/>
              </w:rPr>
            </w:pPr>
          </w:p>
        </w:tc>
      </w:tr>
      <w:tr w14:paraId="50A6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trPr>
        <w:tc>
          <w:tcPr>
            <w:tcW w:w="426" w:type="dxa"/>
            <w:vMerge w:val="continue"/>
            <w:noWrap/>
            <w:vAlign w:val="center"/>
          </w:tcPr>
          <w:p w14:paraId="4505627A">
            <w:pPr>
              <w:spacing w:line="320" w:lineRule="exact"/>
              <w:ind w:firstLine="420" w:firstLineChars="200"/>
              <w:jc w:val="left"/>
              <w:rPr>
                <w:rFonts w:ascii="宋体" w:hAnsi="宋体"/>
                <w:color w:val="auto"/>
                <w:szCs w:val="21"/>
              </w:rPr>
            </w:pPr>
          </w:p>
        </w:tc>
        <w:tc>
          <w:tcPr>
            <w:tcW w:w="709" w:type="dxa"/>
            <w:vMerge w:val="continue"/>
            <w:noWrap/>
            <w:vAlign w:val="center"/>
          </w:tcPr>
          <w:p w14:paraId="23194419">
            <w:pPr>
              <w:spacing w:line="320" w:lineRule="exact"/>
              <w:ind w:firstLine="420" w:firstLineChars="200"/>
              <w:jc w:val="left"/>
              <w:rPr>
                <w:rFonts w:ascii="宋体" w:hAnsi="宋体"/>
                <w:color w:val="auto"/>
                <w:szCs w:val="21"/>
              </w:rPr>
            </w:pPr>
          </w:p>
        </w:tc>
        <w:tc>
          <w:tcPr>
            <w:tcW w:w="708" w:type="dxa"/>
            <w:vMerge w:val="restart"/>
            <w:noWrap/>
            <w:vAlign w:val="center"/>
          </w:tcPr>
          <w:p w14:paraId="5A62922A">
            <w:pPr>
              <w:spacing w:line="320" w:lineRule="exact"/>
              <w:jc w:val="left"/>
              <w:rPr>
                <w:rFonts w:ascii="宋体" w:hAnsi="宋体"/>
                <w:color w:val="auto"/>
                <w:szCs w:val="21"/>
              </w:rPr>
            </w:pPr>
            <w:r>
              <w:rPr>
                <w:rFonts w:hint="eastAsia" w:ascii="宋体" w:hAnsi="宋体"/>
                <w:color w:val="auto"/>
                <w:szCs w:val="21"/>
              </w:rPr>
              <w:t>交班管理</w:t>
            </w:r>
          </w:p>
        </w:tc>
        <w:tc>
          <w:tcPr>
            <w:tcW w:w="709" w:type="dxa"/>
            <w:noWrap/>
            <w:vAlign w:val="center"/>
          </w:tcPr>
          <w:p w14:paraId="477279CD">
            <w:pPr>
              <w:spacing w:line="320" w:lineRule="exact"/>
              <w:jc w:val="center"/>
              <w:rPr>
                <w:rFonts w:ascii="宋体" w:hAnsi="宋体"/>
                <w:color w:val="auto"/>
                <w:szCs w:val="21"/>
              </w:rPr>
            </w:pPr>
            <w:r>
              <w:rPr>
                <w:rFonts w:hint="eastAsia" w:ascii="宋体" w:hAnsi="宋体"/>
                <w:color w:val="auto"/>
                <w:szCs w:val="21"/>
              </w:rPr>
              <w:t>交班管理概述</w:t>
            </w:r>
          </w:p>
        </w:tc>
        <w:tc>
          <w:tcPr>
            <w:tcW w:w="6804" w:type="dxa"/>
            <w:noWrap/>
            <w:vAlign w:val="center"/>
          </w:tcPr>
          <w:p w14:paraId="5FF0535E">
            <w:pPr>
              <w:spacing w:line="320" w:lineRule="exact"/>
              <w:ind w:firstLine="420" w:firstLineChars="200"/>
              <w:rPr>
                <w:rFonts w:ascii="宋体" w:hAnsi="宋体"/>
                <w:color w:val="auto"/>
                <w:szCs w:val="21"/>
              </w:rPr>
            </w:pPr>
            <w:r>
              <w:rPr>
                <w:rFonts w:hint="eastAsia" w:ascii="宋体" w:hAnsi="宋体"/>
                <w:color w:val="auto"/>
                <w:szCs w:val="21"/>
              </w:rPr>
              <w:t xml:space="preserve"> 能够帮助护士快速地生成SBAR交接本，以保障护士的交班汇报标准、全面。</w:t>
            </w:r>
          </w:p>
          <w:p w14:paraId="01D63AFB">
            <w:pPr>
              <w:spacing w:line="320" w:lineRule="exact"/>
              <w:ind w:firstLine="420" w:firstLineChars="200"/>
              <w:rPr>
                <w:rFonts w:ascii="宋体" w:hAnsi="宋体"/>
                <w:color w:val="auto"/>
                <w:szCs w:val="21"/>
              </w:rPr>
            </w:pPr>
            <w:r>
              <w:rPr>
                <w:rFonts w:hint="eastAsia" w:ascii="宋体" w:hAnsi="宋体"/>
                <w:color w:val="auto"/>
                <w:szCs w:val="21"/>
              </w:rPr>
              <w:t xml:space="preserve">1、自动汇总应交患者及患者的重要信息，包括手术、诊断、风险等。   </w:t>
            </w:r>
          </w:p>
          <w:p w14:paraId="25E00592">
            <w:pPr>
              <w:spacing w:line="320" w:lineRule="exact"/>
              <w:ind w:firstLine="420" w:firstLineChars="200"/>
              <w:rPr>
                <w:rFonts w:ascii="宋体" w:hAnsi="宋体"/>
                <w:color w:val="auto"/>
                <w:szCs w:val="21"/>
              </w:rPr>
            </w:pPr>
            <w:r>
              <w:rPr>
                <w:rFonts w:hint="eastAsia" w:ascii="宋体" w:hAnsi="宋体"/>
                <w:color w:val="auto"/>
                <w:szCs w:val="21"/>
              </w:rPr>
              <w:t xml:space="preserve">2、建立临床知识库，系统能够根据规则自动提取护理问题，或者由护士选择患者的护理问题。  </w:t>
            </w:r>
          </w:p>
          <w:p w14:paraId="7C395048">
            <w:pPr>
              <w:spacing w:line="320" w:lineRule="exact"/>
              <w:ind w:firstLine="420" w:firstLineChars="200"/>
              <w:rPr>
                <w:rFonts w:ascii="宋体" w:hAnsi="宋体"/>
                <w:color w:val="auto"/>
                <w:szCs w:val="21"/>
              </w:rPr>
            </w:pPr>
            <w:r>
              <w:rPr>
                <w:rFonts w:hint="eastAsia" w:ascii="宋体" w:hAnsi="宋体"/>
                <w:color w:val="auto"/>
                <w:szCs w:val="21"/>
              </w:rPr>
              <w:t xml:space="preserve">3、对于不同专科的护理问题，对应不同的护理评估和护理措施，护士可选择相关的护理评估和措施进行汇报。 </w:t>
            </w:r>
          </w:p>
        </w:tc>
        <w:tc>
          <w:tcPr>
            <w:tcW w:w="438" w:type="dxa"/>
            <w:vMerge w:val="continue"/>
            <w:noWrap/>
            <w:vAlign w:val="center"/>
          </w:tcPr>
          <w:p w14:paraId="33FEB10A">
            <w:pPr>
              <w:spacing w:line="320" w:lineRule="exact"/>
              <w:ind w:firstLine="420" w:firstLineChars="200"/>
              <w:jc w:val="center"/>
              <w:rPr>
                <w:rFonts w:ascii="宋体" w:hAnsi="宋体"/>
                <w:color w:val="auto"/>
                <w:szCs w:val="21"/>
              </w:rPr>
            </w:pPr>
          </w:p>
        </w:tc>
      </w:tr>
      <w:tr w14:paraId="757C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426" w:type="dxa"/>
            <w:vMerge w:val="continue"/>
            <w:noWrap/>
            <w:vAlign w:val="center"/>
          </w:tcPr>
          <w:p w14:paraId="698EA356">
            <w:pPr>
              <w:spacing w:line="320" w:lineRule="exact"/>
              <w:ind w:firstLine="420" w:firstLineChars="200"/>
              <w:jc w:val="left"/>
              <w:rPr>
                <w:rFonts w:ascii="宋体" w:hAnsi="宋体"/>
                <w:color w:val="auto"/>
                <w:szCs w:val="21"/>
              </w:rPr>
            </w:pPr>
          </w:p>
        </w:tc>
        <w:tc>
          <w:tcPr>
            <w:tcW w:w="709" w:type="dxa"/>
            <w:vMerge w:val="continue"/>
            <w:noWrap/>
            <w:vAlign w:val="center"/>
          </w:tcPr>
          <w:p w14:paraId="00D0CE68">
            <w:pPr>
              <w:spacing w:line="320" w:lineRule="exact"/>
              <w:ind w:firstLine="420" w:firstLineChars="200"/>
              <w:jc w:val="left"/>
              <w:rPr>
                <w:rFonts w:ascii="宋体" w:hAnsi="宋体"/>
                <w:color w:val="auto"/>
                <w:szCs w:val="21"/>
              </w:rPr>
            </w:pPr>
          </w:p>
        </w:tc>
        <w:tc>
          <w:tcPr>
            <w:tcW w:w="708" w:type="dxa"/>
            <w:vMerge w:val="continue"/>
            <w:noWrap/>
            <w:vAlign w:val="center"/>
          </w:tcPr>
          <w:p w14:paraId="07283BFA">
            <w:pPr>
              <w:spacing w:line="320" w:lineRule="exact"/>
              <w:ind w:firstLine="420" w:firstLineChars="200"/>
              <w:jc w:val="left"/>
              <w:rPr>
                <w:rFonts w:ascii="宋体" w:hAnsi="宋体"/>
                <w:color w:val="auto"/>
                <w:szCs w:val="21"/>
              </w:rPr>
            </w:pPr>
          </w:p>
        </w:tc>
        <w:tc>
          <w:tcPr>
            <w:tcW w:w="709" w:type="dxa"/>
            <w:noWrap/>
            <w:vAlign w:val="center"/>
          </w:tcPr>
          <w:p w14:paraId="6120B59C">
            <w:pPr>
              <w:spacing w:line="320" w:lineRule="exact"/>
              <w:jc w:val="center"/>
              <w:rPr>
                <w:rFonts w:ascii="宋体" w:hAnsi="宋体"/>
                <w:color w:val="auto"/>
                <w:szCs w:val="21"/>
              </w:rPr>
            </w:pPr>
            <w:r>
              <w:rPr>
                <w:rFonts w:hint="eastAsia" w:ascii="宋体" w:hAnsi="宋体"/>
                <w:color w:val="auto"/>
                <w:szCs w:val="21"/>
              </w:rPr>
              <w:t>患者标记</w:t>
            </w:r>
          </w:p>
        </w:tc>
        <w:tc>
          <w:tcPr>
            <w:tcW w:w="6804" w:type="dxa"/>
            <w:noWrap/>
            <w:vAlign w:val="center"/>
          </w:tcPr>
          <w:p w14:paraId="6BACC7F7">
            <w:pPr>
              <w:spacing w:line="320" w:lineRule="exact"/>
              <w:ind w:firstLine="420" w:firstLineChars="200"/>
              <w:rPr>
                <w:rFonts w:ascii="宋体" w:hAnsi="宋体"/>
                <w:color w:val="auto"/>
                <w:szCs w:val="21"/>
              </w:rPr>
            </w:pPr>
            <w:r>
              <w:rPr>
                <w:rFonts w:hint="eastAsia" w:ascii="宋体" w:hAnsi="宋体"/>
                <w:color w:val="auto"/>
                <w:szCs w:val="21"/>
              </w:rPr>
              <w:t xml:space="preserve"> 按交接周期自动统计和显示重点项目人数，包括原有人数、入院、转入、出院、转出、特/一级护理、病危、病重、预手术、手术等。</w:t>
            </w:r>
          </w:p>
        </w:tc>
        <w:tc>
          <w:tcPr>
            <w:tcW w:w="438" w:type="dxa"/>
            <w:vMerge w:val="continue"/>
            <w:noWrap/>
            <w:vAlign w:val="center"/>
          </w:tcPr>
          <w:p w14:paraId="55798654">
            <w:pPr>
              <w:spacing w:line="320" w:lineRule="exact"/>
              <w:ind w:firstLine="420" w:firstLineChars="200"/>
              <w:jc w:val="center"/>
              <w:rPr>
                <w:rFonts w:ascii="宋体" w:hAnsi="宋体"/>
                <w:color w:val="auto"/>
                <w:szCs w:val="21"/>
              </w:rPr>
            </w:pPr>
          </w:p>
        </w:tc>
      </w:tr>
      <w:tr w14:paraId="2476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426" w:type="dxa"/>
            <w:vMerge w:val="continue"/>
            <w:noWrap/>
            <w:vAlign w:val="center"/>
          </w:tcPr>
          <w:p w14:paraId="45A8EC00">
            <w:pPr>
              <w:spacing w:line="320" w:lineRule="exact"/>
              <w:ind w:firstLine="420" w:firstLineChars="200"/>
              <w:jc w:val="left"/>
              <w:rPr>
                <w:rFonts w:ascii="宋体" w:hAnsi="宋体"/>
                <w:color w:val="auto"/>
                <w:szCs w:val="21"/>
              </w:rPr>
            </w:pPr>
          </w:p>
        </w:tc>
        <w:tc>
          <w:tcPr>
            <w:tcW w:w="709" w:type="dxa"/>
            <w:vMerge w:val="continue"/>
            <w:noWrap/>
            <w:vAlign w:val="center"/>
          </w:tcPr>
          <w:p w14:paraId="3B331C05">
            <w:pPr>
              <w:spacing w:line="320" w:lineRule="exact"/>
              <w:ind w:firstLine="420" w:firstLineChars="200"/>
              <w:jc w:val="left"/>
              <w:rPr>
                <w:rFonts w:ascii="宋体" w:hAnsi="宋体"/>
                <w:color w:val="auto"/>
                <w:szCs w:val="21"/>
              </w:rPr>
            </w:pPr>
          </w:p>
        </w:tc>
        <w:tc>
          <w:tcPr>
            <w:tcW w:w="708" w:type="dxa"/>
            <w:vMerge w:val="continue"/>
            <w:noWrap/>
            <w:vAlign w:val="center"/>
          </w:tcPr>
          <w:p w14:paraId="1E0570E2">
            <w:pPr>
              <w:spacing w:line="320" w:lineRule="exact"/>
              <w:ind w:firstLine="420" w:firstLineChars="200"/>
              <w:jc w:val="left"/>
              <w:rPr>
                <w:rFonts w:ascii="宋体" w:hAnsi="宋体"/>
                <w:color w:val="auto"/>
                <w:szCs w:val="21"/>
              </w:rPr>
            </w:pPr>
          </w:p>
        </w:tc>
        <w:tc>
          <w:tcPr>
            <w:tcW w:w="709" w:type="dxa"/>
            <w:vMerge w:val="restart"/>
            <w:noWrap/>
            <w:vAlign w:val="center"/>
          </w:tcPr>
          <w:p w14:paraId="13C6BC7A">
            <w:pPr>
              <w:spacing w:line="320" w:lineRule="exact"/>
              <w:jc w:val="center"/>
              <w:rPr>
                <w:rFonts w:ascii="宋体" w:hAnsi="宋体"/>
                <w:color w:val="auto"/>
                <w:szCs w:val="21"/>
              </w:rPr>
            </w:pPr>
            <w:r>
              <w:rPr>
                <w:rFonts w:hint="eastAsia" w:ascii="宋体" w:hAnsi="宋体"/>
                <w:color w:val="auto"/>
                <w:szCs w:val="21"/>
              </w:rPr>
              <w:t>交班管理</w:t>
            </w:r>
          </w:p>
        </w:tc>
        <w:tc>
          <w:tcPr>
            <w:tcW w:w="6804" w:type="dxa"/>
            <w:noWrap/>
            <w:vAlign w:val="center"/>
          </w:tcPr>
          <w:p w14:paraId="56D439A1">
            <w:pPr>
              <w:spacing w:line="320" w:lineRule="exact"/>
              <w:ind w:firstLine="420" w:firstLineChars="200"/>
              <w:rPr>
                <w:rFonts w:ascii="宋体" w:hAnsi="宋体"/>
                <w:color w:val="auto"/>
                <w:szCs w:val="21"/>
              </w:rPr>
            </w:pPr>
            <w:r>
              <w:rPr>
                <w:rFonts w:hint="eastAsia" w:ascii="宋体" w:hAnsi="宋体"/>
                <w:color w:val="auto"/>
                <w:szCs w:val="21"/>
              </w:rPr>
              <w:t xml:space="preserve"> 自动抓取交接患者的重要信息，减少书写工作量。按交接周期自动显示重点患者交接内容，包括患者标记、床号、姓名、性别、年龄、诊断、护理问题、相关背景介绍、相关评估结果、建议等。</w:t>
            </w:r>
          </w:p>
        </w:tc>
        <w:tc>
          <w:tcPr>
            <w:tcW w:w="438" w:type="dxa"/>
            <w:vMerge w:val="continue"/>
            <w:noWrap/>
            <w:vAlign w:val="center"/>
          </w:tcPr>
          <w:p w14:paraId="1E2A17D8">
            <w:pPr>
              <w:spacing w:line="320" w:lineRule="exact"/>
              <w:ind w:firstLine="420" w:firstLineChars="200"/>
              <w:jc w:val="center"/>
              <w:rPr>
                <w:rFonts w:ascii="宋体" w:hAnsi="宋体"/>
                <w:color w:val="auto"/>
                <w:szCs w:val="21"/>
              </w:rPr>
            </w:pPr>
          </w:p>
        </w:tc>
      </w:tr>
      <w:tr w14:paraId="35C6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6115E57C">
            <w:pPr>
              <w:spacing w:line="320" w:lineRule="exact"/>
              <w:ind w:firstLine="420" w:firstLineChars="200"/>
              <w:jc w:val="left"/>
              <w:rPr>
                <w:rFonts w:ascii="宋体" w:hAnsi="宋体"/>
                <w:color w:val="auto"/>
                <w:szCs w:val="21"/>
              </w:rPr>
            </w:pPr>
          </w:p>
        </w:tc>
        <w:tc>
          <w:tcPr>
            <w:tcW w:w="709" w:type="dxa"/>
            <w:vMerge w:val="continue"/>
            <w:noWrap/>
            <w:vAlign w:val="center"/>
          </w:tcPr>
          <w:p w14:paraId="7B63C1E9">
            <w:pPr>
              <w:spacing w:line="320" w:lineRule="exact"/>
              <w:ind w:firstLine="420" w:firstLineChars="200"/>
              <w:jc w:val="left"/>
              <w:rPr>
                <w:rFonts w:ascii="宋体" w:hAnsi="宋体"/>
                <w:color w:val="auto"/>
                <w:szCs w:val="21"/>
              </w:rPr>
            </w:pPr>
          </w:p>
        </w:tc>
        <w:tc>
          <w:tcPr>
            <w:tcW w:w="708" w:type="dxa"/>
            <w:vMerge w:val="continue"/>
            <w:noWrap/>
            <w:vAlign w:val="center"/>
          </w:tcPr>
          <w:p w14:paraId="09AE0E46">
            <w:pPr>
              <w:spacing w:line="320" w:lineRule="exact"/>
              <w:ind w:firstLine="420" w:firstLineChars="200"/>
              <w:jc w:val="left"/>
              <w:rPr>
                <w:rFonts w:ascii="宋体" w:hAnsi="宋体"/>
                <w:color w:val="auto"/>
                <w:szCs w:val="21"/>
              </w:rPr>
            </w:pPr>
          </w:p>
        </w:tc>
        <w:tc>
          <w:tcPr>
            <w:tcW w:w="709" w:type="dxa"/>
            <w:vMerge w:val="continue"/>
            <w:noWrap/>
            <w:vAlign w:val="center"/>
          </w:tcPr>
          <w:p w14:paraId="52CEC966">
            <w:pPr>
              <w:spacing w:line="320" w:lineRule="exact"/>
              <w:ind w:firstLine="420" w:firstLineChars="200"/>
              <w:jc w:val="center"/>
              <w:rPr>
                <w:rFonts w:ascii="宋体" w:hAnsi="宋体"/>
                <w:color w:val="auto"/>
                <w:szCs w:val="21"/>
              </w:rPr>
            </w:pPr>
          </w:p>
        </w:tc>
        <w:tc>
          <w:tcPr>
            <w:tcW w:w="6804" w:type="dxa"/>
            <w:noWrap/>
            <w:vAlign w:val="center"/>
          </w:tcPr>
          <w:p w14:paraId="3699BDAB">
            <w:pPr>
              <w:spacing w:line="320" w:lineRule="exact"/>
              <w:ind w:firstLine="420" w:firstLineChars="200"/>
              <w:rPr>
                <w:rFonts w:ascii="宋体" w:hAnsi="宋体"/>
                <w:color w:val="auto"/>
                <w:szCs w:val="21"/>
              </w:rPr>
            </w:pPr>
            <w:r>
              <w:rPr>
                <w:rFonts w:hint="eastAsia" w:ascii="宋体" w:hAnsi="宋体"/>
                <w:color w:val="auto"/>
                <w:szCs w:val="21"/>
              </w:rPr>
              <w:t xml:space="preserve"> 生成交接记录本。可以查看历史的交接记录。实现查看任意交接周期的记录内容。</w:t>
            </w:r>
          </w:p>
        </w:tc>
        <w:tc>
          <w:tcPr>
            <w:tcW w:w="438" w:type="dxa"/>
            <w:vMerge w:val="continue"/>
            <w:noWrap/>
            <w:vAlign w:val="center"/>
          </w:tcPr>
          <w:p w14:paraId="013B46D4">
            <w:pPr>
              <w:spacing w:line="320" w:lineRule="exact"/>
              <w:ind w:firstLine="420" w:firstLineChars="200"/>
              <w:jc w:val="center"/>
              <w:rPr>
                <w:rFonts w:ascii="宋体" w:hAnsi="宋体"/>
                <w:color w:val="auto"/>
                <w:szCs w:val="21"/>
              </w:rPr>
            </w:pPr>
          </w:p>
        </w:tc>
      </w:tr>
      <w:tr w14:paraId="7812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426" w:type="dxa"/>
            <w:vMerge w:val="continue"/>
            <w:noWrap/>
            <w:vAlign w:val="center"/>
          </w:tcPr>
          <w:p w14:paraId="091FB94F">
            <w:pPr>
              <w:spacing w:line="320" w:lineRule="exact"/>
              <w:ind w:firstLine="420" w:firstLineChars="200"/>
              <w:jc w:val="left"/>
              <w:rPr>
                <w:rFonts w:ascii="宋体" w:hAnsi="宋体"/>
                <w:color w:val="auto"/>
                <w:szCs w:val="21"/>
              </w:rPr>
            </w:pPr>
          </w:p>
        </w:tc>
        <w:tc>
          <w:tcPr>
            <w:tcW w:w="709" w:type="dxa"/>
            <w:vMerge w:val="continue"/>
            <w:noWrap/>
            <w:vAlign w:val="center"/>
          </w:tcPr>
          <w:p w14:paraId="0ED7F455">
            <w:pPr>
              <w:spacing w:line="320" w:lineRule="exact"/>
              <w:ind w:firstLine="420" w:firstLineChars="200"/>
              <w:jc w:val="left"/>
              <w:rPr>
                <w:rFonts w:ascii="宋体" w:hAnsi="宋体"/>
                <w:color w:val="auto"/>
                <w:szCs w:val="21"/>
              </w:rPr>
            </w:pPr>
          </w:p>
        </w:tc>
        <w:tc>
          <w:tcPr>
            <w:tcW w:w="708" w:type="dxa"/>
            <w:vMerge w:val="continue"/>
            <w:noWrap/>
            <w:vAlign w:val="center"/>
          </w:tcPr>
          <w:p w14:paraId="23668C08">
            <w:pPr>
              <w:spacing w:line="320" w:lineRule="exact"/>
              <w:ind w:firstLine="420" w:firstLineChars="200"/>
              <w:jc w:val="left"/>
              <w:rPr>
                <w:rFonts w:ascii="宋体" w:hAnsi="宋体"/>
                <w:color w:val="auto"/>
                <w:szCs w:val="21"/>
              </w:rPr>
            </w:pPr>
          </w:p>
        </w:tc>
        <w:tc>
          <w:tcPr>
            <w:tcW w:w="709" w:type="dxa"/>
            <w:vMerge w:val="continue"/>
            <w:noWrap/>
            <w:vAlign w:val="center"/>
          </w:tcPr>
          <w:p w14:paraId="15FF14FF">
            <w:pPr>
              <w:spacing w:line="320" w:lineRule="exact"/>
              <w:ind w:firstLine="420" w:firstLineChars="200"/>
              <w:jc w:val="center"/>
              <w:rPr>
                <w:rFonts w:ascii="宋体" w:hAnsi="宋体"/>
                <w:color w:val="auto"/>
                <w:szCs w:val="21"/>
              </w:rPr>
            </w:pPr>
          </w:p>
        </w:tc>
        <w:tc>
          <w:tcPr>
            <w:tcW w:w="6804" w:type="dxa"/>
            <w:noWrap/>
            <w:vAlign w:val="center"/>
          </w:tcPr>
          <w:p w14:paraId="74AEABFD">
            <w:pPr>
              <w:spacing w:line="320" w:lineRule="exact"/>
              <w:ind w:firstLine="420" w:firstLineChars="200"/>
              <w:rPr>
                <w:rFonts w:ascii="宋体" w:hAnsi="宋体"/>
                <w:color w:val="auto"/>
                <w:szCs w:val="21"/>
              </w:rPr>
            </w:pPr>
            <w:r>
              <w:rPr>
                <w:rFonts w:hint="eastAsia" w:ascii="宋体" w:hAnsi="宋体"/>
                <w:color w:val="auto"/>
                <w:szCs w:val="21"/>
              </w:rPr>
              <w:t>实现通过患者标记（包括原有人数、入院、转入、出院、转出、特/一级护理、病危、病重、预手术、手术等）筛选患者类型。实现自定义患者标记。实现查看体征趋势图。</w:t>
            </w:r>
          </w:p>
        </w:tc>
        <w:tc>
          <w:tcPr>
            <w:tcW w:w="438" w:type="dxa"/>
            <w:vMerge w:val="continue"/>
            <w:noWrap/>
            <w:vAlign w:val="center"/>
          </w:tcPr>
          <w:p w14:paraId="7B7AF1CD">
            <w:pPr>
              <w:spacing w:line="320" w:lineRule="exact"/>
              <w:ind w:firstLine="420" w:firstLineChars="200"/>
              <w:jc w:val="center"/>
              <w:rPr>
                <w:rFonts w:ascii="宋体" w:hAnsi="宋体"/>
                <w:color w:val="auto"/>
                <w:szCs w:val="21"/>
              </w:rPr>
            </w:pPr>
          </w:p>
        </w:tc>
      </w:tr>
      <w:tr w14:paraId="69DE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426" w:type="dxa"/>
            <w:vMerge w:val="continue"/>
            <w:noWrap/>
            <w:vAlign w:val="center"/>
          </w:tcPr>
          <w:p w14:paraId="4125C38C">
            <w:pPr>
              <w:spacing w:line="320" w:lineRule="exact"/>
              <w:ind w:firstLine="420" w:firstLineChars="200"/>
              <w:jc w:val="left"/>
              <w:rPr>
                <w:rFonts w:ascii="宋体" w:hAnsi="宋体"/>
                <w:color w:val="auto"/>
                <w:szCs w:val="21"/>
              </w:rPr>
            </w:pPr>
          </w:p>
        </w:tc>
        <w:tc>
          <w:tcPr>
            <w:tcW w:w="709" w:type="dxa"/>
            <w:vMerge w:val="continue"/>
            <w:noWrap/>
            <w:vAlign w:val="center"/>
          </w:tcPr>
          <w:p w14:paraId="6F6C2796">
            <w:pPr>
              <w:spacing w:line="320" w:lineRule="exact"/>
              <w:ind w:firstLine="420" w:firstLineChars="200"/>
              <w:jc w:val="left"/>
              <w:rPr>
                <w:rFonts w:ascii="宋体" w:hAnsi="宋体"/>
                <w:color w:val="auto"/>
                <w:szCs w:val="21"/>
              </w:rPr>
            </w:pPr>
          </w:p>
        </w:tc>
        <w:tc>
          <w:tcPr>
            <w:tcW w:w="708" w:type="dxa"/>
            <w:vMerge w:val="continue"/>
            <w:noWrap/>
            <w:vAlign w:val="center"/>
          </w:tcPr>
          <w:p w14:paraId="4F56E733">
            <w:pPr>
              <w:spacing w:line="320" w:lineRule="exact"/>
              <w:ind w:firstLine="420" w:firstLineChars="200"/>
              <w:jc w:val="left"/>
              <w:rPr>
                <w:rFonts w:ascii="宋体" w:hAnsi="宋体"/>
                <w:color w:val="auto"/>
                <w:szCs w:val="21"/>
              </w:rPr>
            </w:pPr>
          </w:p>
        </w:tc>
        <w:tc>
          <w:tcPr>
            <w:tcW w:w="709" w:type="dxa"/>
            <w:noWrap/>
            <w:vAlign w:val="center"/>
          </w:tcPr>
          <w:p w14:paraId="073CF3AC">
            <w:pPr>
              <w:spacing w:line="320" w:lineRule="exact"/>
              <w:jc w:val="center"/>
              <w:rPr>
                <w:rFonts w:ascii="宋体" w:hAnsi="宋体"/>
                <w:color w:val="auto"/>
                <w:szCs w:val="21"/>
              </w:rPr>
            </w:pPr>
            <w:r>
              <w:rPr>
                <w:rFonts w:hint="eastAsia" w:ascii="宋体" w:hAnsi="宋体"/>
                <w:color w:val="auto"/>
                <w:szCs w:val="21"/>
              </w:rPr>
              <w:t>临床知识库</w:t>
            </w:r>
          </w:p>
        </w:tc>
        <w:tc>
          <w:tcPr>
            <w:tcW w:w="6804" w:type="dxa"/>
            <w:noWrap/>
            <w:vAlign w:val="center"/>
          </w:tcPr>
          <w:p w14:paraId="1B67CBAD">
            <w:pPr>
              <w:spacing w:line="320" w:lineRule="exact"/>
              <w:ind w:firstLine="420" w:firstLineChars="200"/>
              <w:rPr>
                <w:rFonts w:ascii="宋体" w:hAnsi="宋体"/>
                <w:color w:val="auto"/>
                <w:szCs w:val="21"/>
              </w:rPr>
            </w:pPr>
            <w:r>
              <w:rPr>
                <w:rFonts w:hint="eastAsia" w:ascii="宋体" w:hAnsi="宋体"/>
                <w:color w:val="auto"/>
                <w:szCs w:val="21"/>
              </w:rPr>
              <w:t xml:space="preserve"> 配备临床知识库，可以建立全院的知识库及专科的知识库。能够自己建立新的临床知识库，建立专科护理问题。建立护理操作库，包含常见护理操作，包含概述、目的、适应证、禁忌证、评估、操作前准备、操作步骤、注意事项、评价、健康指导等知识。建立护理知识库 ，包含各类疾病护理常规，实现专科个性化知识库，</w:t>
            </w:r>
            <w:r>
              <w:rPr>
                <w:rFonts w:hint="eastAsia" w:ascii="宋体" w:hAnsi="宋体"/>
                <w:color w:val="auto"/>
                <w:szCs w:val="21"/>
                <w:lang w:val="en-GB"/>
              </w:rPr>
              <w:t>可</w:t>
            </w:r>
            <w:r>
              <w:rPr>
                <w:rFonts w:hint="eastAsia" w:ascii="宋体" w:hAnsi="宋体"/>
                <w:color w:val="auto"/>
                <w:szCs w:val="21"/>
              </w:rPr>
              <w:t>查询、引用。</w:t>
            </w:r>
          </w:p>
        </w:tc>
        <w:tc>
          <w:tcPr>
            <w:tcW w:w="438" w:type="dxa"/>
            <w:vMerge w:val="continue"/>
            <w:noWrap/>
            <w:vAlign w:val="center"/>
          </w:tcPr>
          <w:p w14:paraId="39EC18C4">
            <w:pPr>
              <w:spacing w:line="320" w:lineRule="exact"/>
              <w:ind w:firstLine="420" w:firstLineChars="200"/>
              <w:jc w:val="center"/>
              <w:rPr>
                <w:rFonts w:ascii="宋体" w:hAnsi="宋体"/>
                <w:color w:val="auto"/>
                <w:szCs w:val="21"/>
              </w:rPr>
            </w:pPr>
          </w:p>
        </w:tc>
      </w:tr>
      <w:tr w14:paraId="46EC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26" w:type="dxa"/>
            <w:vMerge w:val="continue"/>
            <w:noWrap/>
            <w:vAlign w:val="center"/>
          </w:tcPr>
          <w:p w14:paraId="083CEFFA">
            <w:pPr>
              <w:spacing w:line="320" w:lineRule="exact"/>
              <w:ind w:firstLine="420" w:firstLineChars="200"/>
              <w:jc w:val="left"/>
              <w:rPr>
                <w:rFonts w:ascii="宋体" w:hAnsi="宋体"/>
                <w:color w:val="auto"/>
                <w:szCs w:val="21"/>
              </w:rPr>
            </w:pPr>
          </w:p>
        </w:tc>
        <w:tc>
          <w:tcPr>
            <w:tcW w:w="709" w:type="dxa"/>
            <w:vMerge w:val="continue"/>
            <w:noWrap/>
            <w:vAlign w:val="center"/>
          </w:tcPr>
          <w:p w14:paraId="0CD93D82">
            <w:pPr>
              <w:spacing w:line="320" w:lineRule="exact"/>
              <w:ind w:firstLine="420" w:firstLineChars="200"/>
              <w:jc w:val="left"/>
              <w:rPr>
                <w:rFonts w:ascii="宋体" w:hAnsi="宋体"/>
                <w:color w:val="auto"/>
                <w:szCs w:val="21"/>
              </w:rPr>
            </w:pPr>
          </w:p>
        </w:tc>
        <w:tc>
          <w:tcPr>
            <w:tcW w:w="708" w:type="dxa"/>
            <w:vMerge w:val="restart"/>
            <w:noWrap/>
            <w:vAlign w:val="center"/>
          </w:tcPr>
          <w:p w14:paraId="13D2AE23">
            <w:pPr>
              <w:spacing w:line="320" w:lineRule="exact"/>
              <w:jc w:val="left"/>
              <w:rPr>
                <w:rFonts w:ascii="宋体" w:hAnsi="宋体"/>
                <w:color w:val="auto"/>
                <w:szCs w:val="21"/>
              </w:rPr>
            </w:pPr>
            <w:r>
              <w:rPr>
                <w:rFonts w:hint="eastAsia" w:ascii="宋体" w:hAnsi="宋体"/>
                <w:color w:val="auto"/>
                <w:szCs w:val="21"/>
              </w:rPr>
              <w:t>病区质量管控平台</w:t>
            </w:r>
          </w:p>
        </w:tc>
        <w:tc>
          <w:tcPr>
            <w:tcW w:w="709" w:type="dxa"/>
            <w:vMerge w:val="restart"/>
            <w:noWrap/>
            <w:vAlign w:val="center"/>
          </w:tcPr>
          <w:p w14:paraId="41642DBD">
            <w:pPr>
              <w:spacing w:line="320" w:lineRule="exact"/>
              <w:jc w:val="center"/>
              <w:rPr>
                <w:rFonts w:ascii="宋体" w:hAnsi="宋体"/>
                <w:color w:val="auto"/>
                <w:szCs w:val="21"/>
              </w:rPr>
            </w:pPr>
            <w:r>
              <w:rPr>
                <w:rFonts w:hint="eastAsia" w:ascii="宋体" w:hAnsi="宋体"/>
                <w:color w:val="auto"/>
                <w:szCs w:val="21"/>
              </w:rPr>
              <w:t>资源效率数据统计</w:t>
            </w:r>
          </w:p>
        </w:tc>
        <w:tc>
          <w:tcPr>
            <w:tcW w:w="6804" w:type="dxa"/>
            <w:noWrap/>
            <w:vAlign w:val="center"/>
          </w:tcPr>
          <w:p w14:paraId="7D06DA72">
            <w:pPr>
              <w:spacing w:line="320" w:lineRule="exact"/>
              <w:ind w:firstLine="420" w:firstLineChars="200"/>
              <w:rPr>
                <w:rFonts w:ascii="宋体" w:hAnsi="宋体"/>
                <w:color w:val="auto"/>
                <w:szCs w:val="21"/>
              </w:rPr>
            </w:pPr>
            <w:r>
              <w:rPr>
                <w:rFonts w:hint="eastAsia" w:ascii="宋体" w:hAnsi="宋体"/>
                <w:color w:val="auto"/>
                <w:szCs w:val="21"/>
              </w:rPr>
              <w:t xml:space="preserve"> 实时显示病区的床位资源使用情况和执业医护人员在岗情况。</w:t>
            </w:r>
          </w:p>
        </w:tc>
        <w:tc>
          <w:tcPr>
            <w:tcW w:w="438" w:type="dxa"/>
            <w:vMerge w:val="continue"/>
            <w:noWrap/>
            <w:vAlign w:val="center"/>
          </w:tcPr>
          <w:p w14:paraId="3B898D4A">
            <w:pPr>
              <w:spacing w:line="320" w:lineRule="exact"/>
              <w:ind w:firstLine="420" w:firstLineChars="200"/>
              <w:jc w:val="center"/>
              <w:rPr>
                <w:rFonts w:ascii="宋体" w:hAnsi="宋体"/>
                <w:color w:val="auto"/>
                <w:szCs w:val="21"/>
              </w:rPr>
            </w:pPr>
          </w:p>
        </w:tc>
      </w:tr>
      <w:tr w14:paraId="1B5C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426" w:type="dxa"/>
            <w:vMerge w:val="continue"/>
            <w:noWrap/>
            <w:vAlign w:val="center"/>
          </w:tcPr>
          <w:p w14:paraId="322316D1">
            <w:pPr>
              <w:spacing w:line="320" w:lineRule="exact"/>
              <w:ind w:firstLine="420" w:firstLineChars="200"/>
              <w:jc w:val="left"/>
              <w:rPr>
                <w:rFonts w:ascii="宋体" w:hAnsi="宋体"/>
                <w:color w:val="auto"/>
                <w:szCs w:val="21"/>
              </w:rPr>
            </w:pPr>
          </w:p>
        </w:tc>
        <w:tc>
          <w:tcPr>
            <w:tcW w:w="709" w:type="dxa"/>
            <w:vMerge w:val="continue"/>
            <w:noWrap/>
            <w:vAlign w:val="center"/>
          </w:tcPr>
          <w:p w14:paraId="2C319DD4">
            <w:pPr>
              <w:spacing w:line="320" w:lineRule="exact"/>
              <w:ind w:firstLine="420" w:firstLineChars="200"/>
              <w:jc w:val="left"/>
              <w:rPr>
                <w:rFonts w:ascii="宋体" w:hAnsi="宋体"/>
                <w:color w:val="auto"/>
                <w:szCs w:val="21"/>
              </w:rPr>
            </w:pPr>
          </w:p>
        </w:tc>
        <w:tc>
          <w:tcPr>
            <w:tcW w:w="708" w:type="dxa"/>
            <w:vMerge w:val="continue"/>
            <w:noWrap/>
            <w:vAlign w:val="center"/>
          </w:tcPr>
          <w:p w14:paraId="11117DA0">
            <w:pPr>
              <w:spacing w:line="320" w:lineRule="exact"/>
              <w:ind w:firstLine="420" w:firstLineChars="200"/>
              <w:jc w:val="left"/>
              <w:rPr>
                <w:rFonts w:ascii="宋体" w:hAnsi="宋体"/>
                <w:color w:val="auto"/>
                <w:szCs w:val="21"/>
              </w:rPr>
            </w:pPr>
          </w:p>
        </w:tc>
        <w:tc>
          <w:tcPr>
            <w:tcW w:w="709" w:type="dxa"/>
            <w:vMerge w:val="continue"/>
            <w:noWrap/>
            <w:vAlign w:val="center"/>
          </w:tcPr>
          <w:p w14:paraId="4E3DECAF">
            <w:pPr>
              <w:spacing w:line="320" w:lineRule="exact"/>
              <w:ind w:firstLine="420" w:firstLineChars="200"/>
              <w:jc w:val="center"/>
              <w:rPr>
                <w:rFonts w:ascii="宋体" w:hAnsi="宋体"/>
                <w:color w:val="auto"/>
                <w:szCs w:val="21"/>
              </w:rPr>
            </w:pPr>
          </w:p>
        </w:tc>
        <w:tc>
          <w:tcPr>
            <w:tcW w:w="6804" w:type="dxa"/>
            <w:noWrap/>
            <w:vAlign w:val="center"/>
          </w:tcPr>
          <w:p w14:paraId="528940A2">
            <w:pPr>
              <w:spacing w:line="320" w:lineRule="exact"/>
              <w:ind w:firstLine="420" w:firstLineChars="200"/>
              <w:rPr>
                <w:rFonts w:hint="eastAsia" w:ascii="宋体" w:hAnsi="宋体"/>
                <w:color w:val="auto"/>
                <w:szCs w:val="21"/>
              </w:rPr>
            </w:pPr>
            <w:r>
              <w:rPr>
                <w:rFonts w:hint="eastAsia" w:ascii="宋体" w:hAnsi="宋体"/>
                <w:color w:val="auto"/>
                <w:szCs w:val="21"/>
              </w:rPr>
              <w:t xml:space="preserve"> 按月显示病区患者出入流量、础统计资源效率数据统计病床使用率、病床周转率、平均住院日、医师日均担负、床护比、护患比、平均护理时数、住院次均费用、住院次均药占比。具备护理敏感指标数据的收集功能，各指标数据根据相应医嘱自动生成，可按时间、类别等方式进行统计并打印。实现自动统计护士每日工作量，包括输液量、口护量、插胃管、插尿管、PICC维护、危重患者护理量等内容。</w:t>
            </w:r>
            <w:r>
              <w:rPr>
                <w:rFonts w:hint="eastAsia" w:ascii="宋体" w:hAnsi="宋体"/>
                <w:color w:val="auto"/>
                <w:szCs w:val="21"/>
              </w:rPr>
              <w:t>满足医院对于指标数据的统计对比需求，如同比、环比、百分比等，将指标库中的指标分为普通型指标和计算型指标。普通型指标可以直接从业务系统的数据库中采集入库，进行展示；计算型指标是在普通型指标的基础上，对普通型指标进行一定的计算，将计算来的数据进行展示。</w:t>
            </w:r>
          </w:p>
          <w:p w14:paraId="62F0185F">
            <w:pPr>
              <w:spacing w:line="320" w:lineRule="exact"/>
              <w:ind w:firstLine="420" w:firstLineChars="200"/>
              <w:rPr>
                <w:rFonts w:ascii="宋体" w:hAnsi="宋体"/>
                <w:color w:val="auto"/>
                <w:szCs w:val="21"/>
              </w:rPr>
            </w:pPr>
            <w:r>
              <w:rPr>
                <w:rFonts w:hint="eastAsia" w:ascii="宋体" w:hAnsi="宋体"/>
                <w:color w:val="auto"/>
                <w:szCs w:val="21"/>
              </w:rPr>
              <w:t>指标中心的维度表示指标的统计维度。目前指标中心的维度库中包括时间、地科室、人员、手术、药品、疾病等等维度。支持对维度的增加、修改、删除操作，支持对每个维度中维度字典项的增加、修改、删除操作。</w:t>
            </w:r>
          </w:p>
        </w:tc>
        <w:tc>
          <w:tcPr>
            <w:tcW w:w="438" w:type="dxa"/>
            <w:vMerge w:val="continue"/>
            <w:noWrap/>
            <w:vAlign w:val="center"/>
          </w:tcPr>
          <w:p w14:paraId="3595FFE6">
            <w:pPr>
              <w:spacing w:line="320" w:lineRule="exact"/>
              <w:ind w:firstLine="420" w:firstLineChars="200"/>
              <w:jc w:val="center"/>
              <w:rPr>
                <w:rFonts w:ascii="宋体" w:hAnsi="宋体"/>
                <w:color w:val="auto"/>
                <w:szCs w:val="21"/>
              </w:rPr>
            </w:pPr>
          </w:p>
        </w:tc>
      </w:tr>
      <w:tr w14:paraId="0253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426" w:type="dxa"/>
            <w:vMerge w:val="continue"/>
            <w:noWrap/>
            <w:vAlign w:val="center"/>
          </w:tcPr>
          <w:p w14:paraId="2D7A1A96">
            <w:pPr>
              <w:spacing w:line="320" w:lineRule="exact"/>
              <w:ind w:firstLine="420" w:firstLineChars="200"/>
              <w:jc w:val="left"/>
              <w:rPr>
                <w:rFonts w:ascii="宋体" w:hAnsi="宋体"/>
                <w:color w:val="auto"/>
                <w:szCs w:val="21"/>
              </w:rPr>
            </w:pPr>
          </w:p>
        </w:tc>
        <w:tc>
          <w:tcPr>
            <w:tcW w:w="709" w:type="dxa"/>
            <w:vMerge w:val="continue"/>
            <w:noWrap/>
            <w:vAlign w:val="center"/>
          </w:tcPr>
          <w:p w14:paraId="65AF5AB4">
            <w:pPr>
              <w:spacing w:line="320" w:lineRule="exact"/>
              <w:ind w:firstLine="420" w:firstLineChars="200"/>
              <w:jc w:val="left"/>
              <w:rPr>
                <w:rFonts w:ascii="宋体" w:hAnsi="宋体"/>
                <w:color w:val="auto"/>
                <w:szCs w:val="21"/>
              </w:rPr>
            </w:pPr>
          </w:p>
        </w:tc>
        <w:tc>
          <w:tcPr>
            <w:tcW w:w="708" w:type="dxa"/>
            <w:vMerge w:val="continue"/>
            <w:noWrap/>
            <w:vAlign w:val="center"/>
          </w:tcPr>
          <w:p w14:paraId="597302EF">
            <w:pPr>
              <w:spacing w:line="320" w:lineRule="exact"/>
              <w:ind w:firstLine="420" w:firstLineChars="200"/>
              <w:jc w:val="left"/>
              <w:rPr>
                <w:rFonts w:ascii="宋体" w:hAnsi="宋体"/>
                <w:color w:val="auto"/>
                <w:szCs w:val="21"/>
              </w:rPr>
            </w:pPr>
          </w:p>
        </w:tc>
        <w:tc>
          <w:tcPr>
            <w:tcW w:w="709" w:type="dxa"/>
            <w:noWrap/>
            <w:vAlign w:val="center"/>
          </w:tcPr>
          <w:p w14:paraId="68966427">
            <w:pPr>
              <w:spacing w:line="320" w:lineRule="exact"/>
              <w:jc w:val="center"/>
              <w:rPr>
                <w:rFonts w:ascii="宋体" w:hAnsi="宋体"/>
                <w:color w:val="auto"/>
                <w:szCs w:val="21"/>
              </w:rPr>
            </w:pPr>
            <w:r>
              <w:rPr>
                <w:rFonts w:hint="eastAsia" w:ascii="宋体" w:hAnsi="宋体"/>
                <w:color w:val="auto"/>
                <w:szCs w:val="21"/>
              </w:rPr>
              <w:t>基础统计</w:t>
            </w:r>
          </w:p>
        </w:tc>
        <w:tc>
          <w:tcPr>
            <w:tcW w:w="6804" w:type="dxa"/>
            <w:noWrap/>
            <w:vAlign w:val="center"/>
          </w:tcPr>
          <w:p w14:paraId="3847545F">
            <w:pPr>
              <w:spacing w:line="320" w:lineRule="exact"/>
              <w:ind w:firstLine="420" w:firstLineChars="200"/>
              <w:rPr>
                <w:rFonts w:ascii="宋体" w:hAnsi="宋体"/>
                <w:color w:val="auto"/>
                <w:szCs w:val="21"/>
              </w:rPr>
            </w:pPr>
            <w:r>
              <w:rPr>
                <w:rFonts w:hint="eastAsia" w:ascii="宋体" w:hAnsi="宋体"/>
                <w:color w:val="auto"/>
                <w:szCs w:val="21"/>
              </w:rPr>
              <w:t xml:space="preserve"> 基础统计：统计实时在院人数，显示近一周在院人数变化情况；统计实时特级、一级护理人数，显示实时各级护理级别的人数占比；统计实时病危、病重人数，显示实时病危、病重、普通患者的人数占比。</w:t>
            </w:r>
          </w:p>
        </w:tc>
        <w:tc>
          <w:tcPr>
            <w:tcW w:w="438" w:type="dxa"/>
            <w:vMerge w:val="continue"/>
            <w:noWrap/>
            <w:vAlign w:val="center"/>
          </w:tcPr>
          <w:p w14:paraId="463122F6">
            <w:pPr>
              <w:spacing w:line="320" w:lineRule="exact"/>
              <w:ind w:firstLine="420" w:firstLineChars="200"/>
              <w:jc w:val="center"/>
              <w:rPr>
                <w:rFonts w:ascii="宋体" w:hAnsi="宋体"/>
                <w:color w:val="auto"/>
                <w:szCs w:val="21"/>
              </w:rPr>
            </w:pPr>
          </w:p>
        </w:tc>
      </w:tr>
      <w:tr w14:paraId="691A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6" w:type="dxa"/>
            <w:vMerge w:val="continue"/>
            <w:noWrap/>
            <w:vAlign w:val="center"/>
          </w:tcPr>
          <w:p w14:paraId="62414F61">
            <w:pPr>
              <w:spacing w:line="320" w:lineRule="exact"/>
              <w:ind w:firstLine="420" w:firstLineChars="200"/>
              <w:jc w:val="left"/>
              <w:rPr>
                <w:rFonts w:ascii="宋体" w:hAnsi="宋体"/>
                <w:color w:val="auto"/>
                <w:szCs w:val="21"/>
              </w:rPr>
            </w:pPr>
          </w:p>
        </w:tc>
        <w:tc>
          <w:tcPr>
            <w:tcW w:w="709" w:type="dxa"/>
            <w:vMerge w:val="continue"/>
            <w:noWrap/>
            <w:vAlign w:val="center"/>
          </w:tcPr>
          <w:p w14:paraId="0BA49343">
            <w:pPr>
              <w:spacing w:line="320" w:lineRule="exact"/>
              <w:ind w:firstLine="420" w:firstLineChars="200"/>
              <w:jc w:val="left"/>
              <w:rPr>
                <w:rFonts w:ascii="宋体" w:hAnsi="宋体"/>
                <w:color w:val="auto"/>
                <w:szCs w:val="21"/>
              </w:rPr>
            </w:pPr>
          </w:p>
        </w:tc>
        <w:tc>
          <w:tcPr>
            <w:tcW w:w="708" w:type="dxa"/>
            <w:vMerge w:val="continue"/>
            <w:noWrap/>
            <w:vAlign w:val="center"/>
          </w:tcPr>
          <w:p w14:paraId="05AB97D8">
            <w:pPr>
              <w:spacing w:line="320" w:lineRule="exact"/>
              <w:ind w:firstLine="420" w:firstLineChars="200"/>
              <w:jc w:val="left"/>
              <w:rPr>
                <w:rFonts w:ascii="宋体" w:hAnsi="宋体"/>
                <w:color w:val="auto"/>
                <w:szCs w:val="21"/>
              </w:rPr>
            </w:pPr>
          </w:p>
        </w:tc>
        <w:tc>
          <w:tcPr>
            <w:tcW w:w="709" w:type="dxa"/>
            <w:noWrap/>
            <w:vAlign w:val="center"/>
          </w:tcPr>
          <w:p w14:paraId="73584646">
            <w:pPr>
              <w:spacing w:line="320" w:lineRule="exact"/>
              <w:jc w:val="center"/>
              <w:rPr>
                <w:rFonts w:ascii="宋体" w:hAnsi="宋体"/>
                <w:color w:val="auto"/>
                <w:szCs w:val="21"/>
              </w:rPr>
            </w:pPr>
            <w:r>
              <w:rPr>
                <w:rFonts w:hint="eastAsia" w:ascii="宋体" w:hAnsi="宋体"/>
                <w:color w:val="auto"/>
                <w:szCs w:val="21"/>
              </w:rPr>
              <w:t>高风险项</w:t>
            </w:r>
          </w:p>
        </w:tc>
        <w:tc>
          <w:tcPr>
            <w:tcW w:w="6804" w:type="dxa"/>
            <w:noWrap/>
            <w:vAlign w:val="center"/>
          </w:tcPr>
          <w:p w14:paraId="4A7F0B37">
            <w:pPr>
              <w:spacing w:line="320" w:lineRule="exact"/>
              <w:ind w:firstLine="420" w:firstLineChars="200"/>
              <w:rPr>
                <w:rFonts w:ascii="宋体" w:hAnsi="宋体"/>
                <w:color w:val="auto"/>
                <w:szCs w:val="21"/>
              </w:rPr>
            </w:pPr>
            <w:r>
              <w:rPr>
                <w:rFonts w:hint="eastAsia" w:ascii="宋体" w:hAnsi="宋体"/>
                <w:color w:val="auto"/>
                <w:szCs w:val="21"/>
              </w:rPr>
              <w:t xml:space="preserve"> 高风险项：根据病区关注的护理风险类型，显示实时各类风险的高危人数和今日新增的高危人数，显示实时各风险级别的人数占比。</w:t>
            </w:r>
          </w:p>
        </w:tc>
        <w:tc>
          <w:tcPr>
            <w:tcW w:w="438" w:type="dxa"/>
            <w:vMerge w:val="continue"/>
            <w:noWrap/>
            <w:vAlign w:val="center"/>
          </w:tcPr>
          <w:p w14:paraId="005BD3A2">
            <w:pPr>
              <w:spacing w:line="320" w:lineRule="exact"/>
              <w:ind w:firstLine="420" w:firstLineChars="200"/>
              <w:jc w:val="center"/>
              <w:rPr>
                <w:rFonts w:ascii="宋体" w:hAnsi="宋体"/>
                <w:color w:val="auto"/>
                <w:szCs w:val="21"/>
              </w:rPr>
            </w:pPr>
          </w:p>
        </w:tc>
      </w:tr>
      <w:tr w14:paraId="5DE8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4335CC8F">
            <w:pPr>
              <w:spacing w:line="320" w:lineRule="exact"/>
              <w:ind w:firstLine="420" w:firstLineChars="200"/>
              <w:jc w:val="left"/>
              <w:rPr>
                <w:rFonts w:ascii="宋体" w:hAnsi="宋体"/>
                <w:color w:val="auto"/>
                <w:szCs w:val="21"/>
              </w:rPr>
            </w:pPr>
          </w:p>
        </w:tc>
        <w:tc>
          <w:tcPr>
            <w:tcW w:w="709" w:type="dxa"/>
            <w:vMerge w:val="restart"/>
            <w:noWrap/>
            <w:vAlign w:val="center"/>
          </w:tcPr>
          <w:p w14:paraId="641819D5">
            <w:pPr>
              <w:spacing w:line="320" w:lineRule="exact"/>
              <w:ind w:firstLine="420" w:firstLineChars="200"/>
              <w:jc w:val="left"/>
              <w:rPr>
                <w:rFonts w:ascii="宋体" w:hAnsi="宋体"/>
                <w:color w:val="auto"/>
                <w:szCs w:val="21"/>
              </w:rPr>
            </w:pPr>
            <w:r>
              <w:rPr>
                <w:rFonts w:hint="eastAsia" w:ascii="宋体" w:hAnsi="宋体"/>
                <w:color w:val="auto"/>
                <w:szCs w:val="21"/>
              </w:rPr>
              <w:t xml:space="preserve"> PC端</w:t>
            </w:r>
          </w:p>
        </w:tc>
        <w:tc>
          <w:tcPr>
            <w:tcW w:w="708" w:type="dxa"/>
            <w:vMerge w:val="restart"/>
            <w:noWrap/>
            <w:vAlign w:val="center"/>
          </w:tcPr>
          <w:p w14:paraId="4018B979">
            <w:pPr>
              <w:spacing w:line="320" w:lineRule="exact"/>
              <w:jc w:val="left"/>
              <w:rPr>
                <w:rFonts w:ascii="宋体" w:hAnsi="宋体"/>
                <w:color w:val="auto"/>
                <w:szCs w:val="21"/>
              </w:rPr>
            </w:pPr>
            <w:r>
              <w:rPr>
                <w:rFonts w:hint="eastAsia" w:ascii="宋体" w:hAnsi="宋体"/>
                <w:color w:val="auto"/>
                <w:szCs w:val="21"/>
              </w:rPr>
              <w:t>平台设置</w:t>
            </w:r>
          </w:p>
        </w:tc>
        <w:tc>
          <w:tcPr>
            <w:tcW w:w="709" w:type="dxa"/>
            <w:noWrap/>
            <w:vAlign w:val="center"/>
          </w:tcPr>
          <w:p w14:paraId="36C08676">
            <w:pPr>
              <w:spacing w:line="320" w:lineRule="exact"/>
              <w:jc w:val="left"/>
              <w:rPr>
                <w:rFonts w:ascii="宋体" w:hAnsi="宋体"/>
                <w:color w:val="auto"/>
                <w:szCs w:val="21"/>
              </w:rPr>
            </w:pPr>
            <w:r>
              <w:rPr>
                <w:rFonts w:hint="eastAsia" w:ascii="宋体" w:hAnsi="宋体"/>
                <w:color w:val="auto"/>
                <w:szCs w:val="21"/>
              </w:rPr>
              <w:t>医护排班设置</w:t>
            </w:r>
          </w:p>
        </w:tc>
        <w:tc>
          <w:tcPr>
            <w:tcW w:w="6804" w:type="dxa"/>
            <w:noWrap/>
            <w:vAlign w:val="center"/>
          </w:tcPr>
          <w:p w14:paraId="7C0E4539">
            <w:pPr>
              <w:spacing w:line="320" w:lineRule="exact"/>
              <w:ind w:firstLine="420" w:firstLineChars="200"/>
              <w:rPr>
                <w:rFonts w:ascii="宋体" w:hAnsi="宋体"/>
                <w:color w:val="auto"/>
                <w:szCs w:val="21"/>
              </w:rPr>
            </w:pPr>
            <w:r>
              <w:rPr>
                <w:rFonts w:hint="eastAsia" w:ascii="宋体" w:hAnsi="宋体"/>
                <w:color w:val="auto"/>
                <w:szCs w:val="21"/>
              </w:rPr>
              <w:t xml:space="preserve"> 设置自定义日期各班次分组的责任护士，以及一二三线当班医生。</w:t>
            </w:r>
          </w:p>
        </w:tc>
        <w:tc>
          <w:tcPr>
            <w:tcW w:w="438" w:type="dxa"/>
            <w:vMerge w:val="continue"/>
            <w:noWrap/>
            <w:vAlign w:val="center"/>
          </w:tcPr>
          <w:p w14:paraId="636A63CC">
            <w:pPr>
              <w:spacing w:line="320" w:lineRule="exact"/>
              <w:ind w:firstLine="420" w:firstLineChars="200"/>
              <w:jc w:val="center"/>
              <w:rPr>
                <w:rFonts w:ascii="宋体" w:hAnsi="宋体"/>
                <w:color w:val="auto"/>
                <w:szCs w:val="21"/>
              </w:rPr>
            </w:pPr>
          </w:p>
        </w:tc>
      </w:tr>
      <w:tr w14:paraId="4F2D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1111B9FC">
            <w:pPr>
              <w:spacing w:line="320" w:lineRule="exact"/>
              <w:ind w:firstLine="420" w:firstLineChars="200"/>
              <w:jc w:val="left"/>
              <w:rPr>
                <w:rFonts w:ascii="宋体" w:hAnsi="宋体"/>
                <w:color w:val="auto"/>
                <w:szCs w:val="21"/>
              </w:rPr>
            </w:pPr>
          </w:p>
        </w:tc>
        <w:tc>
          <w:tcPr>
            <w:tcW w:w="709" w:type="dxa"/>
            <w:vMerge w:val="continue"/>
            <w:noWrap/>
            <w:vAlign w:val="center"/>
          </w:tcPr>
          <w:p w14:paraId="2AF1DEEE">
            <w:pPr>
              <w:spacing w:line="320" w:lineRule="exact"/>
              <w:ind w:firstLine="420" w:firstLineChars="200"/>
              <w:jc w:val="left"/>
              <w:rPr>
                <w:rFonts w:ascii="宋体" w:hAnsi="宋体"/>
                <w:color w:val="auto"/>
                <w:szCs w:val="21"/>
              </w:rPr>
            </w:pPr>
          </w:p>
        </w:tc>
        <w:tc>
          <w:tcPr>
            <w:tcW w:w="708" w:type="dxa"/>
            <w:vMerge w:val="continue"/>
            <w:noWrap/>
            <w:vAlign w:val="center"/>
          </w:tcPr>
          <w:p w14:paraId="2C210286">
            <w:pPr>
              <w:spacing w:line="320" w:lineRule="exact"/>
              <w:ind w:firstLine="420" w:firstLineChars="200"/>
              <w:jc w:val="left"/>
              <w:rPr>
                <w:rFonts w:ascii="宋体" w:hAnsi="宋体"/>
                <w:color w:val="auto"/>
                <w:szCs w:val="21"/>
              </w:rPr>
            </w:pPr>
          </w:p>
        </w:tc>
        <w:tc>
          <w:tcPr>
            <w:tcW w:w="709" w:type="dxa"/>
            <w:noWrap/>
            <w:vAlign w:val="center"/>
          </w:tcPr>
          <w:p w14:paraId="5EAB8A8E">
            <w:pPr>
              <w:spacing w:line="320" w:lineRule="exact"/>
              <w:jc w:val="left"/>
              <w:rPr>
                <w:rFonts w:ascii="宋体" w:hAnsi="宋体"/>
                <w:color w:val="auto"/>
                <w:szCs w:val="21"/>
              </w:rPr>
            </w:pPr>
            <w:r>
              <w:rPr>
                <w:rFonts w:hint="eastAsia" w:ascii="宋体" w:hAnsi="宋体"/>
                <w:color w:val="auto"/>
                <w:szCs w:val="21"/>
              </w:rPr>
              <w:t>通知公告编辑</w:t>
            </w:r>
          </w:p>
        </w:tc>
        <w:tc>
          <w:tcPr>
            <w:tcW w:w="6804" w:type="dxa"/>
            <w:noWrap/>
            <w:vAlign w:val="center"/>
          </w:tcPr>
          <w:p w14:paraId="007955B7">
            <w:pPr>
              <w:spacing w:line="320" w:lineRule="exact"/>
              <w:ind w:firstLine="420" w:firstLineChars="200"/>
              <w:rPr>
                <w:rFonts w:ascii="宋体" w:hAnsi="宋体"/>
                <w:color w:val="auto"/>
                <w:szCs w:val="21"/>
              </w:rPr>
            </w:pPr>
            <w:r>
              <w:rPr>
                <w:rFonts w:hint="eastAsia" w:ascii="宋体" w:hAnsi="宋体"/>
                <w:color w:val="auto"/>
                <w:szCs w:val="21"/>
              </w:rPr>
              <w:t xml:space="preserve"> 编辑最新的通知公告栏信息。</w:t>
            </w:r>
          </w:p>
        </w:tc>
        <w:tc>
          <w:tcPr>
            <w:tcW w:w="438" w:type="dxa"/>
            <w:vMerge w:val="continue"/>
            <w:noWrap/>
            <w:vAlign w:val="center"/>
          </w:tcPr>
          <w:p w14:paraId="7F3FF845">
            <w:pPr>
              <w:spacing w:line="320" w:lineRule="exact"/>
              <w:ind w:firstLine="420" w:firstLineChars="200"/>
              <w:jc w:val="center"/>
              <w:rPr>
                <w:rFonts w:ascii="宋体" w:hAnsi="宋体"/>
                <w:color w:val="auto"/>
                <w:szCs w:val="21"/>
              </w:rPr>
            </w:pPr>
          </w:p>
        </w:tc>
      </w:tr>
      <w:tr w14:paraId="2FBC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6" w:type="dxa"/>
            <w:vMerge w:val="continue"/>
            <w:noWrap/>
            <w:vAlign w:val="center"/>
          </w:tcPr>
          <w:p w14:paraId="47E03FEA">
            <w:pPr>
              <w:spacing w:line="320" w:lineRule="exact"/>
              <w:ind w:firstLine="420" w:firstLineChars="200"/>
              <w:jc w:val="left"/>
              <w:rPr>
                <w:rFonts w:ascii="宋体" w:hAnsi="宋体"/>
                <w:color w:val="auto"/>
                <w:szCs w:val="21"/>
              </w:rPr>
            </w:pPr>
          </w:p>
        </w:tc>
        <w:tc>
          <w:tcPr>
            <w:tcW w:w="709" w:type="dxa"/>
            <w:vMerge w:val="continue"/>
            <w:noWrap/>
            <w:vAlign w:val="center"/>
          </w:tcPr>
          <w:p w14:paraId="12DDA3C4">
            <w:pPr>
              <w:spacing w:line="320" w:lineRule="exact"/>
              <w:ind w:firstLine="420" w:firstLineChars="200"/>
              <w:jc w:val="left"/>
              <w:rPr>
                <w:rFonts w:ascii="宋体" w:hAnsi="宋体"/>
                <w:color w:val="auto"/>
                <w:szCs w:val="21"/>
              </w:rPr>
            </w:pPr>
          </w:p>
        </w:tc>
        <w:tc>
          <w:tcPr>
            <w:tcW w:w="708" w:type="dxa"/>
            <w:vMerge w:val="continue"/>
            <w:noWrap/>
            <w:vAlign w:val="center"/>
          </w:tcPr>
          <w:p w14:paraId="75E3EC1A">
            <w:pPr>
              <w:spacing w:line="320" w:lineRule="exact"/>
              <w:ind w:firstLine="420" w:firstLineChars="200"/>
              <w:jc w:val="left"/>
              <w:rPr>
                <w:rFonts w:ascii="宋体" w:hAnsi="宋体"/>
                <w:color w:val="auto"/>
                <w:szCs w:val="21"/>
              </w:rPr>
            </w:pPr>
          </w:p>
        </w:tc>
        <w:tc>
          <w:tcPr>
            <w:tcW w:w="709" w:type="dxa"/>
            <w:noWrap/>
            <w:vAlign w:val="center"/>
          </w:tcPr>
          <w:p w14:paraId="5B9B7043">
            <w:pPr>
              <w:spacing w:line="320" w:lineRule="exact"/>
              <w:jc w:val="left"/>
              <w:rPr>
                <w:rFonts w:ascii="宋体" w:hAnsi="宋体"/>
                <w:color w:val="auto"/>
                <w:szCs w:val="21"/>
              </w:rPr>
            </w:pPr>
            <w:r>
              <w:rPr>
                <w:rFonts w:hint="eastAsia" w:ascii="宋体" w:hAnsi="宋体"/>
                <w:color w:val="auto"/>
                <w:szCs w:val="21"/>
              </w:rPr>
              <w:t>检查安排编辑</w:t>
            </w:r>
          </w:p>
        </w:tc>
        <w:tc>
          <w:tcPr>
            <w:tcW w:w="6804" w:type="dxa"/>
            <w:noWrap/>
            <w:vAlign w:val="center"/>
          </w:tcPr>
          <w:p w14:paraId="584A083D">
            <w:pPr>
              <w:spacing w:line="320" w:lineRule="exact"/>
              <w:ind w:firstLine="420" w:firstLineChars="200"/>
              <w:rPr>
                <w:rFonts w:ascii="宋体" w:hAnsi="宋体"/>
                <w:color w:val="auto"/>
                <w:szCs w:val="21"/>
              </w:rPr>
            </w:pPr>
            <w:r>
              <w:rPr>
                <w:rFonts w:hint="eastAsia" w:ascii="宋体" w:hAnsi="宋体"/>
                <w:color w:val="auto"/>
                <w:szCs w:val="21"/>
              </w:rPr>
              <w:t>实现手动新增、修改、删除检验检查预约记录。</w:t>
            </w:r>
          </w:p>
        </w:tc>
        <w:tc>
          <w:tcPr>
            <w:tcW w:w="438" w:type="dxa"/>
            <w:vMerge w:val="continue"/>
            <w:noWrap/>
            <w:vAlign w:val="center"/>
          </w:tcPr>
          <w:p w14:paraId="71256801">
            <w:pPr>
              <w:spacing w:line="320" w:lineRule="exact"/>
              <w:ind w:firstLine="420" w:firstLineChars="200"/>
              <w:jc w:val="center"/>
              <w:rPr>
                <w:rFonts w:ascii="宋体" w:hAnsi="宋体"/>
                <w:color w:val="auto"/>
                <w:szCs w:val="21"/>
              </w:rPr>
            </w:pPr>
          </w:p>
        </w:tc>
      </w:tr>
      <w:tr w14:paraId="4C83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36929A74">
            <w:pPr>
              <w:spacing w:line="320" w:lineRule="exact"/>
              <w:ind w:firstLine="420" w:firstLineChars="200"/>
              <w:jc w:val="left"/>
              <w:rPr>
                <w:rFonts w:ascii="宋体" w:hAnsi="宋体"/>
                <w:color w:val="auto"/>
                <w:szCs w:val="21"/>
              </w:rPr>
            </w:pPr>
          </w:p>
        </w:tc>
        <w:tc>
          <w:tcPr>
            <w:tcW w:w="709" w:type="dxa"/>
            <w:vMerge w:val="continue"/>
            <w:noWrap/>
            <w:vAlign w:val="center"/>
          </w:tcPr>
          <w:p w14:paraId="3D02A67C">
            <w:pPr>
              <w:spacing w:line="320" w:lineRule="exact"/>
              <w:ind w:firstLine="420" w:firstLineChars="200"/>
              <w:jc w:val="left"/>
              <w:rPr>
                <w:rFonts w:ascii="宋体" w:hAnsi="宋体"/>
                <w:color w:val="auto"/>
                <w:szCs w:val="21"/>
              </w:rPr>
            </w:pPr>
          </w:p>
        </w:tc>
        <w:tc>
          <w:tcPr>
            <w:tcW w:w="708" w:type="dxa"/>
            <w:vMerge w:val="restart"/>
            <w:noWrap/>
            <w:vAlign w:val="center"/>
          </w:tcPr>
          <w:p w14:paraId="168F3090">
            <w:pPr>
              <w:spacing w:line="320" w:lineRule="exact"/>
              <w:jc w:val="left"/>
              <w:rPr>
                <w:rFonts w:ascii="宋体" w:hAnsi="宋体"/>
                <w:color w:val="auto"/>
                <w:szCs w:val="21"/>
              </w:rPr>
            </w:pPr>
            <w:r>
              <w:rPr>
                <w:rFonts w:hint="eastAsia" w:ascii="宋体" w:hAnsi="宋体"/>
                <w:color w:val="auto"/>
                <w:szCs w:val="21"/>
              </w:rPr>
              <w:t>床位预约登记</w:t>
            </w:r>
          </w:p>
        </w:tc>
        <w:tc>
          <w:tcPr>
            <w:tcW w:w="709" w:type="dxa"/>
            <w:vMerge w:val="restart"/>
            <w:noWrap/>
            <w:vAlign w:val="center"/>
          </w:tcPr>
          <w:p w14:paraId="2E985F56">
            <w:pPr>
              <w:spacing w:line="320" w:lineRule="exact"/>
              <w:jc w:val="left"/>
              <w:rPr>
                <w:rFonts w:ascii="宋体" w:hAnsi="宋体"/>
                <w:color w:val="auto"/>
                <w:szCs w:val="21"/>
              </w:rPr>
            </w:pPr>
            <w:r>
              <w:rPr>
                <w:rFonts w:hint="eastAsia" w:ascii="宋体" w:hAnsi="宋体"/>
                <w:color w:val="auto"/>
                <w:szCs w:val="21"/>
              </w:rPr>
              <w:t>预约登记</w:t>
            </w:r>
          </w:p>
        </w:tc>
        <w:tc>
          <w:tcPr>
            <w:tcW w:w="6804" w:type="dxa"/>
            <w:noWrap/>
            <w:vAlign w:val="center"/>
          </w:tcPr>
          <w:p w14:paraId="5CF761CC">
            <w:pPr>
              <w:spacing w:line="320" w:lineRule="exact"/>
              <w:ind w:firstLine="420" w:firstLineChars="200"/>
              <w:rPr>
                <w:rFonts w:ascii="宋体" w:hAnsi="宋体"/>
                <w:color w:val="auto"/>
                <w:szCs w:val="21"/>
              </w:rPr>
            </w:pPr>
            <w:r>
              <w:rPr>
                <w:rFonts w:hint="eastAsia" w:ascii="宋体" w:hAnsi="宋体"/>
                <w:color w:val="auto"/>
                <w:szCs w:val="21"/>
              </w:rPr>
              <w:t>实现手动新增、修改、删除床位预约记录。</w:t>
            </w:r>
          </w:p>
        </w:tc>
        <w:tc>
          <w:tcPr>
            <w:tcW w:w="438" w:type="dxa"/>
            <w:vMerge w:val="continue"/>
            <w:noWrap/>
            <w:vAlign w:val="center"/>
          </w:tcPr>
          <w:p w14:paraId="3B9FCA27">
            <w:pPr>
              <w:spacing w:line="320" w:lineRule="exact"/>
              <w:ind w:firstLine="420" w:firstLineChars="200"/>
              <w:jc w:val="center"/>
              <w:rPr>
                <w:rFonts w:ascii="宋体" w:hAnsi="宋体"/>
                <w:color w:val="auto"/>
                <w:szCs w:val="21"/>
              </w:rPr>
            </w:pPr>
          </w:p>
        </w:tc>
      </w:tr>
      <w:tr w14:paraId="396C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426" w:type="dxa"/>
            <w:vMerge w:val="continue"/>
            <w:noWrap/>
            <w:vAlign w:val="center"/>
          </w:tcPr>
          <w:p w14:paraId="651D5102">
            <w:pPr>
              <w:spacing w:line="320" w:lineRule="exact"/>
              <w:ind w:firstLine="420" w:firstLineChars="200"/>
              <w:jc w:val="left"/>
              <w:rPr>
                <w:rFonts w:ascii="宋体" w:hAnsi="宋体"/>
                <w:color w:val="auto"/>
                <w:szCs w:val="21"/>
              </w:rPr>
            </w:pPr>
          </w:p>
        </w:tc>
        <w:tc>
          <w:tcPr>
            <w:tcW w:w="709" w:type="dxa"/>
            <w:vMerge w:val="continue"/>
            <w:noWrap/>
            <w:vAlign w:val="center"/>
          </w:tcPr>
          <w:p w14:paraId="79378E80">
            <w:pPr>
              <w:spacing w:line="320" w:lineRule="exact"/>
              <w:ind w:firstLine="420" w:firstLineChars="200"/>
              <w:jc w:val="left"/>
              <w:rPr>
                <w:rFonts w:ascii="宋体" w:hAnsi="宋体"/>
                <w:color w:val="auto"/>
                <w:szCs w:val="21"/>
              </w:rPr>
            </w:pPr>
          </w:p>
        </w:tc>
        <w:tc>
          <w:tcPr>
            <w:tcW w:w="708" w:type="dxa"/>
            <w:vMerge w:val="continue"/>
            <w:noWrap/>
            <w:vAlign w:val="center"/>
          </w:tcPr>
          <w:p w14:paraId="14A97F66">
            <w:pPr>
              <w:spacing w:line="320" w:lineRule="exact"/>
              <w:ind w:firstLine="420" w:firstLineChars="200"/>
              <w:jc w:val="left"/>
              <w:rPr>
                <w:rFonts w:ascii="宋体" w:hAnsi="宋体"/>
                <w:color w:val="auto"/>
                <w:szCs w:val="21"/>
              </w:rPr>
            </w:pPr>
          </w:p>
        </w:tc>
        <w:tc>
          <w:tcPr>
            <w:tcW w:w="709" w:type="dxa"/>
            <w:vMerge w:val="continue"/>
            <w:noWrap/>
            <w:vAlign w:val="center"/>
          </w:tcPr>
          <w:p w14:paraId="7753C5ED">
            <w:pPr>
              <w:spacing w:line="320" w:lineRule="exact"/>
              <w:ind w:firstLine="420" w:firstLineChars="200"/>
              <w:jc w:val="left"/>
              <w:rPr>
                <w:rFonts w:ascii="宋体" w:hAnsi="宋体"/>
                <w:color w:val="auto"/>
                <w:szCs w:val="21"/>
              </w:rPr>
            </w:pPr>
          </w:p>
        </w:tc>
        <w:tc>
          <w:tcPr>
            <w:tcW w:w="6804" w:type="dxa"/>
            <w:noWrap/>
            <w:vAlign w:val="center"/>
          </w:tcPr>
          <w:p w14:paraId="1430470E">
            <w:pPr>
              <w:spacing w:line="320" w:lineRule="exact"/>
              <w:ind w:firstLine="420" w:firstLineChars="200"/>
              <w:rPr>
                <w:rFonts w:ascii="宋体" w:hAnsi="宋体"/>
                <w:color w:val="auto"/>
                <w:szCs w:val="21"/>
              </w:rPr>
            </w:pPr>
            <w:r>
              <w:rPr>
                <w:rFonts w:hint="eastAsia" w:ascii="宋体" w:hAnsi="宋体"/>
                <w:color w:val="auto"/>
                <w:szCs w:val="21"/>
              </w:rPr>
              <w:t xml:space="preserve"> 登记预约床位患者信息，包括预约登记日期、姓名、性别、年龄、住院号、诊断、联系电话、缴费类型、床位要求、拟入院日期、拟分配床位、特殊情况备注、预约状态等。</w:t>
            </w:r>
          </w:p>
        </w:tc>
        <w:tc>
          <w:tcPr>
            <w:tcW w:w="438" w:type="dxa"/>
            <w:vMerge w:val="continue"/>
            <w:noWrap/>
            <w:vAlign w:val="center"/>
          </w:tcPr>
          <w:p w14:paraId="3CAAE815">
            <w:pPr>
              <w:spacing w:line="320" w:lineRule="exact"/>
              <w:ind w:firstLine="420" w:firstLineChars="200"/>
              <w:jc w:val="center"/>
              <w:rPr>
                <w:rFonts w:ascii="宋体" w:hAnsi="宋体"/>
                <w:color w:val="auto"/>
                <w:szCs w:val="21"/>
              </w:rPr>
            </w:pPr>
          </w:p>
        </w:tc>
      </w:tr>
      <w:tr w14:paraId="5B5D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426" w:type="dxa"/>
            <w:vMerge w:val="continue"/>
            <w:noWrap/>
            <w:vAlign w:val="center"/>
          </w:tcPr>
          <w:p w14:paraId="5188712E">
            <w:pPr>
              <w:spacing w:line="320" w:lineRule="exact"/>
              <w:ind w:firstLine="420" w:firstLineChars="200"/>
              <w:jc w:val="left"/>
              <w:rPr>
                <w:rFonts w:ascii="宋体" w:hAnsi="宋体"/>
                <w:color w:val="auto"/>
                <w:szCs w:val="21"/>
              </w:rPr>
            </w:pPr>
          </w:p>
        </w:tc>
        <w:tc>
          <w:tcPr>
            <w:tcW w:w="709" w:type="dxa"/>
            <w:vMerge w:val="continue"/>
            <w:noWrap/>
            <w:vAlign w:val="center"/>
          </w:tcPr>
          <w:p w14:paraId="76490749">
            <w:pPr>
              <w:spacing w:line="320" w:lineRule="exact"/>
              <w:ind w:firstLine="420" w:firstLineChars="200"/>
              <w:jc w:val="left"/>
              <w:rPr>
                <w:rFonts w:ascii="宋体" w:hAnsi="宋体"/>
                <w:color w:val="auto"/>
                <w:szCs w:val="21"/>
              </w:rPr>
            </w:pPr>
          </w:p>
        </w:tc>
        <w:tc>
          <w:tcPr>
            <w:tcW w:w="708" w:type="dxa"/>
            <w:vMerge w:val="continue"/>
            <w:noWrap/>
            <w:vAlign w:val="center"/>
          </w:tcPr>
          <w:p w14:paraId="25A748F5">
            <w:pPr>
              <w:spacing w:line="320" w:lineRule="exact"/>
              <w:ind w:firstLine="420" w:firstLineChars="200"/>
              <w:jc w:val="left"/>
              <w:rPr>
                <w:rFonts w:ascii="宋体" w:hAnsi="宋体"/>
                <w:color w:val="auto"/>
                <w:szCs w:val="21"/>
              </w:rPr>
            </w:pPr>
          </w:p>
        </w:tc>
        <w:tc>
          <w:tcPr>
            <w:tcW w:w="709" w:type="dxa"/>
            <w:vMerge w:val="continue"/>
            <w:noWrap/>
            <w:vAlign w:val="center"/>
          </w:tcPr>
          <w:p w14:paraId="63DE7453">
            <w:pPr>
              <w:spacing w:line="320" w:lineRule="exact"/>
              <w:ind w:firstLine="420" w:firstLineChars="200"/>
              <w:jc w:val="left"/>
              <w:rPr>
                <w:rFonts w:ascii="宋体" w:hAnsi="宋体"/>
                <w:color w:val="auto"/>
                <w:szCs w:val="21"/>
              </w:rPr>
            </w:pPr>
          </w:p>
        </w:tc>
        <w:tc>
          <w:tcPr>
            <w:tcW w:w="6804" w:type="dxa"/>
            <w:noWrap/>
            <w:vAlign w:val="center"/>
          </w:tcPr>
          <w:p w14:paraId="31531FE6">
            <w:pPr>
              <w:spacing w:line="320" w:lineRule="exact"/>
              <w:ind w:firstLine="525" w:firstLineChars="250"/>
              <w:rPr>
                <w:rFonts w:ascii="宋体" w:hAnsi="宋体"/>
                <w:color w:val="auto"/>
                <w:szCs w:val="21"/>
              </w:rPr>
            </w:pPr>
            <w:r>
              <w:rPr>
                <w:rFonts w:hint="eastAsia" w:ascii="宋体" w:hAnsi="宋体"/>
                <w:color w:val="auto"/>
                <w:szCs w:val="21"/>
              </w:rPr>
              <w:t>实现导出预约登记表。</w:t>
            </w:r>
          </w:p>
        </w:tc>
        <w:tc>
          <w:tcPr>
            <w:tcW w:w="438" w:type="dxa"/>
            <w:vMerge w:val="continue"/>
            <w:noWrap/>
            <w:vAlign w:val="center"/>
          </w:tcPr>
          <w:p w14:paraId="1AF56A8D">
            <w:pPr>
              <w:spacing w:line="320" w:lineRule="exact"/>
              <w:jc w:val="center"/>
              <w:rPr>
                <w:rFonts w:ascii="宋体" w:hAnsi="宋体"/>
                <w:color w:val="auto"/>
                <w:szCs w:val="21"/>
              </w:rPr>
            </w:pPr>
          </w:p>
        </w:tc>
      </w:tr>
      <w:tr w14:paraId="04E0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035B8C5E">
            <w:pPr>
              <w:spacing w:line="320" w:lineRule="exact"/>
              <w:ind w:firstLine="420" w:firstLineChars="200"/>
              <w:jc w:val="left"/>
              <w:rPr>
                <w:rFonts w:ascii="宋体" w:hAnsi="宋体"/>
                <w:color w:val="auto"/>
                <w:szCs w:val="21"/>
              </w:rPr>
            </w:pPr>
          </w:p>
        </w:tc>
        <w:tc>
          <w:tcPr>
            <w:tcW w:w="709" w:type="dxa"/>
            <w:vMerge w:val="continue"/>
            <w:noWrap/>
            <w:vAlign w:val="center"/>
          </w:tcPr>
          <w:p w14:paraId="568035B2">
            <w:pPr>
              <w:spacing w:line="320" w:lineRule="exact"/>
              <w:ind w:firstLine="420" w:firstLineChars="200"/>
              <w:jc w:val="left"/>
              <w:rPr>
                <w:rFonts w:ascii="宋体" w:hAnsi="宋体"/>
                <w:color w:val="auto"/>
                <w:szCs w:val="21"/>
              </w:rPr>
            </w:pPr>
          </w:p>
        </w:tc>
        <w:tc>
          <w:tcPr>
            <w:tcW w:w="708" w:type="dxa"/>
            <w:vMerge w:val="restart"/>
            <w:noWrap/>
            <w:vAlign w:val="center"/>
          </w:tcPr>
          <w:p w14:paraId="0AD2A45D">
            <w:pPr>
              <w:spacing w:line="320" w:lineRule="exact"/>
              <w:jc w:val="left"/>
              <w:rPr>
                <w:rFonts w:ascii="宋体" w:hAnsi="宋体"/>
                <w:color w:val="auto"/>
                <w:szCs w:val="21"/>
              </w:rPr>
            </w:pPr>
            <w:r>
              <w:rPr>
                <w:rFonts w:hint="eastAsia" w:ascii="宋体" w:hAnsi="宋体"/>
                <w:color w:val="auto"/>
                <w:szCs w:val="21"/>
              </w:rPr>
              <w:t>交班管理</w:t>
            </w:r>
          </w:p>
        </w:tc>
        <w:tc>
          <w:tcPr>
            <w:tcW w:w="709" w:type="dxa"/>
            <w:vMerge w:val="restart"/>
            <w:noWrap/>
            <w:vAlign w:val="center"/>
          </w:tcPr>
          <w:p w14:paraId="00476492">
            <w:pPr>
              <w:spacing w:line="320" w:lineRule="exact"/>
              <w:jc w:val="left"/>
              <w:rPr>
                <w:rFonts w:ascii="宋体" w:hAnsi="宋体"/>
                <w:color w:val="auto"/>
                <w:szCs w:val="21"/>
              </w:rPr>
            </w:pPr>
            <w:r>
              <w:rPr>
                <w:rFonts w:hint="eastAsia" w:ascii="宋体" w:hAnsi="宋体"/>
                <w:color w:val="auto"/>
                <w:szCs w:val="21"/>
              </w:rPr>
              <w:t>交班管理</w:t>
            </w:r>
          </w:p>
        </w:tc>
        <w:tc>
          <w:tcPr>
            <w:tcW w:w="6804" w:type="dxa"/>
            <w:noWrap/>
            <w:vAlign w:val="center"/>
          </w:tcPr>
          <w:p w14:paraId="3356EFDE">
            <w:pPr>
              <w:spacing w:line="320" w:lineRule="exact"/>
              <w:ind w:firstLine="420" w:firstLineChars="200"/>
              <w:rPr>
                <w:rFonts w:ascii="宋体" w:hAnsi="宋体"/>
                <w:color w:val="auto"/>
                <w:szCs w:val="21"/>
              </w:rPr>
            </w:pPr>
            <w:r>
              <w:rPr>
                <w:rFonts w:hint="eastAsia" w:ascii="宋体" w:hAnsi="宋体"/>
                <w:color w:val="auto"/>
                <w:szCs w:val="21"/>
              </w:rPr>
              <w:t>实现设置交接时间点。</w:t>
            </w:r>
          </w:p>
        </w:tc>
        <w:tc>
          <w:tcPr>
            <w:tcW w:w="438" w:type="dxa"/>
            <w:vMerge w:val="continue"/>
            <w:noWrap/>
            <w:vAlign w:val="center"/>
          </w:tcPr>
          <w:p w14:paraId="5A8683F7">
            <w:pPr>
              <w:spacing w:line="320" w:lineRule="exact"/>
              <w:ind w:firstLine="420" w:firstLineChars="200"/>
              <w:jc w:val="center"/>
              <w:rPr>
                <w:rFonts w:ascii="宋体" w:hAnsi="宋体"/>
                <w:color w:val="auto"/>
                <w:szCs w:val="21"/>
              </w:rPr>
            </w:pPr>
          </w:p>
        </w:tc>
      </w:tr>
      <w:tr w14:paraId="67B6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26" w:type="dxa"/>
            <w:vMerge w:val="continue"/>
            <w:noWrap/>
            <w:vAlign w:val="center"/>
          </w:tcPr>
          <w:p w14:paraId="029149C4">
            <w:pPr>
              <w:spacing w:line="320" w:lineRule="exact"/>
              <w:ind w:firstLine="420" w:firstLineChars="200"/>
              <w:jc w:val="left"/>
              <w:rPr>
                <w:rFonts w:ascii="宋体" w:hAnsi="宋体"/>
                <w:color w:val="auto"/>
                <w:szCs w:val="21"/>
              </w:rPr>
            </w:pPr>
          </w:p>
        </w:tc>
        <w:tc>
          <w:tcPr>
            <w:tcW w:w="709" w:type="dxa"/>
            <w:vMerge w:val="continue"/>
            <w:noWrap/>
            <w:vAlign w:val="center"/>
          </w:tcPr>
          <w:p w14:paraId="38528818">
            <w:pPr>
              <w:spacing w:line="320" w:lineRule="exact"/>
              <w:ind w:firstLine="420" w:firstLineChars="200"/>
              <w:jc w:val="left"/>
              <w:rPr>
                <w:rFonts w:ascii="宋体" w:hAnsi="宋体"/>
                <w:color w:val="auto"/>
                <w:szCs w:val="21"/>
              </w:rPr>
            </w:pPr>
          </w:p>
        </w:tc>
        <w:tc>
          <w:tcPr>
            <w:tcW w:w="708" w:type="dxa"/>
            <w:vMerge w:val="continue"/>
            <w:noWrap/>
            <w:vAlign w:val="center"/>
          </w:tcPr>
          <w:p w14:paraId="2204F73F">
            <w:pPr>
              <w:spacing w:line="320" w:lineRule="exact"/>
              <w:ind w:firstLine="420" w:firstLineChars="200"/>
              <w:jc w:val="left"/>
              <w:rPr>
                <w:rFonts w:ascii="宋体" w:hAnsi="宋体"/>
                <w:color w:val="auto"/>
                <w:szCs w:val="21"/>
              </w:rPr>
            </w:pPr>
          </w:p>
        </w:tc>
        <w:tc>
          <w:tcPr>
            <w:tcW w:w="709" w:type="dxa"/>
            <w:vMerge w:val="continue"/>
            <w:noWrap/>
            <w:vAlign w:val="center"/>
          </w:tcPr>
          <w:p w14:paraId="6F8083FF">
            <w:pPr>
              <w:spacing w:line="320" w:lineRule="exact"/>
              <w:ind w:firstLine="420" w:firstLineChars="200"/>
              <w:jc w:val="left"/>
              <w:rPr>
                <w:rFonts w:ascii="宋体" w:hAnsi="宋体"/>
                <w:color w:val="auto"/>
                <w:szCs w:val="21"/>
              </w:rPr>
            </w:pPr>
          </w:p>
        </w:tc>
        <w:tc>
          <w:tcPr>
            <w:tcW w:w="6804" w:type="dxa"/>
            <w:noWrap/>
            <w:vAlign w:val="center"/>
          </w:tcPr>
          <w:p w14:paraId="295AB651">
            <w:pPr>
              <w:spacing w:line="320" w:lineRule="exact"/>
              <w:ind w:firstLine="420" w:firstLineChars="200"/>
              <w:rPr>
                <w:rFonts w:ascii="宋体" w:hAnsi="宋体"/>
                <w:color w:val="auto"/>
                <w:szCs w:val="21"/>
              </w:rPr>
            </w:pPr>
            <w:r>
              <w:rPr>
                <w:rFonts w:hint="eastAsia" w:ascii="宋体" w:hAnsi="宋体"/>
                <w:color w:val="auto"/>
                <w:szCs w:val="21"/>
              </w:rPr>
              <w:t>实现设置病区特色患者标记和护理问题。可以自定义标记和护理问题，可以调整标记的顺序，可以设置标记患者的区域颜色。</w:t>
            </w:r>
          </w:p>
        </w:tc>
        <w:tc>
          <w:tcPr>
            <w:tcW w:w="438" w:type="dxa"/>
            <w:vMerge w:val="continue"/>
            <w:noWrap/>
            <w:vAlign w:val="center"/>
          </w:tcPr>
          <w:p w14:paraId="5F4FAD8B">
            <w:pPr>
              <w:spacing w:line="320" w:lineRule="exact"/>
              <w:ind w:firstLine="420" w:firstLineChars="200"/>
              <w:jc w:val="center"/>
              <w:rPr>
                <w:rFonts w:ascii="宋体" w:hAnsi="宋体"/>
                <w:color w:val="auto"/>
                <w:szCs w:val="21"/>
              </w:rPr>
            </w:pPr>
          </w:p>
        </w:tc>
      </w:tr>
      <w:tr w14:paraId="3388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426" w:type="dxa"/>
            <w:vMerge w:val="continue"/>
            <w:noWrap/>
            <w:vAlign w:val="center"/>
          </w:tcPr>
          <w:p w14:paraId="572E0FF6">
            <w:pPr>
              <w:spacing w:line="320" w:lineRule="exact"/>
              <w:ind w:firstLine="420" w:firstLineChars="200"/>
              <w:jc w:val="left"/>
              <w:rPr>
                <w:rFonts w:ascii="宋体" w:hAnsi="宋体"/>
                <w:color w:val="auto"/>
                <w:szCs w:val="21"/>
              </w:rPr>
            </w:pPr>
          </w:p>
        </w:tc>
        <w:tc>
          <w:tcPr>
            <w:tcW w:w="709" w:type="dxa"/>
            <w:vMerge w:val="continue"/>
            <w:noWrap/>
            <w:vAlign w:val="center"/>
          </w:tcPr>
          <w:p w14:paraId="640CF493">
            <w:pPr>
              <w:spacing w:line="320" w:lineRule="exact"/>
              <w:ind w:firstLine="420" w:firstLineChars="200"/>
              <w:jc w:val="left"/>
              <w:rPr>
                <w:rFonts w:ascii="宋体" w:hAnsi="宋体"/>
                <w:color w:val="auto"/>
                <w:szCs w:val="21"/>
              </w:rPr>
            </w:pPr>
          </w:p>
        </w:tc>
        <w:tc>
          <w:tcPr>
            <w:tcW w:w="708" w:type="dxa"/>
            <w:vMerge w:val="continue"/>
            <w:noWrap/>
            <w:vAlign w:val="center"/>
          </w:tcPr>
          <w:p w14:paraId="3D7C2566">
            <w:pPr>
              <w:spacing w:line="320" w:lineRule="exact"/>
              <w:ind w:firstLine="420" w:firstLineChars="200"/>
              <w:jc w:val="left"/>
              <w:rPr>
                <w:rFonts w:ascii="宋体" w:hAnsi="宋体"/>
                <w:color w:val="auto"/>
                <w:szCs w:val="21"/>
              </w:rPr>
            </w:pPr>
          </w:p>
        </w:tc>
        <w:tc>
          <w:tcPr>
            <w:tcW w:w="709" w:type="dxa"/>
            <w:vMerge w:val="continue"/>
            <w:noWrap/>
            <w:vAlign w:val="center"/>
          </w:tcPr>
          <w:p w14:paraId="37EBC839">
            <w:pPr>
              <w:spacing w:line="320" w:lineRule="exact"/>
              <w:ind w:firstLine="420" w:firstLineChars="200"/>
              <w:jc w:val="left"/>
              <w:rPr>
                <w:rFonts w:ascii="宋体" w:hAnsi="宋体"/>
                <w:color w:val="auto"/>
                <w:szCs w:val="21"/>
              </w:rPr>
            </w:pPr>
          </w:p>
        </w:tc>
        <w:tc>
          <w:tcPr>
            <w:tcW w:w="6804" w:type="dxa"/>
            <w:noWrap/>
            <w:vAlign w:val="center"/>
          </w:tcPr>
          <w:p w14:paraId="5CF20547">
            <w:pPr>
              <w:spacing w:line="320" w:lineRule="exact"/>
              <w:ind w:firstLine="420" w:firstLineChars="200"/>
              <w:rPr>
                <w:rFonts w:ascii="宋体" w:hAnsi="宋体"/>
                <w:color w:val="auto"/>
                <w:szCs w:val="21"/>
              </w:rPr>
            </w:pPr>
            <w:r>
              <w:rPr>
                <w:rFonts w:hint="eastAsia" w:ascii="宋体" w:hAnsi="宋体"/>
                <w:color w:val="auto"/>
                <w:szCs w:val="21"/>
              </w:rPr>
              <w:t xml:space="preserve"> 自动同步交互平台病区概览的患者标记。交接患者根据标记自动筛选。可以修改要交接的患者，可以修改患者标记，可以修改患者的护理问题。</w:t>
            </w:r>
          </w:p>
        </w:tc>
        <w:tc>
          <w:tcPr>
            <w:tcW w:w="438" w:type="dxa"/>
            <w:vMerge w:val="continue"/>
            <w:noWrap/>
            <w:vAlign w:val="center"/>
          </w:tcPr>
          <w:p w14:paraId="2A955941">
            <w:pPr>
              <w:spacing w:line="320" w:lineRule="exact"/>
              <w:ind w:firstLine="420" w:firstLineChars="200"/>
              <w:jc w:val="center"/>
              <w:rPr>
                <w:rFonts w:ascii="宋体" w:hAnsi="宋体"/>
                <w:color w:val="auto"/>
                <w:szCs w:val="21"/>
              </w:rPr>
            </w:pPr>
          </w:p>
        </w:tc>
      </w:tr>
      <w:tr w14:paraId="17DE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7B52CAB3">
            <w:pPr>
              <w:spacing w:line="320" w:lineRule="exact"/>
              <w:ind w:firstLine="420" w:firstLineChars="200"/>
              <w:jc w:val="left"/>
              <w:rPr>
                <w:rFonts w:ascii="宋体" w:hAnsi="宋体"/>
                <w:color w:val="auto"/>
                <w:szCs w:val="21"/>
              </w:rPr>
            </w:pPr>
          </w:p>
        </w:tc>
        <w:tc>
          <w:tcPr>
            <w:tcW w:w="709" w:type="dxa"/>
            <w:vMerge w:val="continue"/>
            <w:noWrap/>
            <w:vAlign w:val="center"/>
          </w:tcPr>
          <w:p w14:paraId="1CA531D5">
            <w:pPr>
              <w:spacing w:line="320" w:lineRule="exact"/>
              <w:ind w:firstLine="420" w:firstLineChars="200"/>
              <w:jc w:val="left"/>
              <w:rPr>
                <w:rFonts w:ascii="宋体" w:hAnsi="宋体"/>
                <w:color w:val="auto"/>
                <w:szCs w:val="21"/>
              </w:rPr>
            </w:pPr>
          </w:p>
        </w:tc>
        <w:tc>
          <w:tcPr>
            <w:tcW w:w="708" w:type="dxa"/>
            <w:vMerge w:val="continue"/>
            <w:noWrap/>
            <w:vAlign w:val="center"/>
          </w:tcPr>
          <w:p w14:paraId="45013713">
            <w:pPr>
              <w:spacing w:line="320" w:lineRule="exact"/>
              <w:ind w:firstLine="420" w:firstLineChars="200"/>
              <w:jc w:val="left"/>
              <w:rPr>
                <w:rFonts w:ascii="宋体" w:hAnsi="宋体"/>
                <w:color w:val="auto"/>
                <w:szCs w:val="21"/>
              </w:rPr>
            </w:pPr>
          </w:p>
        </w:tc>
        <w:tc>
          <w:tcPr>
            <w:tcW w:w="709" w:type="dxa"/>
            <w:vMerge w:val="continue"/>
            <w:noWrap/>
            <w:vAlign w:val="center"/>
          </w:tcPr>
          <w:p w14:paraId="30DB3FD2">
            <w:pPr>
              <w:spacing w:line="320" w:lineRule="exact"/>
              <w:ind w:firstLine="420" w:firstLineChars="200"/>
              <w:jc w:val="left"/>
              <w:rPr>
                <w:rFonts w:ascii="宋体" w:hAnsi="宋体"/>
                <w:color w:val="auto"/>
                <w:szCs w:val="21"/>
              </w:rPr>
            </w:pPr>
          </w:p>
        </w:tc>
        <w:tc>
          <w:tcPr>
            <w:tcW w:w="6804" w:type="dxa"/>
            <w:noWrap/>
            <w:vAlign w:val="center"/>
          </w:tcPr>
          <w:p w14:paraId="01401D22">
            <w:pPr>
              <w:spacing w:line="320" w:lineRule="exact"/>
              <w:ind w:firstLine="420" w:firstLineChars="200"/>
              <w:rPr>
                <w:rFonts w:ascii="宋体" w:hAnsi="宋体"/>
                <w:color w:val="auto"/>
                <w:szCs w:val="21"/>
              </w:rPr>
            </w:pPr>
            <w:r>
              <w:rPr>
                <w:rFonts w:hint="eastAsia" w:ascii="宋体" w:hAnsi="宋体"/>
                <w:color w:val="auto"/>
                <w:szCs w:val="21"/>
              </w:rPr>
              <w:t>实现通过患者标记筛选患者类型。实现快速搜索患者</w:t>
            </w:r>
          </w:p>
        </w:tc>
        <w:tc>
          <w:tcPr>
            <w:tcW w:w="438" w:type="dxa"/>
            <w:vMerge w:val="continue"/>
            <w:noWrap/>
            <w:vAlign w:val="center"/>
          </w:tcPr>
          <w:p w14:paraId="3E2CC595">
            <w:pPr>
              <w:spacing w:line="320" w:lineRule="exact"/>
              <w:ind w:firstLine="420" w:firstLineChars="200"/>
              <w:jc w:val="center"/>
              <w:rPr>
                <w:rFonts w:ascii="宋体" w:hAnsi="宋体"/>
                <w:color w:val="auto"/>
                <w:szCs w:val="21"/>
              </w:rPr>
            </w:pPr>
          </w:p>
        </w:tc>
      </w:tr>
      <w:tr w14:paraId="7436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6" w:type="dxa"/>
            <w:vMerge w:val="continue"/>
            <w:noWrap/>
            <w:vAlign w:val="center"/>
          </w:tcPr>
          <w:p w14:paraId="20351097">
            <w:pPr>
              <w:spacing w:line="320" w:lineRule="exact"/>
              <w:ind w:firstLine="420" w:firstLineChars="200"/>
              <w:jc w:val="left"/>
              <w:rPr>
                <w:rFonts w:ascii="宋体" w:hAnsi="宋体"/>
                <w:color w:val="auto"/>
                <w:szCs w:val="21"/>
              </w:rPr>
            </w:pPr>
          </w:p>
        </w:tc>
        <w:tc>
          <w:tcPr>
            <w:tcW w:w="709" w:type="dxa"/>
            <w:vMerge w:val="continue"/>
            <w:noWrap/>
            <w:vAlign w:val="center"/>
          </w:tcPr>
          <w:p w14:paraId="153AF691">
            <w:pPr>
              <w:spacing w:line="320" w:lineRule="exact"/>
              <w:ind w:firstLine="420" w:firstLineChars="200"/>
              <w:jc w:val="left"/>
              <w:rPr>
                <w:rFonts w:ascii="宋体" w:hAnsi="宋体"/>
                <w:color w:val="auto"/>
                <w:szCs w:val="21"/>
              </w:rPr>
            </w:pPr>
          </w:p>
        </w:tc>
        <w:tc>
          <w:tcPr>
            <w:tcW w:w="708" w:type="dxa"/>
            <w:vMerge w:val="continue"/>
            <w:noWrap/>
            <w:vAlign w:val="center"/>
          </w:tcPr>
          <w:p w14:paraId="0ABBD42A">
            <w:pPr>
              <w:spacing w:line="320" w:lineRule="exact"/>
              <w:ind w:firstLine="420" w:firstLineChars="200"/>
              <w:jc w:val="left"/>
              <w:rPr>
                <w:rFonts w:ascii="宋体" w:hAnsi="宋体"/>
                <w:color w:val="auto"/>
                <w:szCs w:val="21"/>
              </w:rPr>
            </w:pPr>
          </w:p>
        </w:tc>
        <w:tc>
          <w:tcPr>
            <w:tcW w:w="709" w:type="dxa"/>
            <w:vMerge w:val="continue"/>
            <w:noWrap/>
            <w:vAlign w:val="center"/>
          </w:tcPr>
          <w:p w14:paraId="2878C73C">
            <w:pPr>
              <w:spacing w:line="320" w:lineRule="exact"/>
              <w:ind w:firstLine="420" w:firstLineChars="200"/>
              <w:jc w:val="left"/>
              <w:rPr>
                <w:rFonts w:ascii="宋体" w:hAnsi="宋体"/>
                <w:color w:val="auto"/>
                <w:szCs w:val="21"/>
              </w:rPr>
            </w:pPr>
          </w:p>
        </w:tc>
        <w:tc>
          <w:tcPr>
            <w:tcW w:w="6804" w:type="dxa"/>
            <w:noWrap/>
            <w:vAlign w:val="center"/>
          </w:tcPr>
          <w:p w14:paraId="245D3116">
            <w:pPr>
              <w:spacing w:line="320" w:lineRule="exact"/>
              <w:ind w:firstLine="420" w:firstLineChars="200"/>
              <w:rPr>
                <w:rFonts w:ascii="宋体" w:hAnsi="宋体"/>
                <w:color w:val="auto"/>
                <w:szCs w:val="21"/>
              </w:rPr>
            </w:pPr>
            <w:r>
              <w:rPr>
                <w:rFonts w:hint="eastAsia" w:ascii="宋体" w:hAnsi="宋体"/>
                <w:color w:val="auto"/>
                <w:szCs w:val="21"/>
              </w:rPr>
              <w:t>实现自动生成或手动引用指定信息，包括但不限于新入院/新转入时间、手术信息、风险评估信息、体征、医嘱、病历、检验、检查等。</w:t>
            </w:r>
          </w:p>
        </w:tc>
        <w:tc>
          <w:tcPr>
            <w:tcW w:w="438" w:type="dxa"/>
            <w:vMerge w:val="continue"/>
            <w:noWrap/>
            <w:vAlign w:val="center"/>
          </w:tcPr>
          <w:p w14:paraId="4E080617">
            <w:pPr>
              <w:spacing w:line="320" w:lineRule="exact"/>
              <w:ind w:firstLine="420" w:firstLineChars="200"/>
              <w:jc w:val="center"/>
              <w:rPr>
                <w:rFonts w:ascii="宋体" w:hAnsi="宋体"/>
                <w:color w:val="auto"/>
                <w:szCs w:val="21"/>
              </w:rPr>
            </w:pPr>
          </w:p>
        </w:tc>
      </w:tr>
      <w:tr w14:paraId="3DCB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774320E6">
            <w:pPr>
              <w:spacing w:line="320" w:lineRule="exact"/>
              <w:ind w:firstLine="420" w:firstLineChars="200"/>
              <w:jc w:val="left"/>
              <w:rPr>
                <w:rFonts w:ascii="宋体" w:hAnsi="宋体"/>
                <w:color w:val="auto"/>
                <w:szCs w:val="21"/>
              </w:rPr>
            </w:pPr>
          </w:p>
        </w:tc>
        <w:tc>
          <w:tcPr>
            <w:tcW w:w="709" w:type="dxa"/>
            <w:vMerge w:val="continue"/>
            <w:noWrap/>
            <w:vAlign w:val="center"/>
          </w:tcPr>
          <w:p w14:paraId="77669AC5">
            <w:pPr>
              <w:spacing w:line="320" w:lineRule="exact"/>
              <w:ind w:firstLine="420" w:firstLineChars="200"/>
              <w:jc w:val="left"/>
              <w:rPr>
                <w:rFonts w:ascii="宋体" w:hAnsi="宋体"/>
                <w:color w:val="auto"/>
                <w:szCs w:val="21"/>
              </w:rPr>
            </w:pPr>
          </w:p>
        </w:tc>
        <w:tc>
          <w:tcPr>
            <w:tcW w:w="708" w:type="dxa"/>
            <w:vMerge w:val="continue"/>
            <w:noWrap/>
            <w:vAlign w:val="center"/>
          </w:tcPr>
          <w:p w14:paraId="795690E7">
            <w:pPr>
              <w:spacing w:line="320" w:lineRule="exact"/>
              <w:ind w:firstLine="420" w:firstLineChars="200"/>
              <w:jc w:val="left"/>
              <w:rPr>
                <w:rFonts w:ascii="宋体" w:hAnsi="宋体"/>
                <w:color w:val="auto"/>
                <w:szCs w:val="21"/>
              </w:rPr>
            </w:pPr>
          </w:p>
        </w:tc>
        <w:tc>
          <w:tcPr>
            <w:tcW w:w="709" w:type="dxa"/>
            <w:vMerge w:val="continue"/>
            <w:noWrap/>
            <w:vAlign w:val="center"/>
          </w:tcPr>
          <w:p w14:paraId="6A016518">
            <w:pPr>
              <w:spacing w:line="320" w:lineRule="exact"/>
              <w:ind w:firstLine="420" w:firstLineChars="200"/>
              <w:jc w:val="left"/>
              <w:rPr>
                <w:rFonts w:ascii="宋体" w:hAnsi="宋体"/>
                <w:color w:val="auto"/>
                <w:szCs w:val="21"/>
              </w:rPr>
            </w:pPr>
          </w:p>
        </w:tc>
        <w:tc>
          <w:tcPr>
            <w:tcW w:w="6804" w:type="dxa"/>
            <w:noWrap/>
            <w:vAlign w:val="center"/>
          </w:tcPr>
          <w:p w14:paraId="5B107586">
            <w:pPr>
              <w:spacing w:line="320" w:lineRule="exact"/>
              <w:ind w:firstLine="420" w:firstLineChars="200"/>
              <w:rPr>
                <w:rFonts w:ascii="宋体" w:hAnsi="宋体"/>
                <w:color w:val="auto"/>
                <w:szCs w:val="21"/>
              </w:rPr>
            </w:pPr>
            <w:r>
              <w:rPr>
                <w:rFonts w:hint="eastAsia" w:ascii="宋体" w:hAnsi="宋体"/>
                <w:color w:val="auto"/>
                <w:szCs w:val="21"/>
              </w:rPr>
              <w:t>实现查看任意交接周期的记录内容。</w:t>
            </w:r>
          </w:p>
        </w:tc>
        <w:tc>
          <w:tcPr>
            <w:tcW w:w="438" w:type="dxa"/>
            <w:vMerge w:val="continue"/>
            <w:noWrap/>
            <w:vAlign w:val="center"/>
          </w:tcPr>
          <w:p w14:paraId="70DE9830">
            <w:pPr>
              <w:spacing w:line="320" w:lineRule="exact"/>
              <w:ind w:firstLine="420" w:firstLineChars="200"/>
              <w:jc w:val="center"/>
              <w:rPr>
                <w:rFonts w:ascii="宋体" w:hAnsi="宋体"/>
                <w:color w:val="auto"/>
                <w:szCs w:val="21"/>
              </w:rPr>
            </w:pPr>
          </w:p>
        </w:tc>
      </w:tr>
      <w:tr w14:paraId="7DA5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6" w:type="dxa"/>
            <w:vMerge w:val="continue"/>
            <w:noWrap/>
            <w:vAlign w:val="center"/>
          </w:tcPr>
          <w:p w14:paraId="57E414FF">
            <w:pPr>
              <w:spacing w:line="320" w:lineRule="exact"/>
              <w:ind w:firstLine="420" w:firstLineChars="200"/>
              <w:jc w:val="left"/>
              <w:rPr>
                <w:rFonts w:ascii="宋体" w:hAnsi="宋体"/>
                <w:color w:val="auto"/>
                <w:szCs w:val="21"/>
              </w:rPr>
            </w:pPr>
          </w:p>
        </w:tc>
        <w:tc>
          <w:tcPr>
            <w:tcW w:w="709" w:type="dxa"/>
            <w:vMerge w:val="continue"/>
            <w:noWrap/>
            <w:vAlign w:val="center"/>
          </w:tcPr>
          <w:p w14:paraId="00E4D2C5">
            <w:pPr>
              <w:spacing w:line="320" w:lineRule="exact"/>
              <w:ind w:firstLine="420" w:firstLineChars="200"/>
              <w:jc w:val="left"/>
              <w:rPr>
                <w:rFonts w:ascii="宋体" w:hAnsi="宋体"/>
                <w:color w:val="auto"/>
                <w:szCs w:val="21"/>
              </w:rPr>
            </w:pPr>
          </w:p>
        </w:tc>
        <w:tc>
          <w:tcPr>
            <w:tcW w:w="708" w:type="dxa"/>
            <w:vMerge w:val="continue"/>
            <w:noWrap/>
            <w:vAlign w:val="center"/>
          </w:tcPr>
          <w:p w14:paraId="480418FB">
            <w:pPr>
              <w:spacing w:line="320" w:lineRule="exact"/>
              <w:ind w:firstLine="420" w:firstLineChars="200"/>
              <w:jc w:val="left"/>
              <w:rPr>
                <w:rFonts w:ascii="宋体" w:hAnsi="宋体"/>
                <w:color w:val="auto"/>
                <w:szCs w:val="21"/>
              </w:rPr>
            </w:pPr>
          </w:p>
        </w:tc>
        <w:tc>
          <w:tcPr>
            <w:tcW w:w="709" w:type="dxa"/>
            <w:vMerge w:val="continue"/>
            <w:noWrap/>
            <w:vAlign w:val="center"/>
          </w:tcPr>
          <w:p w14:paraId="58010D43">
            <w:pPr>
              <w:spacing w:line="320" w:lineRule="exact"/>
              <w:ind w:firstLine="420" w:firstLineChars="200"/>
              <w:jc w:val="left"/>
              <w:rPr>
                <w:rFonts w:ascii="宋体" w:hAnsi="宋体"/>
                <w:color w:val="auto"/>
                <w:szCs w:val="21"/>
              </w:rPr>
            </w:pPr>
          </w:p>
        </w:tc>
        <w:tc>
          <w:tcPr>
            <w:tcW w:w="6804" w:type="dxa"/>
            <w:noWrap/>
            <w:vAlign w:val="center"/>
          </w:tcPr>
          <w:p w14:paraId="4D46FA73">
            <w:pPr>
              <w:spacing w:line="320" w:lineRule="exact"/>
              <w:ind w:firstLine="420" w:firstLineChars="200"/>
              <w:rPr>
                <w:rFonts w:ascii="宋体" w:hAnsi="宋体"/>
                <w:color w:val="auto"/>
                <w:szCs w:val="21"/>
              </w:rPr>
            </w:pPr>
            <w:r>
              <w:rPr>
                <w:rFonts w:hint="eastAsia" w:ascii="宋体" w:hAnsi="宋体"/>
                <w:color w:val="auto"/>
                <w:szCs w:val="21"/>
              </w:rPr>
              <w:t>实现打印病区交班报告表。</w:t>
            </w:r>
          </w:p>
        </w:tc>
        <w:tc>
          <w:tcPr>
            <w:tcW w:w="438" w:type="dxa"/>
            <w:vMerge w:val="continue"/>
            <w:noWrap/>
            <w:vAlign w:val="center"/>
          </w:tcPr>
          <w:p w14:paraId="53EEB117">
            <w:pPr>
              <w:spacing w:line="320" w:lineRule="exact"/>
              <w:ind w:firstLine="420" w:firstLineChars="200"/>
              <w:jc w:val="center"/>
              <w:rPr>
                <w:rFonts w:ascii="宋体" w:hAnsi="宋体"/>
                <w:color w:val="auto"/>
                <w:szCs w:val="21"/>
              </w:rPr>
            </w:pPr>
          </w:p>
        </w:tc>
      </w:tr>
      <w:tr w14:paraId="08A2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9" w:hRule="atLeast"/>
        </w:trPr>
        <w:tc>
          <w:tcPr>
            <w:tcW w:w="426" w:type="dxa"/>
            <w:vMerge w:val="continue"/>
            <w:noWrap/>
            <w:vAlign w:val="center"/>
          </w:tcPr>
          <w:p w14:paraId="652419CA">
            <w:pPr>
              <w:spacing w:line="320" w:lineRule="exact"/>
              <w:ind w:firstLine="420" w:firstLineChars="200"/>
              <w:jc w:val="left"/>
              <w:rPr>
                <w:rFonts w:ascii="宋体" w:hAnsi="宋体"/>
                <w:color w:val="auto"/>
                <w:szCs w:val="21"/>
              </w:rPr>
            </w:pPr>
          </w:p>
        </w:tc>
        <w:tc>
          <w:tcPr>
            <w:tcW w:w="709" w:type="dxa"/>
            <w:noWrap/>
            <w:vAlign w:val="center"/>
          </w:tcPr>
          <w:p w14:paraId="6CF7891D">
            <w:pPr>
              <w:spacing w:line="320" w:lineRule="exact"/>
              <w:jc w:val="left"/>
              <w:rPr>
                <w:rFonts w:ascii="宋体" w:hAnsi="宋体"/>
                <w:color w:val="auto"/>
                <w:szCs w:val="21"/>
              </w:rPr>
            </w:pPr>
            <w:r>
              <w:rPr>
                <w:rFonts w:hint="eastAsia" w:ascii="宋体" w:hAnsi="宋体"/>
                <w:color w:val="auto"/>
                <w:szCs w:val="21"/>
              </w:rPr>
              <w:t>系统功能</w:t>
            </w:r>
          </w:p>
        </w:tc>
        <w:tc>
          <w:tcPr>
            <w:tcW w:w="708" w:type="dxa"/>
            <w:noWrap/>
            <w:vAlign w:val="center"/>
          </w:tcPr>
          <w:p w14:paraId="24C94479">
            <w:pPr>
              <w:spacing w:line="320" w:lineRule="exact"/>
              <w:ind w:firstLine="420" w:firstLineChars="200"/>
              <w:jc w:val="left"/>
              <w:rPr>
                <w:rFonts w:ascii="宋体" w:hAnsi="宋体"/>
                <w:color w:val="auto"/>
                <w:szCs w:val="21"/>
              </w:rPr>
            </w:pPr>
          </w:p>
        </w:tc>
        <w:tc>
          <w:tcPr>
            <w:tcW w:w="709" w:type="dxa"/>
            <w:noWrap/>
            <w:vAlign w:val="center"/>
          </w:tcPr>
          <w:p w14:paraId="08653065">
            <w:pPr>
              <w:spacing w:line="320" w:lineRule="exact"/>
              <w:ind w:firstLine="420" w:firstLineChars="200"/>
              <w:jc w:val="left"/>
              <w:rPr>
                <w:rFonts w:ascii="宋体" w:hAnsi="宋体"/>
                <w:color w:val="auto"/>
                <w:szCs w:val="21"/>
              </w:rPr>
            </w:pPr>
          </w:p>
        </w:tc>
        <w:tc>
          <w:tcPr>
            <w:tcW w:w="6804" w:type="dxa"/>
            <w:noWrap/>
            <w:vAlign w:val="center"/>
          </w:tcPr>
          <w:p w14:paraId="703C262C">
            <w:pPr>
              <w:spacing w:line="320" w:lineRule="exact"/>
              <w:ind w:firstLine="420" w:firstLineChars="200"/>
              <w:rPr>
                <w:rFonts w:ascii="宋体" w:hAnsi="宋体"/>
                <w:color w:val="auto"/>
                <w:szCs w:val="21"/>
              </w:rPr>
            </w:pPr>
            <w:r>
              <w:rPr>
                <w:rFonts w:ascii="宋体" w:hAnsi="宋体"/>
                <w:color w:val="auto"/>
                <w:szCs w:val="21"/>
              </w:rPr>
              <w:t>系统满足电子病历系统功能应用水平分级评价5级以上相关要求、系统满足互联互通标准化成熟度四级甲等以上标准相关要求、系统满足医院智慧服务分级评估3级以上相关要求。</w:t>
            </w:r>
          </w:p>
          <w:p w14:paraId="705AB551">
            <w:pPr>
              <w:spacing w:line="320" w:lineRule="exact"/>
              <w:ind w:firstLine="420" w:firstLineChars="200"/>
              <w:rPr>
                <w:rFonts w:ascii="宋体" w:hAnsi="宋体"/>
                <w:color w:val="auto"/>
                <w:szCs w:val="21"/>
              </w:rPr>
            </w:pPr>
            <w:r>
              <w:rPr>
                <w:rFonts w:ascii="宋体" w:hAnsi="宋体"/>
                <w:color w:val="auto"/>
                <w:szCs w:val="21"/>
              </w:rPr>
              <w:t>系统免费与医院相关系统无缝对接，</w:t>
            </w:r>
            <w:r>
              <w:rPr>
                <w:rFonts w:hint="eastAsia" w:ascii="宋体" w:hAnsi="宋体"/>
                <w:color w:val="auto"/>
                <w:szCs w:val="21"/>
              </w:rPr>
              <w:t>实现信息互联共享，</w:t>
            </w:r>
            <w:r>
              <w:rPr>
                <w:rFonts w:ascii="宋体" w:hAnsi="宋体"/>
                <w:color w:val="auto"/>
                <w:szCs w:val="21"/>
              </w:rPr>
              <w:t>包含但不限于</w:t>
            </w:r>
            <w:r>
              <w:rPr>
                <w:rFonts w:hint="eastAsia" w:ascii="宋体" w:hAnsi="宋体"/>
                <w:color w:val="auto"/>
                <w:szCs w:val="21"/>
              </w:rPr>
              <w:t>以下系统或平台</w:t>
            </w:r>
            <w:r>
              <w:rPr>
                <w:rFonts w:ascii="宋体" w:hAnsi="宋体"/>
                <w:color w:val="auto"/>
                <w:szCs w:val="21"/>
              </w:rPr>
              <w:t>：集成平台、数据中心、his系统、pacs系统、lis系统、病理系统、心电图系统、电子</w:t>
            </w:r>
            <w:r>
              <w:rPr>
                <w:rFonts w:hint="eastAsia" w:ascii="宋体" w:hAnsi="宋体"/>
                <w:color w:val="auto"/>
                <w:szCs w:val="21"/>
              </w:rPr>
              <w:t>病历</w:t>
            </w:r>
            <w:r>
              <w:rPr>
                <w:rFonts w:ascii="宋体" w:hAnsi="宋体"/>
                <w:color w:val="auto"/>
                <w:szCs w:val="21"/>
              </w:rPr>
              <w:t>系统无缝对接等，具体以医院实际需求为准。</w:t>
            </w:r>
          </w:p>
          <w:p w14:paraId="304E33D1">
            <w:pPr>
              <w:spacing w:line="320" w:lineRule="exact"/>
              <w:ind w:firstLine="420" w:firstLineChars="200"/>
              <w:rPr>
                <w:rFonts w:ascii="宋体" w:hAnsi="宋体"/>
                <w:color w:val="auto"/>
                <w:szCs w:val="21"/>
              </w:rPr>
            </w:pPr>
            <w:r>
              <w:rPr>
                <w:rFonts w:hint="eastAsia" w:ascii="宋体" w:hAnsi="宋体"/>
                <w:color w:val="auto"/>
                <w:szCs w:val="21"/>
              </w:rPr>
              <w:t>提供本地化开发服务</w:t>
            </w:r>
            <w:r>
              <w:rPr>
                <w:rFonts w:ascii="宋体" w:hAnsi="宋体"/>
                <w:color w:val="auto"/>
                <w:szCs w:val="21"/>
              </w:rPr>
              <w:t>，</w:t>
            </w:r>
            <w:r>
              <w:rPr>
                <w:rFonts w:hint="eastAsia" w:ascii="宋体" w:hAnsi="宋体"/>
                <w:color w:val="auto"/>
                <w:szCs w:val="21"/>
              </w:rPr>
              <w:t>交互平台上显示内容</w:t>
            </w:r>
            <w:r>
              <w:rPr>
                <w:rFonts w:ascii="宋体" w:hAnsi="宋体"/>
                <w:color w:val="auto"/>
                <w:szCs w:val="21"/>
              </w:rPr>
              <w:t>，</w:t>
            </w:r>
            <w:r>
              <w:rPr>
                <w:rFonts w:hint="eastAsia" w:ascii="宋体" w:hAnsi="宋体"/>
                <w:color w:val="auto"/>
                <w:szCs w:val="21"/>
              </w:rPr>
              <w:t>以医院实际需要为准</w:t>
            </w:r>
            <w:r>
              <w:rPr>
                <w:rFonts w:ascii="宋体" w:hAnsi="宋体"/>
                <w:color w:val="auto"/>
                <w:szCs w:val="21"/>
              </w:rPr>
              <w:t>。</w:t>
            </w:r>
          </w:p>
          <w:p w14:paraId="15CCDD7F">
            <w:pPr>
              <w:spacing w:line="320" w:lineRule="exact"/>
              <w:ind w:left="567" w:leftChars="170" w:hanging="210" w:hangingChars="100"/>
              <w:rPr>
                <w:rFonts w:ascii="宋体" w:hAnsi="宋体"/>
                <w:color w:val="auto"/>
                <w:szCs w:val="21"/>
              </w:rPr>
            </w:pPr>
            <w:r>
              <w:rPr>
                <w:rFonts w:ascii="宋体" w:hAnsi="宋体"/>
                <w:color w:val="auto"/>
                <w:szCs w:val="21"/>
              </w:rPr>
              <w:t>提供从系统验收合格之日起软件系统原厂3年的免费质保服务。</w:t>
            </w:r>
          </w:p>
          <w:p w14:paraId="291F3C66">
            <w:pPr>
              <w:spacing w:line="320" w:lineRule="exact"/>
              <w:ind w:firstLine="420" w:firstLineChars="200"/>
              <w:rPr>
                <w:rFonts w:ascii="宋体" w:hAnsi="宋体"/>
                <w:color w:val="auto"/>
                <w:szCs w:val="21"/>
              </w:rPr>
            </w:pPr>
            <w:r>
              <w:rPr>
                <w:rFonts w:hint="eastAsia" w:ascii="宋体" w:hAnsi="宋体"/>
                <w:color w:val="auto"/>
                <w:szCs w:val="21"/>
              </w:rPr>
              <w:t>满足多院区多病区使用；本软件提供给全院每个病区使用</w:t>
            </w:r>
            <w:r>
              <w:rPr>
                <w:rFonts w:ascii="宋体" w:hAnsi="宋体"/>
                <w:color w:val="auto"/>
                <w:szCs w:val="21"/>
              </w:rPr>
              <w:t>，</w:t>
            </w:r>
            <w:r>
              <w:rPr>
                <w:rFonts w:hint="eastAsia" w:ascii="宋体" w:hAnsi="宋体"/>
                <w:color w:val="auto"/>
                <w:szCs w:val="21"/>
              </w:rPr>
              <w:t>提供各病区定制化配置；质保期内后续每增加一个病区不增加费用。</w:t>
            </w:r>
          </w:p>
        </w:tc>
        <w:tc>
          <w:tcPr>
            <w:tcW w:w="438" w:type="dxa"/>
            <w:vMerge w:val="continue"/>
            <w:noWrap/>
            <w:vAlign w:val="center"/>
          </w:tcPr>
          <w:p w14:paraId="6342C396">
            <w:pPr>
              <w:spacing w:line="320" w:lineRule="exact"/>
              <w:ind w:firstLine="420" w:firstLineChars="200"/>
              <w:jc w:val="center"/>
              <w:rPr>
                <w:rFonts w:ascii="宋体" w:hAnsi="宋体"/>
                <w:color w:val="auto"/>
                <w:szCs w:val="21"/>
              </w:rPr>
            </w:pPr>
          </w:p>
        </w:tc>
      </w:tr>
      <w:tr w14:paraId="35A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94" w:type="dxa"/>
            <w:gridSpan w:val="6"/>
            <w:noWrap/>
            <w:vAlign w:val="center"/>
          </w:tcPr>
          <w:p w14:paraId="3002A1FE">
            <w:pPr>
              <w:spacing w:line="320" w:lineRule="exact"/>
              <w:ind w:firstLine="422" w:firstLineChars="200"/>
              <w:jc w:val="left"/>
              <w:rPr>
                <w:rFonts w:ascii="宋体" w:hAnsi="宋体"/>
                <w:b/>
                <w:color w:val="auto"/>
                <w:szCs w:val="21"/>
              </w:rPr>
            </w:pPr>
          </w:p>
        </w:tc>
      </w:tr>
      <w:tr w14:paraId="0FB4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794" w:type="dxa"/>
            <w:gridSpan w:val="6"/>
            <w:noWrap/>
            <w:vAlign w:val="center"/>
          </w:tcPr>
          <w:p w14:paraId="0027FF9E">
            <w:pPr>
              <w:spacing w:line="320" w:lineRule="exact"/>
              <w:jc w:val="left"/>
              <w:rPr>
                <w:rFonts w:ascii="宋体" w:hAnsi="宋体"/>
                <w:color w:val="auto"/>
                <w:szCs w:val="21"/>
              </w:rPr>
            </w:pPr>
            <w:r>
              <w:rPr>
                <w:rFonts w:hint="eastAsia" w:ascii="宋体" w:hAnsi="宋体"/>
                <w:color w:val="auto"/>
                <w:szCs w:val="21"/>
              </w:rPr>
              <w:t xml:space="preserve">售后服务及其他要求： </w:t>
            </w:r>
          </w:p>
          <w:p w14:paraId="5EF68BD4">
            <w:pPr>
              <w:spacing w:line="320" w:lineRule="exact"/>
              <w:jc w:val="left"/>
              <w:rPr>
                <w:rFonts w:ascii="宋体" w:hAnsi="宋体"/>
                <w:color w:val="auto"/>
                <w:szCs w:val="21"/>
              </w:rPr>
            </w:pPr>
            <w:r>
              <w:rPr>
                <w:rFonts w:hint="eastAsia" w:ascii="宋体" w:hAnsi="宋体"/>
                <w:color w:val="auto"/>
                <w:szCs w:val="21"/>
              </w:rPr>
              <w:t>1、系统维护期为</w:t>
            </w:r>
            <w:r>
              <w:rPr>
                <w:rFonts w:ascii="宋体" w:hAnsi="宋体"/>
                <w:color w:val="auto"/>
                <w:szCs w:val="21"/>
              </w:rPr>
              <w:t>2</w:t>
            </w:r>
            <w:r>
              <w:rPr>
                <w:rFonts w:hint="eastAsia" w:ascii="宋体" w:hAnsi="宋体"/>
                <w:color w:val="auto"/>
                <w:szCs w:val="21"/>
              </w:rPr>
              <w:t>年，起始时间从系统验收合格之日起计算；</w:t>
            </w:r>
          </w:p>
          <w:p w14:paraId="0C209295">
            <w:pPr>
              <w:spacing w:line="320" w:lineRule="exact"/>
              <w:jc w:val="left"/>
              <w:rPr>
                <w:rFonts w:ascii="宋体" w:hAnsi="宋体"/>
                <w:color w:val="auto"/>
                <w:szCs w:val="21"/>
              </w:rPr>
            </w:pPr>
            <w:r>
              <w:rPr>
                <w:rFonts w:hint="eastAsia" w:ascii="宋体" w:hAnsi="宋体"/>
                <w:color w:val="auto"/>
                <w:szCs w:val="21"/>
              </w:rPr>
              <w:t>2、维护期内因信息系统本身缺陷造成各种故障由投标人提供技术服务和维修；</w:t>
            </w:r>
          </w:p>
          <w:p w14:paraId="6AE55ACF">
            <w:pPr>
              <w:spacing w:line="360" w:lineRule="auto"/>
              <w:outlineLvl w:val="0"/>
              <w:rPr>
                <w:rFonts w:ascii="宋体" w:hAnsi="宋体"/>
                <w:color w:val="auto"/>
                <w:szCs w:val="21"/>
              </w:rPr>
            </w:pPr>
            <w:r>
              <w:rPr>
                <w:rFonts w:hint="eastAsia" w:ascii="宋体" w:hAnsi="宋体"/>
                <w:color w:val="auto"/>
                <w:szCs w:val="21"/>
              </w:rPr>
              <w:t>3、系统试运行期内及质量保修期内投标人应免费提供与第三方系统的接口开发服务；</w:t>
            </w:r>
          </w:p>
          <w:p w14:paraId="1DED0864">
            <w:pPr>
              <w:spacing w:line="360" w:lineRule="auto"/>
              <w:outlineLvl w:val="0"/>
              <w:rPr>
                <w:rFonts w:ascii="宋体" w:hAnsi="宋体"/>
                <w:color w:val="auto"/>
                <w:szCs w:val="21"/>
              </w:rPr>
            </w:pPr>
            <w:r>
              <w:rPr>
                <w:rFonts w:hint="eastAsia" w:ascii="宋体" w:hAnsi="宋体"/>
                <w:color w:val="auto"/>
                <w:szCs w:val="21"/>
              </w:rPr>
              <w:t>4、系统试运行期内及质量保修期内投标人应免费提供系统软件升级服务；</w:t>
            </w:r>
            <w:r>
              <w:rPr>
                <w:rFonts w:hint="eastAsia" w:ascii="宋体" w:hAnsi="宋体"/>
                <w:color w:val="auto"/>
                <w:szCs w:val="21"/>
              </w:rPr>
              <w:br w:type="textWrapping"/>
            </w:r>
            <w:r>
              <w:rPr>
                <w:rFonts w:ascii="宋体" w:hAnsi="宋体"/>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bl>
    <w:p w14:paraId="4497FB9E">
      <w:pPr>
        <w:spacing w:line="320" w:lineRule="exact"/>
        <w:ind w:firstLine="360" w:firstLineChars="200"/>
        <w:jc w:val="left"/>
        <w:rPr>
          <w:color w:val="auto"/>
          <w:sz w:val="18"/>
          <w:szCs w:val="18"/>
        </w:rPr>
      </w:pPr>
    </w:p>
    <w:tbl>
      <w:tblPr>
        <w:tblStyle w:val="9"/>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908"/>
        <w:gridCol w:w="6523"/>
        <w:gridCol w:w="708"/>
      </w:tblGrid>
      <w:tr w14:paraId="1E05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00" w:type="pct"/>
            <w:gridSpan w:val="4"/>
            <w:noWrap/>
            <w:vAlign w:val="center"/>
          </w:tcPr>
          <w:p w14:paraId="519D3C5F">
            <w:pPr>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.2智慧病房交互大屏技术参数</w:t>
            </w:r>
          </w:p>
        </w:tc>
      </w:tr>
      <w:tr w14:paraId="4AF7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7" w:type="pct"/>
            <w:noWrap/>
            <w:vAlign w:val="center"/>
          </w:tcPr>
          <w:p w14:paraId="5A85C2B7">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序号</w:t>
            </w:r>
          </w:p>
        </w:tc>
        <w:tc>
          <w:tcPr>
            <w:tcW w:w="517" w:type="pct"/>
            <w:noWrap/>
            <w:vAlign w:val="center"/>
          </w:tcPr>
          <w:p w14:paraId="2B555289">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指标项</w:t>
            </w:r>
          </w:p>
        </w:tc>
        <w:tc>
          <w:tcPr>
            <w:tcW w:w="3713" w:type="pct"/>
            <w:noWrap/>
            <w:vAlign w:val="center"/>
          </w:tcPr>
          <w:p w14:paraId="63C02395">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技术要求</w:t>
            </w:r>
          </w:p>
        </w:tc>
        <w:tc>
          <w:tcPr>
            <w:tcW w:w="403" w:type="pct"/>
            <w:noWrap/>
            <w:vAlign w:val="center"/>
          </w:tcPr>
          <w:p w14:paraId="3A7359BF">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数量</w:t>
            </w:r>
          </w:p>
        </w:tc>
      </w:tr>
      <w:tr w14:paraId="1BE2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367" w:type="pct"/>
            <w:noWrap/>
            <w:vAlign w:val="center"/>
          </w:tcPr>
          <w:p w14:paraId="5742E5D6">
            <w:pPr>
              <w:numPr>
                <w:ilvl w:val="0"/>
                <w:numId w:val="7"/>
              </w:numPr>
              <w:spacing w:line="440" w:lineRule="exact"/>
              <w:jc w:val="center"/>
              <w:rPr>
                <w:rFonts w:cs="金山简隶书" w:asciiTheme="majorEastAsia" w:hAnsiTheme="majorEastAsia" w:eastAsiaTheme="majorEastAsia"/>
                <w:color w:val="auto"/>
                <w:szCs w:val="21"/>
              </w:rPr>
            </w:pPr>
          </w:p>
        </w:tc>
        <w:tc>
          <w:tcPr>
            <w:tcW w:w="517" w:type="pct"/>
            <w:noWrap/>
            <w:vAlign w:val="center"/>
          </w:tcPr>
          <w:p w14:paraId="6CD41B44">
            <w:pPr>
              <w:spacing w:line="440" w:lineRule="exact"/>
              <w:jc w:val="center"/>
              <w:rPr>
                <w:rFonts w:cs="金山简隶书" w:asciiTheme="majorEastAsia" w:hAnsiTheme="majorEastAsia" w:eastAsiaTheme="majorEastAsia"/>
                <w:color w:val="auto"/>
                <w:kern w:val="0"/>
                <w:szCs w:val="21"/>
              </w:rPr>
            </w:pPr>
            <w:r>
              <w:rPr>
                <w:rFonts w:hint="eastAsia" w:cs="金山简隶书" w:asciiTheme="majorEastAsia" w:hAnsiTheme="majorEastAsia" w:eastAsiaTheme="majorEastAsia"/>
                <w:color w:val="auto"/>
                <w:kern w:val="0"/>
                <w:szCs w:val="21"/>
              </w:rPr>
              <w:t>显示屏参数</w:t>
            </w:r>
          </w:p>
        </w:tc>
        <w:tc>
          <w:tcPr>
            <w:tcW w:w="3713" w:type="pct"/>
            <w:noWrap/>
            <w:vAlign w:val="center"/>
          </w:tcPr>
          <w:p w14:paraId="4AA4658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1.尺寸：≥5</w:t>
            </w:r>
            <w:r>
              <w:rPr>
                <w:rFonts w:asciiTheme="majorEastAsia" w:hAnsiTheme="majorEastAsia" w:eastAsiaTheme="majorEastAsia"/>
                <w:color w:val="auto"/>
                <w:szCs w:val="21"/>
              </w:rPr>
              <w:t>0</w:t>
            </w:r>
            <w:r>
              <w:rPr>
                <w:rFonts w:hint="eastAsia" w:asciiTheme="majorEastAsia" w:hAnsiTheme="majorEastAsia" w:eastAsiaTheme="majorEastAsia"/>
                <w:color w:val="auto"/>
                <w:szCs w:val="21"/>
              </w:rPr>
              <w:t xml:space="preserve"> 英寸；</w:t>
            </w:r>
          </w:p>
          <w:p w14:paraId="04487B8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2.响应时间：≤8ms；</w:t>
            </w:r>
          </w:p>
          <w:p w14:paraId="34EB07C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3.画面比例 16:9；</w:t>
            </w:r>
          </w:p>
          <w:p w14:paraId="7184E3F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4.最大显示尺寸： 1209.6(H)×680.4(V)mm；</w:t>
            </w:r>
          </w:p>
          <w:p w14:paraId="3C6FB8F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5.分辨率：≥ 3840(H)×2160(V) ；</w:t>
            </w:r>
          </w:p>
          <w:p w14:paraId="377800E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6.像素间距： 0.315×0.315mm；</w:t>
            </w:r>
          </w:p>
          <w:p w14:paraId="7BB92B3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7.刷新频率： ≥60Hz；</w:t>
            </w:r>
          </w:p>
          <w:p w14:paraId="549EA67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8.色彩度： 1.07B(10bit)；</w:t>
            </w:r>
          </w:p>
          <w:p w14:paraId="67504C8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9.色域 NTSC(Typ)： ≥7</w:t>
            </w:r>
            <w:r>
              <w:rPr>
                <w:rFonts w:asciiTheme="majorEastAsia" w:hAnsiTheme="majorEastAsia" w:eastAsiaTheme="majorEastAsia"/>
                <w:color w:val="auto"/>
                <w:szCs w:val="21"/>
              </w:rPr>
              <w:t>0</w:t>
            </w:r>
            <w:r>
              <w:rPr>
                <w:rFonts w:hint="eastAsia" w:asciiTheme="majorEastAsia" w:hAnsiTheme="majorEastAsia" w:eastAsiaTheme="majorEastAsia"/>
                <w:color w:val="auto"/>
                <w:szCs w:val="21"/>
              </w:rPr>
              <w:t>%；</w:t>
            </w:r>
          </w:p>
          <w:p w14:paraId="33B15A3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10.可视角度： ≥178°(H/V);</w:t>
            </w:r>
          </w:p>
          <w:p w14:paraId="7E1AB12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11.背光类型： DLED;</w:t>
            </w:r>
          </w:p>
          <w:p w14:paraId="17250EB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12.屏亮度（Typ): 280cd/m;</w:t>
            </w:r>
          </w:p>
          <w:p w14:paraId="797F448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13.寿命： ≥30000 小时</w:t>
            </w:r>
          </w:p>
          <w:p w14:paraId="4D35216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14.系统版本： </w:t>
            </w:r>
            <w:r>
              <w:rPr>
                <w:rFonts w:hint="eastAsia" w:asciiTheme="majorEastAsia" w:hAnsiTheme="majorEastAsia" w:eastAsiaTheme="majorEastAsia"/>
                <w:b/>
                <w:color w:val="auto"/>
                <w:szCs w:val="21"/>
                <w:u w:val="single"/>
              </w:rPr>
              <w:t>安卓8.0或以上</w:t>
            </w:r>
            <w:r>
              <w:rPr>
                <w:rFonts w:hint="eastAsia" w:asciiTheme="majorEastAsia" w:hAnsiTheme="majorEastAsia" w:eastAsiaTheme="majorEastAsia"/>
                <w:color w:val="auto"/>
                <w:szCs w:val="21"/>
              </w:rPr>
              <w:t>;</w:t>
            </w:r>
          </w:p>
          <w:p w14:paraId="216BEB5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15.CPU: 双核 A73+四核 A53,GPU: ≥四核 Mali-G51或</w:t>
            </w:r>
            <w:r>
              <w:rPr>
                <w:rFonts w:asciiTheme="majorEastAsia" w:hAnsiTheme="majorEastAsia" w:eastAsiaTheme="majorEastAsia"/>
                <w:color w:val="auto"/>
                <w:szCs w:val="21"/>
              </w:rPr>
              <w:t>同等品牌及以上</w:t>
            </w:r>
            <w:r>
              <w:rPr>
                <w:rFonts w:hint="eastAsia" w:asciiTheme="majorEastAsia" w:hAnsiTheme="majorEastAsia" w:eastAsiaTheme="majorEastAsia"/>
                <w:color w:val="auto"/>
                <w:szCs w:val="21"/>
              </w:rPr>
              <w:t>,RAM :4G,ROM :16G;</w:t>
            </w:r>
          </w:p>
          <w:p w14:paraId="094B496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16.识别原理：红外识别；</w:t>
            </w:r>
          </w:p>
          <w:p w14:paraId="1E80B26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17.触摸精度： ±2mm，触摸点数：20点触摸，输出坐标 32768(W)×32768(D);</w:t>
            </w:r>
          </w:p>
          <w:p w14:paraId="1CB04F0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18.响应时间：≤10 ms;</w:t>
            </w:r>
          </w:p>
          <w:p w14:paraId="728F266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19.扬声器声道： 2.0，功率： 2×10W；</w:t>
            </w:r>
          </w:p>
          <w:p w14:paraId="697CC1C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20.麦克风数量：4个，拾音距离： 0~6m；</w:t>
            </w:r>
          </w:p>
          <w:p w14:paraId="230CD1D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21.摄像头： ≥800 万像素；</w:t>
            </w:r>
          </w:p>
          <w:p w14:paraId="59DD239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22.无线WiFi：版本 802.11 a/b/g/n/ac，工作频率 2.4GHz/5GHz，工作距离 0~12m；</w:t>
            </w:r>
          </w:p>
          <w:p w14:paraId="0527253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23.接口：HDMI IN：1，USB2.0：2，USB3.0：1，TOUCH：1，AUDIO OUT：1，RS232：1，RJ45：1；</w:t>
            </w:r>
          </w:p>
          <w:p w14:paraId="0E6545C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24.随机配件：书写笔 ×2，壁挂 ×1。</w:t>
            </w:r>
          </w:p>
        </w:tc>
        <w:tc>
          <w:tcPr>
            <w:tcW w:w="403" w:type="pct"/>
            <w:vMerge w:val="restart"/>
            <w:noWrap/>
            <w:vAlign w:val="center"/>
          </w:tcPr>
          <w:p w14:paraId="47F7E567">
            <w:pPr>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25</w:t>
            </w:r>
            <w:r>
              <w:rPr>
                <w:rFonts w:hint="eastAsia" w:asciiTheme="majorEastAsia" w:hAnsiTheme="majorEastAsia" w:eastAsiaTheme="majorEastAsia"/>
                <w:color w:val="auto"/>
                <w:szCs w:val="21"/>
              </w:rPr>
              <w:t>台</w:t>
            </w:r>
          </w:p>
        </w:tc>
      </w:tr>
      <w:tr w14:paraId="7A24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2" w:hRule="atLeast"/>
          <w:jc w:val="center"/>
        </w:trPr>
        <w:tc>
          <w:tcPr>
            <w:tcW w:w="367" w:type="pct"/>
            <w:noWrap/>
            <w:vAlign w:val="center"/>
          </w:tcPr>
          <w:p w14:paraId="4B9D28A4">
            <w:pPr>
              <w:numPr>
                <w:ilvl w:val="0"/>
                <w:numId w:val="7"/>
              </w:numPr>
              <w:spacing w:line="440" w:lineRule="exact"/>
              <w:jc w:val="center"/>
              <w:rPr>
                <w:rFonts w:cs="金山简隶书" w:asciiTheme="majorEastAsia" w:hAnsiTheme="majorEastAsia" w:eastAsiaTheme="majorEastAsia"/>
                <w:color w:val="auto"/>
                <w:szCs w:val="21"/>
              </w:rPr>
            </w:pPr>
          </w:p>
        </w:tc>
        <w:tc>
          <w:tcPr>
            <w:tcW w:w="517" w:type="pct"/>
            <w:noWrap/>
            <w:vAlign w:val="center"/>
          </w:tcPr>
          <w:p w14:paraId="65495592">
            <w:pPr>
              <w:spacing w:line="440" w:lineRule="exact"/>
              <w:jc w:val="center"/>
              <w:rPr>
                <w:rFonts w:cs="金山简隶书" w:asciiTheme="majorEastAsia" w:hAnsiTheme="majorEastAsia" w:eastAsiaTheme="majorEastAsia"/>
                <w:color w:val="auto"/>
                <w:kern w:val="0"/>
                <w:szCs w:val="21"/>
              </w:rPr>
            </w:pPr>
            <w:r>
              <w:rPr>
                <w:rFonts w:hint="eastAsia" w:cs="金山简隶书" w:asciiTheme="majorEastAsia" w:hAnsiTheme="majorEastAsia" w:eastAsiaTheme="majorEastAsia"/>
                <w:color w:val="auto"/>
                <w:kern w:val="0"/>
                <w:szCs w:val="21"/>
              </w:rPr>
              <w:t>整机设计</w:t>
            </w:r>
          </w:p>
        </w:tc>
        <w:tc>
          <w:tcPr>
            <w:tcW w:w="3713" w:type="pct"/>
            <w:noWrap/>
            <w:vAlign w:val="center"/>
          </w:tcPr>
          <w:p w14:paraId="34E2052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1、窄边框设计，整机屏占比≥82%以上，整机最薄处≤26mm</w:t>
            </w:r>
          </w:p>
          <w:p w14:paraId="2D21A48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2、采用模块化系统方案整机可通过同一高速接口支持正版Windows10专业版及以上操作系统、Android 9.0以上系统模块</w:t>
            </w:r>
          </w:p>
          <w:p w14:paraId="15A84AB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3、为保证整机一体性，内置天线设计，插拔无线模块可内嵌入整机，隐藏式天线设计，整机包括模块无外伸天线。</w:t>
            </w:r>
          </w:p>
          <w:p w14:paraId="2C0B0CB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4、整机外边框上边框采用弧形转角设计，下边框采用直角设计，边框和背壳采用金属材质</w:t>
            </w:r>
          </w:p>
          <w:p w14:paraId="5FDAE80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5、整机待机状态下，HDMI通道信号输入智能唤醒</w:t>
            </w:r>
          </w:p>
          <w:p w14:paraId="041EA81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 ≥1路HDMI IN；≥3路USB 2.0；≥1路TOUCH；≥1路AUDIO OUT；≥1路RS232</w:t>
            </w:r>
          </w:p>
          <w:p w14:paraId="04BC0FE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7、整机内置正面上居中≥1080P ≥1000万像素高清摄像头</w:t>
            </w:r>
          </w:p>
          <w:p w14:paraId="4FE4DDE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8、内置≥6个麦克风，≥7米有效拾音距离，采用≥2*10W网孔发声扬声器</w:t>
            </w:r>
          </w:p>
          <w:p w14:paraId="216426B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9、产品具备在不关闭整机电源的情况下可一键关闭和开启液晶屏背光，实现功耗降低超过70%</w:t>
            </w:r>
          </w:p>
          <w:p w14:paraId="01CEFB1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10、整机物理开关按键，集屏幕开关、系统开关和待机唤醒功能三合一。</w:t>
            </w:r>
          </w:p>
          <w:p w14:paraId="55D6D2D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11、整机书写面板采用防眩光全钢化玻璃面板，可见光透射比不低于80%</w:t>
            </w:r>
          </w:p>
          <w:p w14:paraId="52DE237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12、投标时提供产品符合强制性产品认证制度，需具备CCC认证（投标时提供）</w:t>
            </w:r>
          </w:p>
          <w:p w14:paraId="605F516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13、产品经过中国节能产品认证，需具备节能认证证书（投标时提供国家认可的第三方检测机构的测试报告，加盖投标人公章）</w:t>
            </w:r>
          </w:p>
        </w:tc>
        <w:tc>
          <w:tcPr>
            <w:tcW w:w="403" w:type="pct"/>
            <w:vMerge w:val="continue"/>
            <w:noWrap/>
            <w:vAlign w:val="center"/>
          </w:tcPr>
          <w:p w14:paraId="6159FA4C">
            <w:pPr>
              <w:spacing w:line="440" w:lineRule="exact"/>
              <w:jc w:val="left"/>
              <w:rPr>
                <w:rFonts w:asciiTheme="majorEastAsia" w:hAnsiTheme="majorEastAsia" w:eastAsiaTheme="majorEastAsia"/>
                <w:color w:val="auto"/>
                <w:szCs w:val="21"/>
              </w:rPr>
            </w:pPr>
          </w:p>
        </w:tc>
      </w:tr>
      <w:tr w14:paraId="7B58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7" w:type="pct"/>
            <w:vMerge w:val="restart"/>
            <w:noWrap/>
            <w:vAlign w:val="center"/>
          </w:tcPr>
          <w:p w14:paraId="5416FC12">
            <w:pPr>
              <w:numPr>
                <w:ilvl w:val="0"/>
                <w:numId w:val="7"/>
              </w:numPr>
              <w:spacing w:line="440" w:lineRule="exact"/>
              <w:jc w:val="center"/>
              <w:rPr>
                <w:rFonts w:cs="金山简隶书" w:asciiTheme="majorEastAsia" w:hAnsiTheme="majorEastAsia" w:eastAsiaTheme="majorEastAsia"/>
                <w:color w:val="auto"/>
                <w:szCs w:val="21"/>
              </w:rPr>
            </w:pPr>
          </w:p>
        </w:tc>
        <w:tc>
          <w:tcPr>
            <w:tcW w:w="517" w:type="pct"/>
            <w:vMerge w:val="restart"/>
            <w:noWrap/>
            <w:vAlign w:val="center"/>
          </w:tcPr>
          <w:p w14:paraId="133758F6">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模块</w:t>
            </w:r>
          </w:p>
        </w:tc>
        <w:tc>
          <w:tcPr>
            <w:tcW w:w="3713" w:type="pct"/>
            <w:noWrap/>
            <w:vAlign w:val="center"/>
          </w:tcPr>
          <w:p w14:paraId="1A81C60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系统版本android 9.0或</w:t>
            </w:r>
            <w:r>
              <w:rPr>
                <w:rFonts w:asciiTheme="majorEastAsia" w:hAnsiTheme="majorEastAsia" w:eastAsiaTheme="majorEastAsia"/>
                <w:color w:val="auto"/>
                <w:szCs w:val="21"/>
              </w:rPr>
              <w:t>以上</w:t>
            </w:r>
          </w:p>
        </w:tc>
        <w:tc>
          <w:tcPr>
            <w:tcW w:w="403" w:type="pct"/>
            <w:vMerge w:val="continue"/>
            <w:noWrap/>
            <w:vAlign w:val="center"/>
          </w:tcPr>
          <w:p w14:paraId="159AC561">
            <w:pPr>
              <w:spacing w:line="440" w:lineRule="exact"/>
              <w:jc w:val="left"/>
              <w:rPr>
                <w:rFonts w:asciiTheme="majorEastAsia" w:hAnsiTheme="majorEastAsia" w:eastAsiaTheme="majorEastAsia"/>
                <w:color w:val="auto"/>
                <w:szCs w:val="21"/>
              </w:rPr>
            </w:pPr>
          </w:p>
        </w:tc>
      </w:tr>
      <w:tr w14:paraId="3041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7" w:type="pct"/>
            <w:vMerge w:val="continue"/>
            <w:noWrap/>
            <w:vAlign w:val="center"/>
          </w:tcPr>
          <w:p w14:paraId="386C85A6">
            <w:pPr>
              <w:spacing w:line="440" w:lineRule="exact"/>
              <w:ind w:firstLine="420"/>
              <w:jc w:val="center"/>
              <w:rPr>
                <w:rFonts w:cs="金山简隶书" w:asciiTheme="majorEastAsia" w:hAnsiTheme="majorEastAsia" w:eastAsiaTheme="majorEastAsia"/>
                <w:color w:val="auto"/>
                <w:szCs w:val="21"/>
              </w:rPr>
            </w:pPr>
          </w:p>
        </w:tc>
        <w:tc>
          <w:tcPr>
            <w:tcW w:w="517" w:type="pct"/>
            <w:vMerge w:val="continue"/>
            <w:noWrap/>
            <w:vAlign w:val="center"/>
          </w:tcPr>
          <w:p w14:paraId="1B0EA4F3">
            <w:pPr>
              <w:spacing w:line="440" w:lineRule="exact"/>
              <w:jc w:val="center"/>
              <w:rPr>
                <w:rFonts w:asciiTheme="majorEastAsia" w:hAnsiTheme="majorEastAsia" w:eastAsiaTheme="majorEastAsia"/>
                <w:color w:val="auto"/>
                <w:szCs w:val="21"/>
              </w:rPr>
            </w:pPr>
          </w:p>
        </w:tc>
        <w:tc>
          <w:tcPr>
            <w:tcW w:w="3713" w:type="pct"/>
            <w:noWrap/>
            <w:vAlign w:val="center"/>
          </w:tcPr>
          <w:p w14:paraId="160BE83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内存/存储 4G及以上/32G及以上</w:t>
            </w:r>
          </w:p>
        </w:tc>
        <w:tc>
          <w:tcPr>
            <w:tcW w:w="403" w:type="pct"/>
            <w:vMerge w:val="continue"/>
            <w:noWrap/>
            <w:vAlign w:val="center"/>
          </w:tcPr>
          <w:p w14:paraId="5F5CBA3B">
            <w:pPr>
              <w:spacing w:line="440" w:lineRule="exact"/>
              <w:jc w:val="left"/>
              <w:rPr>
                <w:rFonts w:asciiTheme="majorEastAsia" w:hAnsiTheme="majorEastAsia" w:eastAsiaTheme="majorEastAsia"/>
                <w:color w:val="auto"/>
                <w:szCs w:val="21"/>
              </w:rPr>
            </w:pPr>
          </w:p>
        </w:tc>
      </w:tr>
      <w:tr w14:paraId="174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7" w:type="pct"/>
            <w:noWrap/>
            <w:vAlign w:val="center"/>
          </w:tcPr>
          <w:p w14:paraId="5FBAD712">
            <w:pPr>
              <w:numPr>
                <w:ilvl w:val="0"/>
                <w:numId w:val="7"/>
              </w:numPr>
              <w:spacing w:line="440" w:lineRule="exact"/>
              <w:jc w:val="center"/>
              <w:rPr>
                <w:rFonts w:cs="金山简隶书" w:asciiTheme="majorEastAsia" w:hAnsiTheme="majorEastAsia" w:eastAsiaTheme="majorEastAsia"/>
                <w:color w:val="auto"/>
                <w:szCs w:val="21"/>
              </w:rPr>
            </w:pPr>
          </w:p>
        </w:tc>
        <w:tc>
          <w:tcPr>
            <w:tcW w:w="517" w:type="pct"/>
            <w:noWrap/>
            <w:vAlign w:val="center"/>
          </w:tcPr>
          <w:p w14:paraId="0B287BA6">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质保期</w:t>
            </w:r>
          </w:p>
        </w:tc>
        <w:tc>
          <w:tcPr>
            <w:tcW w:w="3713" w:type="pct"/>
            <w:noWrap/>
            <w:vAlign w:val="center"/>
          </w:tcPr>
          <w:p w14:paraId="6320C09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提供从</w:t>
            </w:r>
            <w:r>
              <w:rPr>
                <w:rFonts w:hint="eastAsia" w:asciiTheme="majorEastAsia" w:hAnsiTheme="majorEastAsia" w:eastAsiaTheme="majorEastAsia"/>
                <w:color w:val="auto"/>
                <w:szCs w:val="21"/>
              </w:rPr>
              <w:t>硬件设备</w:t>
            </w:r>
            <w:r>
              <w:rPr>
                <w:rFonts w:asciiTheme="majorEastAsia" w:hAnsiTheme="majorEastAsia" w:eastAsiaTheme="majorEastAsia"/>
                <w:color w:val="auto"/>
                <w:szCs w:val="21"/>
              </w:rPr>
              <w:t>验收合格之日起原厂1年的免费质保服务。</w:t>
            </w:r>
          </w:p>
        </w:tc>
        <w:tc>
          <w:tcPr>
            <w:tcW w:w="403" w:type="pct"/>
            <w:vMerge w:val="continue"/>
            <w:noWrap/>
            <w:vAlign w:val="center"/>
          </w:tcPr>
          <w:p w14:paraId="1CEAEB9A">
            <w:pPr>
              <w:spacing w:line="440" w:lineRule="exact"/>
              <w:jc w:val="left"/>
              <w:rPr>
                <w:rFonts w:asciiTheme="majorEastAsia" w:hAnsiTheme="majorEastAsia" w:eastAsiaTheme="majorEastAsia"/>
                <w:color w:val="auto"/>
                <w:szCs w:val="21"/>
              </w:rPr>
            </w:pPr>
          </w:p>
        </w:tc>
      </w:tr>
    </w:tbl>
    <w:p w14:paraId="262A7E52">
      <w:pPr>
        <w:rPr>
          <w:color w:val="auto"/>
          <w:sz w:val="18"/>
          <w:szCs w:val="18"/>
        </w:rPr>
      </w:pPr>
    </w:p>
    <w:tbl>
      <w:tblPr>
        <w:tblStyle w:val="9"/>
        <w:tblW w:w="97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9"/>
        <w:gridCol w:w="486"/>
        <w:gridCol w:w="697"/>
        <w:gridCol w:w="417"/>
        <w:gridCol w:w="6521"/>
        <w:gridCol w:w="709"/>
        <w:gridCol w:w="67"/>
      </w:tblGrid>
      <w:tr w14:paraId="1DDE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9640" w:type="dxa"/>
            <w:gridSpan w:val="7"/>
            <w:noWrap/>
            <w:vAlign w:val="center"/>
          </w:tcPr>
          <w:p w14:paraId="26C5C9E3">
            <w:pPr>
              <w:rPr>
                <w:rFonts w:ascii="宋体" w:hAnsi="宋体" w:eastAsia="黑体" w:cs="金山简隶书"/>
                <w:color w:val="auto"/>
                <w:szCs w:val="21"/>
              </w:rPr>
            </w:pPr>
            <w:r>
              <w:rPr>
                <w:rFonts w:ascii="宋体" w:hAnsi="宋体" w:eastAsia="黑体" w:cs="金山简隶书"/>
                <w:color w:val="auto"/>
                <w:szCs w:val="21"/>
              </w:rPr>
              <w:t>2</w:t>
            </w:r>
            <w:r>
              <w:rPr>
                <w:rFonts w:hint="eastAsia" w:ascii="宋体" w:hAnsi="宋体" w:eastAsia="黑体" w:cs="金山简隶书"/>
                <w:color w:val="auto"/>
                <w:szCs w:val="21"/>
              </w:rPr>
              <w:t>.</w:t>
            </w:r>
            <w:r>
              <w:rPr>
                <w:rFonts w:ascii="宋体" w:hAnsi="宋体" w:eastAsia="黑体" w:cs="金山简隶书"/>
                <w:color w:val="auto"/>
                <w:szCs w:val="21"/>
              </w:rPr>
              <w:t>3</w:t>
            </w:r>
            <w:r>
              <w:rPr>
                <w:rFonts w:hint="eastAsia" w:ascii="宋体" w:hAnsi="宋体" w:eastAsia="黑体" w:cs="金山简隶书"/>
                <w:color w:val="auto"/>
                <w:szCs w:val="21"/>
              </w:rPr>
              <w:t>移动护理信息系统技术参数</w:t>
            </w:r>
          </w:p>
        </w:tc>
      </w:tr>
      <w:tr w14:paraId="7B5B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12" w:hRule="atLeast"/>
        </w:trPr>
        <w:tc>
          <w:tcPr>
            <w:tcW w:w="731" w:type="dxa"/>
            <w:noWrap/>
            <w:vAlign w:val="center"/>
          </w:tcPr>
          <w:p w14:paraId="127DFBC2">
            <w:pPr>
              <w:jc w:val="center"/>
              <w:rPr>
                <w:rFonts w:ascii="宋体" w:hAnsi="宋体"/>
                <w:color w:val="auto"/>
                <w:szCs w:val="21"/>
              </w:rPr>
            </w:pPr>
            <w:r>
              <w:rPr>
                <w:rFonts w:hint="eastAsia" w:ascii="宋体" w:hAnsi="宋体"/>
                <w:color w:val="auto"/>
                <w:szCs w:val="21"/>
              </w:rPr>
              <w:t>类型</w:t>
            </w:r>
          </w:p>
        </w:tc>
        <w:tc>
          <w:tcPr>
            <w:tcW w:w="565" w:type="dxa"/>
            <w:gridSpan w:val="2"/>
            <w:noWrap/>
            <w:vAlign w:val="center"/>
          </w:tcPr>
          <w:p w14:paraId="4B4D2F95">
            <w:pPr>
              <w:jc w:val="center"/>
              <w:rPr>
                <w:rFonts w:ascii="宋体" w:hAnsi="宋体"/>
                <w:color w:val="auto"/>
                <w:szCs w:val="21"/>
              </w:rPr>
            </w:pPr>
            <w:r>
              <w:rPr>
                <w:rFonts w:hint="eastAsia" w:ascii="宋体" w:hAnsi="宋体"/>
                <w:color w:val="auto"/>
                <w:szCs w:val="21"/>
              </w:rPr>
              <w:t>模块</w:t>
            </w:r>
          </w:p>
        </w:tc>
        <w:tc>
          <w:tcPr>
            <w:tcW w:w="697" w:type="dxa"/>
            <w:noWrap/>
            <w:vAlign w:val="center"/>
          </w:tcPr>
          <w:p w14:paraId="0143CD97">
            <w:pPr>
              <w:jc w:val="center"/>
              <w:rPr>
                <w:rFonts w:ascii="宋体" w:hAnsi="宋体"/>
                <w:color w:val="auto"/>
                <w:szCs w:val="21"/>
              </w:rPr>
            </w:pPr>
            <w:r>
              <w:rPr>
                <w:rFonts w:hint="eastAsia" w:ascii="宋体" w:hAnsi="宋体"/>
                <w:color w:val="auto"/>
                <w:szCs w:val="21"/>
              </w:rPr>
              <w:t>功能名称</w:t>
            </w:r>
          </w:p>
        </w:tc>
        <w:tc>
          <w:tcPr>
            <w:tcW w:w="6938" w:type="dxa"/>
            <w:gridSpan w:val="2"/>
            <w:noWrap/>
            <w:vAlign w:val="center"/>
          </w:tcPr>
          <w:p w14:paraId="2B95C8A7">
            <w:pPr>
              <w:jc w:val="center"/>
              <w:rPr>
                <w:rFonts w:ascii="宋体" w:hAnsi="宋体"/>
                <w:color w:val="auto"/>
                <w:szCs w:val="21"/>
              </w:rPr>
            </w:pPr>
            <w:r>
              <w:rPr>
                <w:rFonts w:hint="eastAsia" w:ascii="宋体" w:hAnsi="宋体"/>
                <w:color w:val="auto"/>
                <w:szCs w:val="21"/>
              </w:rPr>
              <w:t>功能要求</w:t>
            </w:r>
          </w:p>
        </w:tc>
        <w:tc>
          <w:tcPr>
            <w:tcW w:w="709" w:type="dxa"/>
            <w:noWrap/>
            <w:vAlign w:val="center"/>
          </w:tcPr>
          <w:p w14:paraId="0445D000">
            <w:pPr>
              <w:jc w:val="center"/>
              <w:rPr>
                <w:rFonts w:ascii="宋体" w:hAnsi="宋体"/>
                <w:color w:val="auto"/>
                <w:szCs w:val="21"/>
              </w:rPr>
            </w:pPr>
            <w:r>
              <w:rPr>
                <w:rFonts w:hint="eastAsia" w:ascii="宋体" w:hAnsi="宋体"/>
                <w:color w:val="auto"/>
                <w:szCs w:val="21"/>
              </w:rPr>
              <w:t>数量</w:t>
            </w:r>
          </w:p>
        </w:tc>
      </w:tr>
      <w:tr w14:paraId="7F36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restart"/>
            <w:noWrap/>
            <w:vAlign w:val="center"/>
          </w:tcPr>
          <w:p w14:paraId="08FDC2BB">
            <w:pPr>
              <w:widowControl/>
              <w:jc w:val="center"/>
              <w:rPr>
                <w:rFonts w:ascii="宋体" w:hAnsi="宋体"/>
                <w:color w:val="auto"/>
                <w:szCs w:val="21"/>
              </w:rPr>
            </w:pPr>
            <w:r>
              <w:rPr>
                <w:rFonts w:hint="eastAsia" w:ascii="宋体" w:hAnsi="宋体"/>
                <w:color w:val="auto"/>
                <w:szCs w:val="21"/>
              </w:rPr>
              <w:t>PC端</w:t>
            </w:r>
          </w:p>
        </w:tc>
        <w:tc>
          <w:tcPr>
            <w:tcW w:w="565" w:type="dxa"/>
            <w:gridSpan w:val="2"/>
            <w:vMerge w:val="restart"/>
            <w:noWrap/>
            <w:vAlign w:val="center"/>
          </w:tcPr>
          <w:p w14:paraId="7463F218">
            <w:pPr>
              <w:widowControl/>
              <w:jc w:val="center"/>
              <w:rPr>
                <w:rFonts w:ascii="宋体" w:hAnsi="宋体"/>
                <w:color w:val="auto"/>
                <w:szCs w:val="21"/>
              </w:rPr>
            </w:pPr>
            <w:r>
              <w:rPr>
                <w:rFonts w:hint="eastAsia" w:ascii="宋体" w:hAnsi="宋体"/>
                <w:color w:val="auto"/>
                <w:szCs w:val="21"/>
              </w:rPr>
              <w:t>患者信息管理</w:t>
            </w:r>
          </w:p>
        </w:tc>
        <w:tc>
          <w:tcPr>
            <w:tcW w:w="697" w:type="dxa"/>
            <w:vMerge w:val="restart"/>
            <w:noWrap/>
            <w:vAlign w:val="center"/>
          </w:tcPr>
          <w:p w14:paraId="43B56B87">
            <w:pPr>
              <w:widowControl/>
              <w:jc w:val="center"/>
              <w:rPr>
                <w:rFonts w:ascii="宋体" w:hAnsi="宋体"/>
                <w:color w:val="auto"/>
                <w:szCs w:val="21"/>
              </w:rPr>
            </w:pPr>
            <w:r>
              <w:rPr>
                <w:rFonts w:hint="eastAsia" w:ascii="宋体" w:hAnsi="宋体"/>
                <w:color w:val="auto"/>
                <w:szCs w:val="21"/>
              </w:rPr>
              <w:t>在院患者列表</w:t>
            </w:r>
          </w:p>
        </w:tc>
        <w:tc>
          <w:tcPr>
            <w:tcW w:w="6938" w:type="dxa"/>
            <w:gridSpan w:val="2"/>
            <w:noWrap/>
            <w:vAlign w:val="center"/>
          </w:tcPr>
          <w:p w14:paraId="60F525D0">
            <w:pPr>
              <w:widowControl/>
              <w:rPr>
                <w:rFonts w:ascii="宋体" w:hAnsi="宋体"/>
                <w:color w:val="auto"/>
                <w:szCs w:val="21"/>
              </w:rPr>
            </w:pPr>
            <w:r>
              <w:rPr>
                <w:rFonts w:hint="eastAsia" w:ascii="宋体" w:hAnsi="宋体"/>
                <w:color w:val="auto"/>
                <w:szCs w:val="21"/>
              </w:rPr>
              <w:t xml:space="preserve"> 用一览表的方式显示当前病区所有患者的信息，包括床号、姓名、性别、年龄、住院号、待办事项个数、入院日期、欠费等基本信息。</w:t>
            </w:r>
          </w:p>
        </w:tc>
        <w:tc>
          <w:tcPr>
            <w:tcW w:w="709" w:type="dxa"/>
            <w:vMerge w:val="restart"/>
            <w:noWrap/>
            <w:vAlign w:val="center"/>
          </w:tcPr>
          <w:p w14:paraId="3A3849D4">
            <w:pPr>
              <w:widowControl/>
              <w:jc w:val="center"/>
              <w:rPr>
                <w:rFonts w:ascii="宋体" w:hAnsi="宋体"/>
                <w:color w:val="auto"/>
                <w:szCs w:val="21"/>
              </w:rPr>
            </w:pPr>
            <w:r>
              <w:rPr>
                <w:rFonts w:ascii="宋体" w:hAnsi="宋体"/>
                <w:color w:val="auto"/>
                <w:szCs w:val="21"/>
              </w:rPr>
              <w:t>1</w:t>
            </w:r>
            <w:r>
              <w:rPr>
                <w:rFonts w:hint="eastAsia" w:ascii="宋体" w:hAnsi="宋体"/>
                <w:color w:val="auto"/>
                <w:szCs w:val="21"/>
              </w:rPr>
              <w:t>套</w:t>
            </w:r>
          </w:p>
        </w:tc>
      </w:tr>
      <w:tr w14:paraId="7CD3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576108BE">
            <w:pPr>
              <w:jc w:val="left"/>
              <w:rPr>
                <w:rFonts w:ascii="宋体" w:hAnsi="宋体"/>
                <w:color w:val="auto"/>
                <w:szCs w:val="21"/>
              </w:rPr>
            </w:pPr>
          </w:p>
        </w:tc>
        <w:tc>
          <w:tcPr>
            <w:tcW w:w="565" w:type="dxa"/>
            <w:gridSpan w:val="2"/>
            <w:vMerge w:val="continue"/>
            <w:noWrap/>
            <w:vAlign w:val="center"/>
          </w:tcPr>
          <w:p w14:paraId="2DC3F5FB">
            <w:pPr>
              <w:jc w:val="left"/>
              <w:rPr>
                <w:rFonts w:ascii="宋体" w:hAnsi="宋体"/>
                <w:color w:val="auto"/>
                <w:szCs w:val="21"/>
              </w:rPr>
            </w:pPr>
          </w:p>
        </w:tc>
        <w:tc>
          <w:tcPr>
            <w:tcW w:w="697" w:type="dxa"/>
            <w:vMerge w:val="continue"/>
            <w:noWrap/>
            <w:vAlign w:val="center"/>
          </w:tcPr>
          <w:p w14:paraId="164BF0E4">
            <w:pPr>
              <w:jc w:val="left"/>
              <w:rPr>
                <w:rFonts w:ascii="宋体" w:hAnsi="宋体"/>
                <w:color w:val="auto"/>
                <w:szCs w:val="21"/>
              </w:rPr>
            </w:pPr>
          </w:p>
        </w:tc>
        <w:tc>
          <w:tcPr>
            <w:tcW w:w="6938" w:type="dxa"/>
            <w:gridSpan w:val="2"/>
            <w:noWrap/>
            <w:vAlign w:val="center"/>
          </w:tcPr>
          <w:p w14:paraId="2C63AF59">
            <w:pPr>
              <w:rPr>
                <w:rFonts w:ascii="宋体" w:hAnsi="宋体"/>
                <w:color w:val="auto"/>
                <w:szCs w:val="21"/>
              </w:rPr>
            </w:pPr>
            <w:r>
              <w:rPr>
                <w:rFonts w:hint="eastAsia" w:ascii="宋体" w:hAnsi="宋体"/>
                <w:color w:val="auto"/>
                <w:szCs w:val="21"/>
              </w:rPr>
              <w:t xml:space="preserve"> 简要展示护理等级、压疮、坠床/跌倒、疼痛、DVT、自理能力、导管、深静脉血栓等护理风险评分信息，入院诊断、饮食等临床信息。</w:t>
            </w:r>
          </w:p>
        </w:tc>
        <w:tc>
          <w:tcPr>
            <w:tcW w:w="709" w:type="dxa"/>
            <w:vMerge w:val="continue"/>
            <w:noWrap/>
            <w:vAlign w:val="center"/>
          </w:tcPr>
          <w:p w14:paraId="375E55E2">
            <w:pPr>
              <w:jc w:val="left"/>
              <w:rPr>
                <w:rFonts w:ascii="宋体" w:hAnsi="宋体"/>
                <w:color w:val="auto"/>
                <w:szCs w:val="21"/>
              </w:rPr>
            </w:pPr>
          </w:p>
        </w:tc>
      </w:tr>
      <w:tr w14:paraId="110F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30C88BB">
            <w:pPr>
              <w:jc w:val="left"/>
              <w:rPr>
                <w:rFonts w:ascii="宋体" w:hAnsi="宋体"/>
                <w:color w:val="auto"/>
                <w:szCs w:val="21"/>
              </w:rPr>
            </w:pPr>
          </w:p>
        </w:tc>
        <w:tc>
          <w:tcPr>
            <w:tcW w:w="565" w:type="dxa"/>
            <w:gridSpan w:val="2"/>
            <w:vMerge w:val="continue"/>
            <w:noWrap/>
            <w:vAlign w:val="center"/>
          </w:tcPr>
          <w:p w14:paraId="73572E7F">
            <w:pPr>
              <w:jc w:val="left"/>
              <w:rPr>
                <w:rFonts w:ascii="宋体" w:hAnsi="宋体"/>
                <w:color w:val="auto"/>
                <w:szCs w:val="21"/>
              </w:rPr>
            </w:pPr>
          </w:p>
        </w:tc>
        <w:tc>
          <w:tcPr>
            <w:tcW w:w="697" w:type="dxa"/>
            <w:vMerge w:val="continue"/>
            <w:noWrap/>
            <w:vAlign w:val="center"/>
          </w:tcPr>
          <w:p w14:paraId="186AD211">
            <w:pPr>
              <w:jc w:val="left"/>
              <w:rPr>
                <w:rFonts w:ascii="宋体" w:hAnsi="宋体"/>
                <w:color w:val="auto"/>
                <w:szCs w:val="21"/>
              </w:rPr>
            </w:pPr>
          </w:p>
        </w:tc>
        <w:tc>
          <w:tcPr>
            <w:tcW w:w="6938" w:type="dxa"/>
            <w:gridSpan w:val="2"/>
            <w:noWrap/>
            <w:vAlign w:val="center"/>
          </w:tcPr>
          <w:p w14:paraId="6801C584">
            <w:pPr>
              <w:rPr>
                <w:rFonts w:ascii="宋体" w:hAnsi="宋体"/>
                <w:color w:val="auto"/>
                <w:szCs w:val="21"/>
              </w:rPr>
            </w:pPr>
            <w:r>
              <w:rPr>
                <w:rFonts w:hint="eastAsia" w:ascii="宋体" w:hAnsi="宋体"/>
                <w:color w:val="auto"/>
                <w:szCs w:val="21"/>
              </w:rPr>
              <w:t xml:space="preserve"> 可根据分组筛选并查看“本责任组患者”，更加快速掌握信息。</w:t>
            </w:r>
          </w:p>
        </w:tc>
        <w:tc>
          <w:tcPr>
            <w:tcW w:w="709" w:type="dxa"/>
            <w:vMerge w:val="continue"/>
            <w:noWrap/>
            <w:vAlign w:val="center"/>
          </w:tcPr>
          <w:p w14:paraId="22D0660C">
            <w:pPr>
              <w:jc w:val="left"/>
              <w:rPr>
                <w:rFonts w:ascii="宋体" w:hAnsi="宋体"/>
                <w:color w:val="auto"/>
                <w:szCs w:val="21"/>
              </w:rPr>
            </w:pPr>
          </w:p>
        </w:tc>
      </w:tr>
      <w:tr w14:paraId="027E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040B981">
            <w:pPr>
              <w:jc w:val="left"/>
              <w:rPr>
                <w:rFonts w:ascii="宋体" w:hAnsi="宋体"/>
                <w:color w:val="auto"/>
                <w:szCs w:val="21"/>
              </w:rPr>
            </w:pPr>
          </w:p>
        </w:tc>
        <w:tc>
          <w:tcPr>
            <w:tcW w:w="565" w:type="dxa"/>
            <w:gridSpan w:val="2"/>
            <w:vMerge w:val="continue"/>
            <w:noWrap/>
            <w:vAlign w:val="center"/>
          </w:tcPr>
          <w:p w14:paraId="6C8AF3AD">
            <w:pPr>
              <w:jc w:val="left"/>
              <w:rPr>
                <w:rFonts w:ascii="宋体" w:hAnsi="宋体"/>
                <w:color w:val="auto"/>
                <w:szCs w:val="21"/>
              </w:rPr>
            </w:pPr>
          </w:p>
        </w:tc>
        <w:tc>
          <w:tcPr>
            <w:tcW w:w="697" w:type="dxa"/>
            <w:vMerge w:val="continue"/>
            <w:noWrap/>
            <w:vAlign w:val="center"/>
          </w:tcPr>
          <w:p w14:paraId="27057588">
            <w:pPr>
              <w:jc w:val="left"/>
              <w:rPr>
                <w:rFonts w:ascii="宋体" w:hAnsi="宋体"/>
                <w:color w:val="auto"/>
                <w:szCs w:val="21"/>
              </w:rPr>
            </w:pPr>
          </w:p>
        </w:tc>
        <w:tc>
          <w:tcPr>
            <w:tcW w:w="6938" w:type="dxa"/>
            <w:gridSpan w:val="2"/>
            <w:noWrap/>
            <w:vAlign w:val="center"/>
          </w:tcPr>
          <w:p w14:paraId="0247823E">
            <w:pPr>
              <w:rPr>
                <w:rFonts w:ascii="宋体" w:hAnsi="宋体"/>
                <w:color w:val="auto"/>
                <w:szCs w:val="21"/>
              </w:rPr>
            </w:pPr>
            <w:r>
              <w:rPr>
                <w:rFonts w:hint="eastAsia" w:ascii="宋体" w:hAnsi="宋体"/>
                <w:color w:val="auto"/>
                <w:szCs w:val="21"/>
              </w:rPr>
              <w:t xml:space="preserve"> 可根据科室需求，自定义显示患者其他项目的信息</w:t>
            </w:r>
            <w:r>
              <w:rPr>
                <w:rFonts w:hint="eastAsia" w:ascii="宋体" w:hAnsi="宋体"/>
                <w:color w:val="auto"/>
                <w:szCs w:val="21"/>
              </w:rPr>
              <w:t>并分类</w:t>
            </w:r>
            <w:r>
              <w:rPr>
                <w:rFonts w:hint="eastAsia" w:ascii="宋体" w:hAnsi="宋体"/>
                <w:color w:val="auto"/>
                <w:szCs w:val="21"/>
              </w:rPr>
              <w:t>。</w:t>
            </w:r>
          </w:p>
        </w:tc>
        <w:tc>
          <w:tcPr>
            <w:tcW w:w="709" w:type="dxa"/>
            <w:vMerge w:val="continue"/>
            <w:noWrap/>
            <w:vAlign w:val="center"/>
          </w:tcPr>
          <w:p w14:paraId="28983C01">
            <w:pPr>
              <w:jc w:val="left"/>
              <w:rPr>
                <w:rFonts w:ascii="宋体" w:hAnsi="宋体"/>
                <w:color w:val="auto"/>
                <w:szCs w:val="21"/>
              </w:rPr>
            </w:pPr>
          </w:p>
        </w:tc>
      </w:tr>
      <w:tr w14:paraId="63ED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225E8A38">
            <w:pPr>
              <w:jc w:val="left"/>
              <w:rPr>
                <w:rFonts w:ascii="宋体" w:hAnsi="宋体"/>
                <w:color w:val="auto"/>
                <w:szCs w:val="21"/>
              </w:rPr>
            </w:pPr>
          </w:p>
        </w:tc>
        <w:tc>
          <w:tcPr>
            <w:tcW w:w="565" w:type="dxa"/>
            <w:gridSpan w:val="2"/>
            <w:vMerge w:val="continue"/>
            <w:noWrap/>
            <w:vAlign w:val="center"/>
          </w:tcPr>
          <w:p w14:paraId="1569C478">
            <w:pPr>
              <w:jc w:val="left"/>
              <w:rPr>
                <w:rFonts w:ascii="宋体" w:hAnsi="宋体"/>
                <w:color w:val="auto"/>
                <w:szCs w:val="21"/>
              </w:rPr>
            </w:pPr>
          </w:p>
        </w:tc>
        <w:tc>
          <w:tcPr>
            <w:tcW w:w="697" w:type="dxa"/>
            <w:noWrap/>
            <w:vAlign w:val="center"/>
          </w:tcPr>
          <w:p w14:paraId="077397D1">
            <w:pPr>
              <w:jc w:val="center"/>
              <w:rPr>
                <w:rFonts w:ascii="宋体" w:hAnsi="宋体"/>
                <w:color w:val="auto"/>
                <w:szCs w:val="21"/>
              </w:rPr>
            </w:pPr>
            <w:r>
              <w:rPr>
                <w:rFonts w:hint="eastAsia" w:ascii="宋体" w:hAnsi="宋体"/>
                <w:color w:val="auto"/>
                <w:szCs w:val="21"/>
              </w:rPr>
              <w:t>患者信息查询</w:t>
            </w:r>
          </w:p>
        </w:tc>
        <w:tc>
          <w:tcPr>
            <w:tcW w:w="6938" w:type="dxa"/>
            <w:gridSpan w:val="2"/>
            <w:noWrap/>
            <w:vAlign w:val="center"/>
          </w:tcPr>
          <w:p w14:paraId="3176A80A">
            <w:pPr>
              <w:rPr>
                <w:rFonts w:ascii="宋体" w:hAnsi="宋体"/>
                <w:color w:val="auto"/>
                <w:szCs w:val="21"/>
              </w:rPr>
            </w:pPr>
            <w:r>
              <w:rPr>
                <w:rFonts w:hint="eastAsia" w:ascii="宋体" w:hAnsi="宋体"/>
                <w:color w:val="auto"/>
                <w:szCs w:val="21"/>
              </w:rPr>
              <w:t>实现在搜索框输入床号、姓名、住院号等信息来查找患者。</w:t>
            </w:r>
          </w:p>
        </w:tc>
        <w:tc>
          <w:tcPr>
            <w:tcW w:w="709" w:type="dxa"/>
            <w:vMerge w:val="continue"/>
            <w:noWrap/>
            <w:vAlign w:val="center"/>
          </w:tcPr>
          <w:p w14:paraId="65749555">
            <w:pPr>
              <w:jc w:val="left"/>
              <w:rPr>
                <w:rFonts w:ascii="宋体" w:hAnsi="宋体"/>
                <w:color w:val="auto"/>
                <w:szCs w:val="21"/>
              </w:rPr>
            </w:pPr>
          </w:p>
        </w:tc>
      </w:tr>
      <w:tr w14:paraId="0AAA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75CCCCB7">
            <w:pPr>
              <w:jc w:val="left"/>
              <w:rPr>
                <w:rFonts w:ascii="宋体" w:hAnsi="宋体"/>
                <w:color w:val="auto"/>
                <w:szCs w:val="21"/>
              </w:rPr>
            </w:pPr>
          </w:p>
        </w:tc>
        <w:tc>
          <w:tcPr>
            <w:tcW w:w="565" w:type="dxa"/>
            <w:gridSpan w:val="2"/>
            <w:vMerge w:val="continue"/>
            <w:noWrap/>
            <w:vAlign w:val="center"/>
          </w:tcPr>
          <w:p w14:paraId="7FCF6C35">
            <w:pPr>
              <w:jc w:val="left"/>
              <w:rPr>
                <w:rFonts w:ascii="宋体" w:hAnsi="宋体"/>
                <w:color w:val="auto"/>
                <w:szCs w:val="21"/>
              </w:rPr>
            </w:pPr>
          </w:p>
        </w:tc>
        <w:tc>
          <w:tcPr>
            <w:tcW w:w="697" w:type="dxa"/>
            <w:vMerge w:val="restart"/>
            <w:noWrap/>
            <w:vAlign w:val="center"/>
          </w:tcPr>
          <w:p w14:paraId="60BD69DF">
            <w:pPr>
              <w:jc w:val="center"/>
              <w:rPr>
                <w:rFonts w:ascii="宋体" w:hAnsi="宋体"/>
                <w:color w:val="auto"/>
                <w:szCs w:val="21"/>
              </w:rPr>
            </w:pPr>
            <w:r>
              <w:rPr>
                <w:rFonts w:hint="eastAsia" w:ascii="宋体" w:hAnsi="宋体"/>
                <w:color w:val="auto"/>
                <w:szCs w:val="21"/>
              </w:rPr>
              <w:t>实时统计</w:t>
            </w:r>
          </w:p>
        </w:tc>
        <w:tc>
          <w:tcPr>
            <w:tcW w:w="6938" w:type="dxa"/>
            <w:gridSpan w:val="2"/>
            <w:noWrap/>
            <w:vAlign w:val="center"/>
          </w:tcPr>
          <w:p w14:paraId="7B11BDFD">
            <w:pPr>
              <w:rPr>
                <w:rFonts w:ascii="宋体" w:hAnsi="宋体"/>
                <w:color w:val="auto"/>
                <w:szCs w:val="21"/>
              </w:rPr>
            </w:pPr>
            <w:r>
              <w:rPr>
                <w:rFonts w:hint="eastAsia" w:ascii="宋体" w:hAnsi="宋体"/>
                <w:color w:val="auto"/>
                <w:szCs w:val="21"/>
              </w:rPr>
              <w:t xml:space="preserve"> 自动统计出当前病区的住院总人数、欠费人数、各个护理等级人数</w:t>
            </w:r>
            <w:r>
              <w:rPr>
                <w:rFonts w:hint="eastAsia" w:ascii="宋体" w:hAnsi="宋体"/>
                <w:color w:val="auto"/>
                <w:szCs w:val="21"/>
              </w:rPr>
              <w:t>、各护理风险等级人数、</w:t>
            </w:r>
            <w:r>
              <w:rPr>
                <w:rFonts w:hint="eastAsia" w:ascii="宋体" w:hAnsi="宋体"/>
                <w:color w:val="auto"/>
                <w:szCs w:val="21"/>
              </w:rPr>
              <w:t>病危病重、手术、当日出院人数等。具体项目类型和数量根据病区需求进行配置。</w:t>
            </w:r>
          </w:p>
        </w:tc>
        <w:tc>
          <w:tcPr>
            <w:tcW w:w="709" w:type="dxa"/>
            <w:vMerge w:val="continue"/>
            <w:noWrap/>
            <w:vAlign w:val="center"/>
          </w:tcPr>
          <w:p w14:paraId="595443F2">
            <w:pPr>
              <w:jc w:val="left"/>
              <w:rPr>
                <w:rFonts w:ascii="宋体" w:hAnsi="宋体"/>
                <w:color w:val="auto"/>
                <w:szCs w:val="21"/>
              </w:rPr>
            </w:pPr>
          </w:p>
        </w:tc>
      </w:tr>
      <w:tr w14:paraId="721F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1BAF337E">
            <w:pPr>
              <w:jc w:val="left"/>
              <w:rPr>
                <w:rFonts w:ascii="宋体" w:hAnsi="宋体"/>
                <w:color w:val="auto"/>
                <w:szCs w:val="21"/>
              </w:rPr>
            </w:pPr>
          </w:p>
        </w:tc>
        <w:tc>
          <w:tcPr>
            <w:tcW w:w="565" w:type="dxa"/>
            <w:gridSpan w:val="2"/>
            <w:vMerge w:val="continue"/>
            <w:noWrap/>
            <w:vAlign w:val="center"/>
          </w:tcPr>
          <w:p w14:paraId="026DA971">
            <w:pPr>
              <w:jc w:val="left"/>
              <w:rPr>
                <w:rFonts w:ascii="宋体" w:hAnsi="宋体"/>
                <w:color w:val="auto"/>
                <w:szCs w:val="21"/>
              </w:rPr>
            </w:pPr>
          </w:p>
        </w:tc>
        <w:tc>
          <w:tcPr>
            <w:tcW w:w="697" w:type="dxa"/>
            <w:vMerge w:val="continue"/>
            <w:noWrap/>
            <w:vAlign w:val="center"/>
          </w:tcPr>
          <w:p w14:paraId="2BFFE964">
            <w:pPr>
              <w:jc w:val="center"/>
              <w:rPr>
                <w:rFonts w:ascii="宋体" w:hAnsi="宋体"/>
                <w:color w:val="auto"/>
                <w:szCs w:val="21"/>
              </w:rPr>
            </w:pPr>
          </w:p>
        </w:tc>
        <w:tc>
          <w:tcPr>
            <w:tcW w:w="6938" w:type="dxa"/>
            <w:gridSpan w:val="2"/>
            <w:noWrap/>
            <w:vAlign w:val="center"/>
          </w:tcPr>
          <w:p w14:paraId="076D0564">
            <w:pPr>
              <w:rPr>
                <w:rFonts w:ascii="宋体" w:hAnsi="宋体"/>
                <w:color w:val="auto"/>
                <w:szCs w:val="21"/>
              </w:rPr>
            </w:pPr>
            <w:r>
              <w:rPr>
                <w:rFonts w:hint="eastAsia" w:ascii="宋体" w:hAnsi="宋体"/>
                <w:color w:val="auto"/>
                <w:szCs w:val="21"/>
              </w:rPr>
              <w:t xml:space="preserve"> 可显示空床、新入、转入、转出、特级护理、一级护理、二级护理、病重、病危、出院等项目具体床号，点击床号可直接了解详细信息。</w:t>
            </w:r>
          </w:p>
        </w:tc>
        <w:tc>
          <w:tcPr>
            <w:tcW w:w="709" w:type="dxa"/>
            <w:vMerge w:val="continue"/>
            <w:noWrap/>
            <w:vAlign w:val="center"/>
          </w:tcPr>
          <w:p w14:paraId="22B99D2C">
            <w:pPr>
              <w:jc w:val="left"/>
              <w:rPr>
                <w:rFonts w:ascii="宋体" w:hAnsi="宋体"/>
                <w:color w:val="auto"/>
                <w:szCs w:val="21"/>
              </w:rPr>
            </w:pPr>
          </w:p>
        </w:tc>
      </w:tr>
      <w:tr w14:paraId="3E75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700D3EA">
            <w:pPr>
              <w:jc w:val="left"/>
              <w:rPr>
                <w:rFonts w:ascii="宋体" w:hAnsi="宋体"/>
                <w:color w:val="auto"/>
                <w:szCs w:val="21"/>
              </w:rPr>
            </w:pPr>
          </w:p>
        </w:tc>
        <w:tc>
          <w:tcPr>
            <w:tcW w:w="565" w:type="dxa"/>
            <w:gridSpan w:val="2"/>
            <w:vMerge w:val="continue"/>
            <w:noWrap/>
            <w:vAlign w:val="center"/>
          </w:tcPr>
          <w:p w14:paraId="30CF9A0A">
            <w:pPr>
              <w:jc w:val="left"/>
              <w:rPr>
                <w:rFonts w:ascii="宋体" w:hAnsi="宋体"/>
                <w:color w:val="auto"/>
                <w:szCs w:val="21"/>
              </w:rPr>
            </w:pPr>
          </w:p>
        </w:tc>
        <w:tc>
          <w:tcPr>
            <w:tcW w:w="697" w:type="dxa"/>
            <w:vMerge w:val="continue"/>
            <w:noWrap/>
            <w:vAlign w:val="center"/>
          </w:tcPr>
          <w:p w14:paraId="236D482D">
            <w:pPr>
              <w:jc w:val="center"/>
              <w:rPr>
                <w:rFonts w:ascii="宋体" w:hAnsi="宋体"/>
                <w:color w:val="auto"/>
                <w:szCs w:val="21"/>
              </w:rPr>
            </w:pPr>
          </w:p>
        </w:tc>
        <w:tc>
          <w:tcPr>
            <w:tcW w:w="6938" w:type="dxa"/>
            <w:gridSpan w:val="2"/>
            <w:noWrap/>
            <w:vAlign w:val="center"/>
          </w:tcPr>
          <w:p w14:paraId="09583422">
            <w:pPr>
              <w:rPr>
                <w:rFonts w:ascii="宋体" w:hAnsi="宋体"/>
                <w:color w:val="auto"/>
                <w:szCs w:val="21"/>
              </w:rPr>
            </w:pPr>
            <w:r>
              <w:rPr>
                <w:rFonts w:hint="eastAsia" w:ascii="宋体" w:hAnsi="宋体"/>
                <w:color w:val="auto"/>
                <w:szCs w:val="21"/>
              </w:rPr>
              <w:t xml:space="preserve"> 可根据病区需求配置需要进行统计的具体项目类型。</w:t>
            </w:r>
          </w:p>
        </w:tc>
        <w:tc>
          <w:tcPr>
            <w:tcW w:w="709" w:type="dxa"/>
            <w:vMerge w:val="continue"/>
            <w:noWrap/>
            <w:vAlign w:val="center"/>
          </w:tcPr>
          <w:p w14:paraId="7FFF9015">
            <w:pPr>
              <w:jc w:val="left"/>
              <w:rPr>
                <w:rFonts w:ascii="宋体" w:hAnsi="宋体"/>
                <w:color w:val="auto"/>
                <w:szCs w:val="21"/>
              </w:rPr>
            </w:pPr>
          </w:p>
        </w:tc>
      </w:tr>
      <w:tr w14:paraId="1D19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6AE3C3A3">
            <w:pPr>
              <w:jc w:val="left"/>
              <w:rPr>
                <w:rFonts w:ascii="宋体" w:hAnsi="宋体"/>
                <w:color w:val="auto"/>
                <w:szCs w:val="21"/>
              </w:rPr>
            </w:pPr>
          </w:p>
        </w:tc>
        <w:tc>
          <w:tcPr>
            <w:tcW w:w="565" w:type="dxa"/>
            <w:gridSpan w:val="2"/>
            <w:vMerge w:val="restart"/>
            <w:noWrap/>
            <w:vAlign w:val="center"/>
          </w:tcPr>
          <w:p w14:paraId="585EEA6A">
            <w:pPr>
              <w:jc w:val="left"/>
              <w:rPr>
                <w:rFonts w:ascii="宋体" w:hAnsi="宋体"/>
                <w:color w:val="auto"/>
                <w:szCs w:val="21"/>
              </w:rPr>
            </w:pPr>
            <w:r>
              <w:rPr>
                <w:rFonts w:hint="eastAsia" w:ascii="宋体" w:hAnsi="宋体"/>
                <w:color w:val="auto"/>
                <w:szCs w:val="21"/>
              </w:rPr>
              <w:t>医嘱管理</w:t>
            </w:r>
          </w:p>
        </w:tc>
        <w:tc>
          <w:tcPr>
            <w:tcW w:w="697" w:type="dxa"/>
            <w:vMerge w:val="restart"/>
            <w:noWrap/>
            <w:vAlign w:val="center"/>
          </w:tcPr>
          <w:p w14:paraId="2C12E4BA">
            <w:pPr>
              <w:jc w:val="center"/>
              <w:rPr>
                <w:rFonts w:ascii="宋体" w:hAnsi="宋体"/>
                <w:color w:val="auto"/>
                <w:szCs w:val="21"/>
              </w:rPr>
            </w:pPr>
            <w:r>
              <w:rPr>
                <w:rFonts w:hint="eastAsia" w:ascii="宋体" w:hAnsi="宋体"/>
                <w:color w:val="auto"/>
                <w:szCs w:val="21"/>
              </w:rPr>
              <w:t>原始医嘱查对</w:t>
            </w:r>
          </w:p>
        </w:tc>
        <w:tc>
          <w:tcPr>
            <w:tcW w:w="6938" w:type="dxa"/>
            <w:gridSpan w:val="2"/>
            <w:noWrap/>
            <w:vAlign w:val="center"/>
          </w:tcPr>
          <w:p w14:paraId="6CF7BF4D">
            <w:pPr>
              <w:rPr>
                <w:rFonts w:ascii="宋体" w:hAnsi="宋体"/>
                <w:color w:val="auto"/>
                <w:szCs w:val="21"/>
              </w:rPr>
            </w:pPr>
            <w:r>
              <w:rPr>
                <w:rFonts w:hint="eastAsia" w:ascii="宋体" w:hAnsi="宋体"/>
                <w:color w:val="auto"/>
                <w:szCs w:val="21"/>
              </w:rPr>
              <w:t xml:space="preserve"> 查看和核对当前病区内在院的任一患者的医嘱信息，医嘱信息包括开始时间、状态、医嘱内容、剂量、用量、执行方式、频次、开立医生、停嘱医生和停嘱时间等。</w:t>
            </w:r>
          </w:p>
        </w:tc>
        <w:tc>
          <w:tcPr>
            <w:tcW w:w="709" w:type="dxa"/>
            <w:vMerge w:val="continue"/>
            <w:noWrap/>
            <w:vAlign w:val="center"/>
          </w:tcPr>
          <w:p w14:paraId="63B31C89">
            <w:pPr>
              <w:jc w:val="left"/>
              <w:rPr>
                <w:rFonts w:ascii="宋体" w:hAnsi="宋体"/>
                <w:color w:val="auto"/>
                <w:szCs w:val="21"/>
              </w:rPr>
            </w:pPr>
          </w:p>
        </w:tc>
      </w:tr>
      <w:tr w14:paraId="1557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7AE11EBC">
            <w:pPr>
              <w:jc w:val="left"/>
              <w:rPr>
                <w:rFonts w:ascii="宋体" w:hAnsi="宋体"/>
                <w:color w:val="auto"/>
                <w:szCs w:val="21"/>
              </w:rPr>
            </w:pPr>
          </w:p>
        </w:tc>
        <w:tc>
          <w:tcPr>
            <w:tcW w:w="565" w:type="dxa"/>
            <w:gridSpan w:val="2"/>
            <w:vMerge w:val="continue"/>
            <w:noWrap/>
            <w:vAlign w:val="center"/>
          </w:tcPr>
          <w:p w14:paraId="2697BA32">
            <w:pPr>
              <w:jc w:val="left"/>
              <w:rPr>
                <w:rFonts w:ascii="宋体" w:hAnsi="宋体"/>
                <w:color w:val="auto"/>
                <w:szCs w:val="21"/>
              </w:rPr>
            </w:pPr>
          </w:p>
        </w:tc>
        <w:tc>
          <w:tcPr>
            <w:tcW w:w="697" w:type="dxa"/>
            <w:vMerge w:val="continue"/>
            <w:noWrap/>
            <w:vAlign w:val="center"/>
          </w:tcPr>
          <w:p w14:paraId="68F3559B">
            <w:pPr>
              <w:jc w:val="center"/>
              <w:rPr>
                <w:rFonts w:ascii="宋体" w:hAnsi="宋体"/>
                <w:color w:val="auto"/>
                <w:szCs w:val="21"/>
              </w:rPr>
            </w:pPr>
          </w:p>
        </w:tc>
        <w:tc>
          <w:tcPr>
            <w:tcW w:w="6938" w:type="dxa"/>
            <w:gridSpan w:val="2"/>
            <w:noWrap/>
            <w:vAlign w:val="center"/>
          </w:tcPr>
          <w:p w14:paraId="16A5233F">
            <w:pPr>
              <w:rPr>
                <w:rFonts w:ascii="宋体" w:hAnsi="宋体"/>
                <w:color w:val="auto"/>
                <w:szCs w:val="21"/>
              </w:rPr>
            </w:pPr>
            <w:r>
              <w:rPr>
                <w:rFonts w:hint="eastAsia" w:ascii="宋体" w:hAnsi="宋体"/>
                <w:color w:val="auto"/>
                <w:szCs w:val="21"/>
              </w:rPr>
              <w:t xml:space="preserve"> 根据多种条件筛选医嘱。时间：自行选择起止时间；医嘱类型：长期医嘱和临时医嘱；医嘱状态：未停、停止、撤销；医嘱类别及医嘱用法：输液、注射、口服、雾化吸入、皮试、检验、检查等。</w:t>
            </w:r>
          </w:p>
        </w:tc>
        <w:tc>
          <w:tcPr>
            <w:tcW w:w="709" w:type="dxa"/>
            <w:vMerge w:val="continue"/>
            <w:noWrap/>
            <w:vAlign w:val="center"/>
          </w:tcPr>
          <w:p w14:paraId="35C6A01D">
            <w:pPr>
              <w:jc w:val="left"/>
              <w:rPr>
                <w:rFonts w:ascii="宋体" w:hAnsi="宋体"/>
                <w:color w:val="auto"/>
                <w:szCs w:val="21"/>
              </w:rPr>
            </w:pPr>
          </w:p>
        </w:tc>
      </w:tr>
      <w:tr w14:paraId="1559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C38C9EF">
            <w:pPr>
              <w:jc w:val="left"/>
              <w:rPr>
                <w:rFonts w:ascii="宋体" w:hAnsi="宋体"/>
                <w:color w:val="auto"/>
                <w:szCs w:val="21"/>
              </w:rPr>
            </w:pPr>
          </w:p>
        </w:tc>
        <w:tc>
          <w:tcPr>
            <w:tcW w:w="565" w:type="dxa"/>
            <w:gridSpan w:val="2"/>
            <w:vMerge w:val="continue"/>
            <w:noWrap/>
            <w:vAlign w:val="center"/>
          </w:tcPr>
          <w:p w14:paraId="4CCF3078">
            <w:pPr>
              <w:jc w:val="left"/>
              <w:rPr>
                <w:rFonts w:ascii="宋体" w:hAnsi="宋体"/>
                <w:color w:val="auto"/>
                <w:szCs w:val="21"/>
              </w:rPr>
            </w:pPr>
          </w:p>
        </w:tc>
        <w:tc>
          <w:tcPr>
            <w:tcW w:w="697" w:type="dxa"/>
            <w:vMerge w:val="continue"/>
            <w:noWrap/>
            <w:vAlign w:val="center"/>
          </w:tcPr>
          <w:p w14:paraId="61237FAE">
            <w:pPr>
              <w:jc w:val="center"/>
              <w:rPr>
                <w:rFonts w:ascii="宋体" w:hAnsi="宋体"/>
                <w:color w:val="auto"/>
                <w:szCs w:val="21"/>
              </w:rPr>
            </w:pPr>
          </w:p>
        </w:tc>
        <w:tc>
          <w:tcPr>
            <w:tcW w:w="6938" w:type="dxa"/>
            <w:gridSpan w:val="2"/>
            <w:noWrap/>
            <w:vAlign w:val="center"/>
          </w:tcPr>
          <w:p w14:paraId="09A365FF">
            <w:pPr>
              <w:rPr>
                <w:rFonts w:ascii="宋体" w:hAnsi="宋体"/>
                <w:color w:val="auto"/>
                <w:szCs w:val="21"/>
              </w:rPr>
            </w:pPr>
            <w:r>
              <w:rPr>
                <w:rFonts w:hint="eastAsia" w:ascii="宋体" w:hAnsi="宋体"/>
                <w:color w:val="auto"/>
                <w:szCs w:val="21"/>
              </w:rPr>
              <w:t>唱对医嘱，便于医嘱的核对。</w:t>
            </w:r>
          </w:p>
        </w:tc>
        <w:tc>
          <w:tcPr>
            <w:tcW w:w="709" w:type="dxa"/>
            <w:vMerge w:val="continue"/>
            <w:noWrap/>
            <w:vAlign w:val="center"/>
          </w:tcPr>
          <w:p w14:paraId="1C817A08">
            <w:pPr>
              <w:jc w:val="left"/>
              <w:rPr>
                <w:rFonts w:ascii="宋体" w:hAnsi="宋体"/>
                <w:color w:val="auto"/>
                <w:szCs w:val="21"/>
              </w:rPr>
            </w:pPr>
          </w:p>
        </w:tc>
      </w:tr>
      <w:tr w14:paraId="54F2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230344A">
            <w:pPr>
              <w:jc w:val="left"/>
              <w:rPr>
                <w:rFonts w:ascii="宋体" w:hAnsi="宋体"/>
                <w:color w:val="auto"/>
                <w:szCs w:val="21"/>
              </w:rPr>
            </w:pPr>
          </w:p>
        </w:tc>
        <w:tc>
          <w:tcPr>
            <w:tcW w:w="565" w:type="dxa"/>
            <w:gridSpan w:val="2"/>
            <w:vMerge w:val="continue"/>
            <w:noWrap/>
            <w:vAlign w:val="center"/>
          </w:tcPr>
          <w:p w14:paraId="6FB46AF8">
            <w:pPr>
              <w:jc w:val="left"/>
              <w:rPr>
                <w:rFonts w:ascii="宋体" w:hAnsi="宋体"/>
                <w:color w:val="auto"/>
                <w:szCs w:val="21"/>
              </w:rPr>
            </w:pPr>
          </w:p>
        </w:tc>
        <w:tc>
          <w:tcPr>
            <w:tcW w:w="697" w:type="dxa"/>
            <w:vMerge w:val="continue"/>
            <w:noWrap/>
            <w:vAlign w:val="center"/>
          </w:tcPr>
          <w:p w14:paraId="3D8464ED">
            <w:pPr>
              <w:jc w:val="center"/>
              <w:rPr>
                <w:rFonts w:ascii="宋体" w:hAnsi="宋体"/>
                <w:color w:val="auto"/>
                <w:szCs w:val="21"/>
              </w:rPr>
            </w:pPr>
          </w:p>
        </w:tc>
        <w:tc>
          <w:tcPr>
            <w:tcW w:w="6938" w:type="dxa"/>
            <w:gridSpan w:val="2"/>
            <w:noWrap/>
            <w:vAlign w:val="center"/>
          </w:tcPr>
          <w:p w14:paraId="520F61A9">
            <w:pPr>
              <w:rPr>
                <w:rFonts w:ascii="宋体" w:hAnsi="宋体"/>
                <w:color w:val="auto"/>
                <w:szCs w:val="21"/>
              </w:rPr>
            </w:pPr>
            <w:r>
              <w:rPr>
                <w:rFonts w:hint="eastAsia" w:ascii="宋体" w:hAnsi="宋体"/>
                <w:color w:val="auto"/>
                <w:szCs w:val="21"/>
              </w:rPr>
              <w:t>可设置紧急医嘱或危重症患者医嘱的智能排序，确保得到优先级处理。</w:t>
            </w:r>
          </w:p>
        </w:tc>
        <w:tc>
          <w:tcPr>
            <w:tcW w:w="709" w:type="dxa"/>
            <w:vMerge w:val="continue"/>
            <w:noWrap/>
            <w:vAlign w:val="center"/>
          </w:tcPr>
          <w:p w14:paraId="20B68D05">
            <w:pPr>
              <w:jc w:val="left"/>
              <w:rPr>
                <w:rFonts w:ascii="宋体" w:hAnsi="宋体"/>
                <w:color w:val="auto"/>
                <w:szCs w:val="21"/>
              </w:rPr>
            </w:pPr>
          </w:p>
        </w:tc>
      </w:tr>
      <w:tr w14:paraId="26A2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3C227ED">
            <w:pPr>
              <w:jc w:val="left"/>
              <w:rPr>
                <w:rFonts w:ascii="宋体" w:hAnsi="宋体"/>
                <w:color w:val="auto"/>
                <w:szCs w:val="21"/>
              </w:rPr>
            </w:pPr>
          </w:p>
        </w:tc>
        <w:tc>
          <w:tcPr>
            <w:tcW w:w="565" w:type="dxa"/>
            <w:gridSpan w:val="2"/>
            <w:vMerge w:val="continue"/>
            <w:noWrap/>
            <w:vAlign w:val="center"/>
          </w:tcPr>
          <w:p w14:paraId="146E4404">
            <w:pPr>
              <w:jc w:val="left"/>
              <w:rPr>
                <w:rFonts w:ascii="宋体" w:hAnsi="宋体"/>
                <w:color w:val="auto"/>
                <w:szCs w:val="21"/>
              </w:rPr>
            </w:pPr>
          </w:p>
        </w:tc>
        <w:tc>
          <w:tcPr>
            <w:tcW w:w="697" w:type="dxa"/>
            <w:noWrap/>
            <w:vAlign w:val="center"/>
          </w:tcPr>
          <w:p w14:paraId="0C9128CF">
            <w:pPr>
              <w:jc w:val="center"/>
              <w:rPr>
                <w:rFonts w:ascii="宋体" w:hAnsi="宋体"/>
                <w:color w:val="auto"/>
                <w:szCs w:val="21"/>
              </w:rPr>
            </w:pPr>
            <w:r>
              <w:rPr>
                <w:rFonts w:hint="eastAsia" w:ascii="宋体" w:hAnsi="宋体"/>
                <w:color w:val="auto"/>
                <w:szCs w:val="21"/>
              </w:rPr>
              <w:t>医嘱补执行</w:t>
            </w:r>
          </w:p>
        </w:tc>
        <w:tc>
          <w:tcPr>
            <w:tcW w:w="6938" w:type="dxa"/>
            <w:gridSpan w:val="2"/>
            <w:noWrap/>
            <w:vAlign w:val="center"/>
          </w:tcPr>
          <w:p w14:paraId="666E948A">
            <w:pPr>
              <w:rPr>
                <w:rFonts w:ascii="宋体" w:hAnsi="宋体"/>
                <w:color w:val="auto"/>
                <w:szCs w:val="21"/>
              </w:rPr>
            </w:pPr>
            <w:r>
              <w:rPr>
                <w:rFonts w:hint="eastAsia" w:ascii="宋体" w:hAnsi="宋体"/>
                <w:color w:val="auto"/>
                <w:szCs w:val="21"/>
              </w:rPr>
              <w:t xml:space="preserve"> 对于特殊情况无法通过PDA扫码执行医嘱时，实现在PC端补执行医嘱。</w:t>
            </w:r>
          </w:p>
        </w:tc>
        <w:tc>
          <w:tcPr>
            <w:tcW w:w="709" w:type="dxa"/>
            <w:vMerge w:val="continue"/>
            <w:noWrap/>
            <w:vAlign w:val="center"/>
          </w:tcPr>
          <w:p w14:paraId="226ED4B6">
            <w:pPr>
              <w:jc w:val="left"/>
              <w:rPr>
                <w:rFonts w:ascii="宋体" w:hAnsi="宋体"/>
                <w:color w:val="auto"/>
                <w:szCs w:val="21"/>
              </w:rPr>
            </w:pPr>
          </w:p>
        </w:tc>
      </w:tr>
      <w:tr w14:paraId="109F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1A12042B">
            <w:pPr>
              <w:jc w:val="left"/>
              <w:rPr>
                <w:rFonts w:ascii="宋体" w:hAnsi="宋体"/>
                <w:color w:val="auto"/>
                <w:szCs w:val="21"/>
              </w:rPr>
            </w:pPr>
          </w:p>
        </w:tc>
        <w:tc>
          <w:tcPr>
            <w:tcW w:w="565" w:type="dxa"/>
            <w:gridSpan w:val="2"/>
            <w:vMerge w:val="continue"/>
            <w:noWrap/>
            <w:vAlign w:val="center"/>
          </w:tcPr>
          <w:p w14:paraId="3E453A41">
            <w:pPr>
              <w:jc w:val="left"/>
              <w:rPr>
                <w:rFonts w:ascii="宋体" w:hAnsi="宋体"/>
                <w:color w:val="auto"/>
                <w:szCs w:val="21"/>
              </w:rPr>
            </w:pPr>
          </w:p>
        </w:tc>
        <w:tc>
          <w:tcPr>
            <w:tcW w:w="697" w:type="dxa"/>
            <w:vMerge w:val="restart"/>
            <w:noWrap/>
            <w:vAlign w:val="center"/>
          </w:tcPr>
          <w:p w14:paraId="332E41BA">
            <w:pPr>
              <w:jc w:val="center"/>
              <w:rPr>
                <w:rFonts w:ascii="宋体" w:hAnsi="宋体"/>
                <w:color w:val="auto"/>
                <w:szCs w:val="21"/>
              </w:rPr>
            </w:pPr>
            <w:r>
              <w:rPr>
                <w:rFonts w:hint="eastAsia" w:ascii="宋体" w:hAnsi="宋体"/>
                <w:color w:val="auto"/>
                <w:szCs w:val="21"/>
              </w:rPr>
              <w:t>瓶签打印</w:t>
            </w:r>
          </w:p>
        </w:tc>
        <w:tc>
          <w:tcPr>
            <w:tcW w:w="6938" w:type="dxa"/>
            <w:gridSpan w:val="2"/>
            <w:noWrap/>
            <w:vAlign w:val="center"/>
          </w:tcPr>
          <w:p w14:paraId="3E3A182F">
            <w:pPr>
              <w:rPr>
                <w:rFonts w:ascii="宋体" w:hAnsi="宋体"/>
                <w:color w:val="auto"/>
                <w:szCs w:val="21"/>
              </w:rPr>
            </w:pPr>
            <w:r>
              <w:rPr>
                <w:rFonts w:hint="eastAsia" w:ascii="宋体" w:hAnsi="宋体"/>
                <w:color w:val="auto"/>
                <w:szCs w:val="21"/>
              </w:rPr>
              <w:t xml:space="preserve"> 根据医嘱频次、计划执行时间对医嘱进行拆分，可根据医院要求配置统一样式的医嘱瓶签并打印</w:t>
            </w:r>
          </w:p>
        </w:tc>
        <w:tc>
          <w:tcPr>
            <w:tcW w:w="709" w:type="dxa"/>
            <w:vMerge w:val="continue"/>
            <w:noWrap/>
            <w:vAlign w:val="center"/>
          </w:tcPr>
          <w:p w14:paraId="1BFEAE8F">
            <w:pPr>
              <w:jc w:val="left"/>
              <w:rPr>
                <w:rFonts w:ascii="宋体" w:hAnsi="宋体"/>
                <w:color w:val="auto"/>
                <w:szCs w:val="21"/>
              </w:rPr>
            </w:pPr>
          </w:p>
        </w:tc>
      </w:tr>
      <w:tr w14:paraId="1987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5064087">
            <w:pPr>
              <w:jc w:val="left"/>
              <w:rPr>
                <w:rFonts w:ascii="宋体" w:hAnsi="宋体"/>
                <w:color w:val="auto"/>
                <w:szCs w:val="21"/>
              </w:rPr>
            </w:pPr>
          </w:p>
        </w:tc>
        <w:tc>
          <w:tcPr>
            <w:tcW w:w="565" w:type="dxa"/>
            <w:gridSpan w:val="2"/>
            <w:vMerge w:val="continue"/>
            <w:noWrap/>
            <w:vAlign w:val="center"/>
          </w:tcPr>
          <w:p w14:paraId="483B4125">
            <w:pPr>
              <w:jc w:val="left"/>
              <w:rPr>
                <w:rFonts w:ascii="宋体" w:hAnsi="宋体"/>
                <w:color w:val="auto"/>
                <w:szCs w:val="21"/>
              </w:rPr>
            </w:pPr>
          </w:p>
        </w:tc>
        <w:tc>
          <w:tcPr>
            <w:tcW w:w="697" w:type="dxa"/>
            <w:vMerge w:val="continue"/>
            <w:noWrap/>
            <w:vAlign w:val="center"/>
          </w:tcPr>
          <w:p w14:paraId="517CBC3F">
            <w:pPr>
              <w:jc w:val="center"/>
              <w:rPr>
                <w:rFonts w:ascii="宋体" w:hAnsi="宋体"/>
                <w:color w:val="auto"/>
                <w:szCs w:val="21"/>
              </w:rPr>
            </w:pPr>
          </w:p>
        </w:tc>
        <w:tc>
          <w:tcPr>
            <w:tcW w:w="6938" w:type="dxa"/>
            <w:gridSpan w:val="2"/>
            <w:noWrap/>
            <w:vAlign w:val="center"/>
          </w:tcPr>
          <w:p w14:paraId="403D90EC">
            <w:pPr>
              <w:rPr>
                <w:rFonts w:ascii="宋体" w:hAnsi="宋体"/>
                <w:color w:val="auto"/>
                <w:szCs w:val="21"/>
              </w:rPr>
            </w:pPr>
            <w:r>
              <w:rPr>
                <w:rFonts w:hint="eastAsia" w:ascii="宋体" w:hAnsi="宋体"/>
                <w:color w:val="auto"/>
                <w:szCs w:val="21"/>
              </w:rPr>
              <w:t xml:space="preserve"> 显示任一或多个、全部患者的瓶签信息，包括姓名</w:t>
            </w:r>
            <w:r>
              <w:rPr>
                <w:rFonts w:hint="eastAsia" w:ascii="宋体" w:hAnsi="宋体"/>
                <w:color w:val="auto"/>
                <w:szCs w:val="21"/>
              </w:rPr>
              <w:t>（加大字号）</w:t>
            </w:r>
            <w:r>
              <w:rPr>
                <w:rFonts w:hint="eastAsia" w:ascii="宋体" w:hAnsi="宋体"/>
                <w:color w:val="auto"/>
                <w:szCs w:val="21"/>
              </w:rPr>
              <w:t>、床号、医嘱内容、剂量、用法、频次等。</w:t>
            </w:r>
            <w:r>
              <w:rPr>
                <w:rFonts w:hint="eastAsia" w:ascii="宋体" w:hAnsi="宋体"/>
                <w:color w:val="auto"/>
                <w:szCs w:val="21"/>
              </w:rPr>
              <w:t>药名要显示医嘱全称。</w:t>
            </w:r>
          </w:p>
        </w:tc>
        <w:tc>
          <w:tcPr>
            <w:tcW w:w="709" w:type="dxa"/>
            <w:vMerge w:val="continue"/>
            <w:noWrap/>
            <w:vAlign w:val="center"/>
          </w:tcPr>
          <w:p w14:paraId="05463A97">
            <w:pPr>
              <w:jc w:val="left"/>
              <w:rPr>
                <w:rFonts w:ascii="宋体" w:hAnsi="宋体"/>
                <w:color w:val="auto"/>
                <w:szCs w:val="21"/>
              </w:rPr>
            </w:pPr>
          </w:p>
        </w:tc>
      </w:tr>
      <w:tr w14:paraId="2E5B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24CA229F">
            <w:pPr>
              <w:jc w:val="left"/>
              <w:rPr>
                <w:rFonts w:ascii="宋体" w:hAnsi="宋体"/>
                <w:color w:val="auto"/>
                <w:szCs w:val="21"/>
              </w:rPr>
            </w:pPr>
          </w:p>
        </w:tc>
        <w:tc>
          <w:tcPr>
            <w:tcW w:w="565" w:type="dxa"/>
            <w:gridSpan w:val="2"/>
            <w:vMerge w:val="continue"/>
            <w:noWrap/>
            <w:vAlign w:val="center"/>
          </w:tcPr>
          <w:p w14:paraId="40811897">
            <w:pPr>
              <w:jc w:val="left"/>
              <w:rPr>
                <w:rFonts w:ascii="宋体" w:hAnsi="宋体"/>
                <w:color w:val="auto"/>
                <w:szCs w:val="21"/>
              </w:rPr>
            </w:pPr>
          </w:p>
        </w:tc>
        <w:tc>
          <w:tcPr>
            <w:tcW w:w="697" w:type="dxa"/>
            <w:vMerge w:val="continue"/>
            <w:noWrap/>
            <w:vAlign w:val="center"/>
          </w:tcPr>
          <w:p w14:paraId="38B15712">
            <w:pPr>
              <w:jc w:val="center"/>
              <w:rPr>
                <w:rFonts w:ascii="宋体" w:hAnsi="宋体"/>
                <w:color w:val="auto"/>
                <w:szCs w:val="21"/>
              </w:rPr>
            </w:pPr>
          </w:p>
        </w:tc>
        <w:tc>
          <w:tcPr>
            <w:tcW w:w="6938" w:type="dxa"/>
            <w:gridSpan w:val="2"/>
            <w:noWrap/>
            <w:vAlign w:val="center"/>
          </w:tcPr>
          <w:p w14:paraId="3C91483E">
            <w:pPr>
              <w:rPr>
                <w:rFonts w:ascii="宋体" w:hAnsi="宋体"/>
                <w:color w:val="auto"/>
                <w:szCs w:val="21"/>
              </w:rPr>
            </w:pPr>
            <w:r>
              <w:rPr>
                <w:rFonts w:hint="eastAsia" w:ascii="宋体" w:hAnsi="宋体"/>
                <w:color w:val="auto"/>
                <w:szCs w:val="21"/>
              </w:rPr>
              <w:t xml:space="preserve"> 可根据不同规则进行筛选和组合打印。医嘱类型：长期医嘱、临时医嘱、</w:t>
            </w:r>
            <w:r>
              <w:rPr>
                <w:rFonts w:hint="eastAsia" w:ascii="宋体" w:hAnsi="宋体"/>
                <w:color w:val="auto"/>
                <w:szCs w:val="21"/>
              </w:rPr>
              <w:t>不计费医嘱</w:t>
            </w:r>
            <w:r>
              <w:rPr>
                <w:rFonts w:hint="eastAsia" w:ascii="宋体" w:hAnsi="宋体"/>
                <w:color w:val="auto"/>
                <w:szCs w:val="21"/>
              </w:rPr>
              <w:t>等；医嘱内容类别：治疗、护理、手术、检验等；医嘱状态：正常、停止等；用法：输液、口服药、检验、雾化吸入、静脉推注、皮内注射等；打印情况：已打印、未打印等。</w:t>
            </w:r>
          </w:p>
        </w:tc>
        <w:tc>
          <w:tcPr>
            <w:tcW w:w="709" w:type="dxa"/>
            <w:vMerge w:val="continue"/>
            <w:noWrap/>
            <w:vAlign w:val="center"/>
          </w:tcPr>
          <w:p w14:paraId="1BBB0EDC">
            <w:pPr>
              <w:jc w:val="left"/>
              <w:rPr>
                <w:rFonts w:ascii="宋体" w:hAnsi="宋体"/>
                <w:color w:val="auto"/>
                <w:szCs w:val="21"/>
              </w:rPr>
            </w:pPr>
          </w:p>
        </w:tc>
      </w:tr>
      <w:tr w14:paraId="008B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D392815">
            <w:pPr>
              <w:jc w:val="left"/>
              <w:rPr>
                <w:rFonts w:ascii="宋体" w:hAnsi="宋体"/>
                <w:color w:val="auto"/>
                <w:szCs w:val="21"/>
              </w:rPr>
            </w:pPr>
          </w:p>
        </w:tc>
        <w:tc>
          <w:tcPr>
            <w:tcW w:w="565" w:type="dxa"/>
            <w:gridSpan w:val="2"/>
            <w:vMerge w:val="continue"/>
            <w:noWrap/>
            <w:vAlign w:val="center"/>
          </w:tcPr>
          <w:p w14:paraId="4DCD9439">
            <w:pPr>
              <w:jc w:val="left"/>
              <w:rPr>
                <w:rFonts w:ascii="宋体" w:hAnsi="宋体"/>
                <w:color w:val="auto"/>
                <w:szCs w:val="21"/>
              </w:rPr>
            </w:pPr>
          </w:p>
        </w:tc>
        <w:tc>
          <w:tcPr>
            <w:tcW w:w="697" w:type="dxa"/>
            <w:vMerge w:val="continue"/>
            <w:noWrap/>
            <w:vAlign w:val="center"/>
          </w:tcPr>
          <w:p w14:paraId="3DFFC44E">
            <w:pPr>
              <w:jc w:val="center"/>
              <w:rPr>
                <w:rFonts w:ascii="宋体" w:hAnsi="宋体"/>
                <w:color w:val="auto"/>
                <w:szCs w:val="21"/>
              </w:rPr>
            </w:pPr>
          </w:p>
        </w:tc>
        <w:tc>
          <w:tcPr>
            <w:tcW w:w="6938" w:type="dxa"/>
            <w:gridSpan w:val="2"/>
            <w:noWrap/>
            <w:vAlign w:val="center"/>
          </w:tcPr>
          <w:p w14:paraId="1A5B5AE4">
            <w:pPr>
              <w:rPr>
                <w:rFonts w:ascii="宋体" w:hAnsi="宋体"/>
                <w:color w:val="auto"/>
                <w:szCs w:val="21"/>
              </w:rPr>
            </w:pPr>
            <w:r>
              <w:rPr>
                <w:rFonts w:hint="eastAsia" w:ascii="宋体" w:hAnsi="宋体"/>
                <w:color w:val="auto"/>
                <w:szCs w:val="21"/>
              </w:rPr>
              <w:t xml:space="preserve"> 可根据自定义的时间段，过滤查看并打印不同时间段的瓶签。</w:t>
            </w:r>
          </w:p>
        </w:tc>
        <w:tc>
          <w:tcPr>
            <w:tcW w:w="709" w:type="dxa"/>
            <w:vMerge w:val="continue"/>
            <w:noWrap/>
            <w:vAlign w:val="center"/>
          </w:tcPr>
          <w:p w14:paraId="61C31B62">
            <w:pPr>
              <w:jc w:val="left"/>
              <w:rPr>
                <w:rFonts w:ascii="宋体" w:hAnsi="宋体"/>
                <w:color w:val="auto"/>
                <w:szCs w:val="21"/>
              </w:rPr>
            </w:pPr>
          </w:p>
        </w:tc>
      </w:tr>
      <w:tr w14:paraId="760DB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251B30F7">
            <w:pPr>
              <w:jc w:val="left"/>
              <w:rPr>
                <w:rFonts w:ascii="宋体" w:hAnsi="宋体"/>
                <w:color w:val="auto"/>
                <w:szCs w:val="21"/>
              </w:rPr>
            </w:pPr>
          </w:p>
        </w:tc>
        <w:tc>
          <w:tcPr>
            <w:tcW w:w="565" w:type="dxa"/>
            <w:gridSpan w:val="2"/>
            <w:vMerge w:val="continue"/>
            <w:noWrap/>
            <w:vAlign w:val="center"/>
          </w:tcPr>
          <w:p w14:paraId="3DE50DE2">
            <w:pPr>
              <w:jc w:val="left"/>
              <w:rPr>
                <w:rFonts w:ascii="宋体" w:hAnsi="宋体"/>
                <w:color w:val="auto"/>
                <w:szCs w:val="21"/>
              </w:rPr>
            </w:pPr>
          </w:p>
        </w:tc>
        <w:tc>
          <w:tcPr>
            <w:tcW w:w="697" w:type="dxa"/>
            <w:vMerge w:val="restart"/>
            <w:noWrap/>
            <w:vAlign w:val="center"/>
          </w:tcPr>
          <w:p w14:paraId="500A2A7C">
            <w:pPr>
              <w:jc w:val="center"/>
              <w:rPr>
                <w:rFonts w:ascii="宋体" w:hAnsi="宋体"/>
                <w:color w:val="auto"/>
                <w:szCs w:val="21"/>
              </w:rPr>
            </w:pPr>
            <w:r>
              <w:rPr>
                <w:rFonts w:hint="eastAsia" w:ascii="宋体" w:hAnsi="宋体"/>
                <w:color w:val="auto"/>
                <w:szCs w:val="21"/>
              </w:rPr>
              <w:t>医嘱执行记录</w:t>
            </w:r>
          </w:p>
        </w:tc>
        <w:tc>
          <w:tcPr>
            <w:tcW w:w="6938" w:type="dxa"/>
            <w:gridSpan w:val="2"/>
            <w:noWrap/>
            <w:vAlign w:val="center"/>
          </w:tcPr>
          <w:p w14:paraId="0DC5626D">
            <w:pPr>
              <w:rPr>
                <w:rFonts w:ascii="宋体" w:hAnsi="宋体"/>
                <w:color w:val="auto"/>
                <w:szCs w:val="21"/>
              </w:rPr>
            </w:pPr>
            <w:r>
              <w:rPr>
                <w:rFonts w:hint="eastAsia" w:ascii="宋体" w:hAnsi="宋体"/>
                <w:color w:val="auto"/>
                <w:szCs w:val="21"/>
              </w:rPr>
              <w:t xml:space="preserve"> 用于查看当前病区内在院的任一或多个患者的执行情况，包括患者基本信息、医嘱类型、计划时间、执行时间、执行人签名、核对人签名、医嘱内容（药物或项目名称）、剂量、规格、用法、频次、开立医生、开立时间等。</w:t>
            </w:r>
          </w:p>
        </w:tc>
        <w:tc>
          <w:tcPr>
            <w:tcW w:w="709" w:type="dxa"/>
            <w:vMerge w:val="continue"/>
            <w:noWrap/>
            <w:vAlign w:val="center"/>
          </w:tcPr>
          <w:p w14:paraId="5FC09B7C">
            <w:pPr>
              <w:jc w:val="left"/>
              <w:rPr>
                <w:rFonts w:ascii="宋体" w:hAnsi="宋体"/>
                <w:color w:val="auto"/>
                <w:szCs w:val="21"/>
              </w:rPr>
            </w:pPr>
          </w:p>
        </w:tc>
      </w:tr>
      <w:tr w14:paraId="2782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09EC251F">
            <w:pPr>
              <w:jc w:val="left"/>
              <w:rPr>
                <w:rFonts w:ascii="宋体" w:hAnsi="宋体"/>
                <w:color w:val="auto"/>
                <w:szCs w:val="21"/>
              </w:rPr>
            </w:pPr>
          </w:p>
        </w:tc>
        <w:tc>
          <w:tcPr>
            <w:tcW w:w="565" w:type="dxa"/>
            <w:gridSpan w:val="2"/>
            <w:vMerge w:val="continue"/>
            <w:noWrap/>
            <w:vAlign w:val="center"/>
          </w:tcPr>
          <w:p w14:paraId="18C04928">
            <w:pPr>
              <w:jc w:val="left"/>
              <w:rPr>
                <w:rFonts w:ascii="宋体" w:hAnsi="宋体"/>
                <w:color w:val="auto"/>
                <w:szCs w:val="21"/>
              </w:rPr>
            </w:pPr>
          </w:p>
        </w:tc>
        <w:tc>
          <w:tcPr>
            <w:tcW w:w="697" w:type="dxa"/>
            <w:vMerge w:val="continue"/>
            <w:noWrap/>
            <w:vAlign w:val="center"/>
          </w:tcPr>
          <w:p w14:paraId="17F0D400">
            <w:pPr>
              <w:jc w:val="center"/>
              <w:rPr>
                <w:rFonts w:ascii="宋体" w:hAnsi="宋体"/>
                <w:color w:val="auto"/>
                <w:szCs w:val="21"/>
              </w:rPr>
            </w:pPr>
          </w:p>
        </w:tc>
        <w:tc>
          <w:tcPr>
            <w:tcW w:w="6938" w:type="dxa"/>
            <w:gridSpan w:val="2"/>
            <w:noWrap/>
            <w:vAlign w:val="center"/>
          </w:tcPr>
          <w:p w14:paraId="06E3BAC6">
            <w:pPr>
              <w:rPr>
                <w:rFonts w:ascii="宋体" w:hAnsi="宋体"/>
                <w:color w:val="auto"/>
                <w:szCs w:val="21"/>
              </w:rPr>
            </w:pPr>
            <w:r>
              <w:rPr>
                <w:rFonts w:hint="eastAsia" w:ascii="宋体" w:hAnsi="宋体"/>
                <w:color w:val="auto"/>
                <w:szCs w:val="21"/>
              </w:rPr>
              <w:t xml:space="preserve"> 根据多种条件筛选医嘱详细执行记录。时间：自行选择起止时间；医嘱类型：长期医嘱和临时医嘱；</w:t>
            </w:r>
            <w:r>
              <w:rPr>
                <w:rFonts w:hint="eastAsia" w:ascii="宋体" w:hAnsi="宋体"/>
                <w:color w:val="auto"/>
                <w:szCs w:val="21"/>
              </w:rPr>
              <w:t>执行人（过医嘱护士）；</w:t>
            </w:r>
            <w:r>
              <w:rPr>
                <w:rFonts w:hint="eastAsia" w:ascii="宋体" w:hAnsi="宋体"/>
                <w:color w:val="auto"/>
                <w:szCs w:val="21"/>
              </w:rPr>
              <w:t>执行状态：未执行、执行中、已执行；医嘱类别、用法：输液、注射、口服、雾化吸入、皮试、检验、检查等。</w:t>
            </w:r>
          </w:p>
        </w:tc>
        <w:tc>
          <w:tcPr>
            <w:tcW w:w="709" w:type="dxa"/>
            <w:vMerge w:val="continue"/>
            <w:noWrap/>
            <w:vAlign w:val="center"/>
          </w:tcPr>
          <w:p w14:paraId="040F16DB">
            <w:pPr>
              <w:jc w:val="left"/>
              <w:rPr>
                <w:rFonts w:ascii="宋体" w:hAnsi="宋体"/>
                <w:color w:val="auto"/>
                <w:szCs w:val="21"/>
              </w:rPr>
            </w:pPr>
          </w:p>
        </w:tc>
      </w:tr>
      <w:tr w14:paraId="719E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3DFA40B4">
            <w:pPr>
              <w:jc w:val="left"/>
              <w:rPr>
                <w:rFonts w:ascii="宋体" w:hAnsi="宋体"/>
                <w:color w:val="auto"/>
                <w:szCs w:val="21"/>
              </w:rPr>
            </w:pPr>
          </w:p>
        </w:tc>
        <w:tc>
          <w:tcPr>
            <w:tcW w:w="565" w:type="dxa"/>
            <w:gridSpan w:val="2"/>
            <w:vMerge w:val="continue"/>
            <w:noWrap/>
            <w:vAlign w:val="center"/>
          </w:tcPr>
          <w:p w14:paraId="465F53D7">
            <w:pPr>
              <w:jc w:val="left"/>
              <w:rPr>
                <w:rFonts w:ascii="宋体" w:hAnsi="宋体"/>
                <w:color w:val="auto"/>
                <w:szCs w:val="21"/>
              </w:rPr>
            </w:pPr>
          </w:p>
        </w:tc>
        <w:tc>
          <w:tcPr>
            <w:tcW w:w="697" w:type="dxa"/>
            <w:noWrap/>
            <w:vAlign w:val="center"/>
          </w:tcPr>
          <w:p w14:paraId="4ECC3E78">
            <w:pPr>
              <w:jc w:val="center"/>
              <w:rPr>
                <w:rFonts w:ascii="宋体" w:hAnsi="宋体"/>
                <w:color w:val="auto"/>
                <w:szCs w:val="21"/>
              </w:rPr>
            </w:pPr>
            <w:r>
              <w:rPr>
                <w:rFonts w:hint="eastAsia" w:ascii="宋体" w:hAnsi="宋体"/>
                <w:color w:val="auto"/>
                <w:szCs w:val="21"/>
              </w:rPr>
              <w:t>医嘱执行回退</w:t>
            </w:r>
          </w:p>
        </w:tc>
        <w:tc>
          <w:tcPr>
            <w:tcW w:w="6938" w:type="dxa"/>
            <w:gridSpan w:val="2"/>
            <w:noWrap/>
            <w:vAlign w:val="center"/>
          </w:tcPr>
          <w:p w14:paraId="2D51CE9D">
            <w:pPr>
              <w:rPr>
                <w:rFonts w:ascii="宋体" w:hAnsi="宋体"/>
                <w:color w:val="auto"/>
                <w:szCs w:val="21"/>
              </w:rPr>
            </w:pPr>
            <w:r>
              <w:rPr>
                <w:rFonts w:hint="eastAsia" w:ascii="宋体" w:hAnsi="宋体"/>
                <w:color w:val="auto"/>
                <w:szCs w:val="21"/>
              </w:rPr>
              <w:t xml:space="preserve"> 对于特殊情况误操作执行的医嘱，支持回退；可配置回退权限；默认仅执行人</w:t>
            </w:r>
            <w:r>
              <w:rPr>
                <w:rFonts w:hint="eastAsia" w:ascii="宋体" w:hAnsi="宋体"/>
                <w:color w:val="auto"/>
                <w:szCs w:val="21"/>
              </w:rPr>
              <w:t>及护士长</w:t>
            </w:r>
            <w:r>
              <w:rPr>
                <w:rFonts w:hint="eastAsia" w:ascii="宋体" w:hAnsi="宋体"/>
                <w:color w:val="auto"/>
                <w:szCs w:val="21"/>
              </w:rPr>
              <w:t>可回退对应医嘱状态。</w:t>
            </w:r>
            <w:r>
              <w:rPr>
                <w:rFonts w:hint="eastAsia" w:ascii="宋体" w:hAnsi="宋体"/>
                <w:color w:val="auto"/>
                <w:szCs w:val="21"/>
              </w:rPr>
              <w:t>未执行、未收费的临时检查项目，在转科、出院时可一键退回。</w:t>
            </w:r>
          </w:p>
        </w:tc>
        <w:tc>
          <w:tcPr>
            <w:tcW w:w="709" w:type="dxa"/>
            <w:vMerge w:val="continue"/>
            <w:noWrap/>
            <w:vAlign w:val="center"/>
          </w:tcPr>
          <w:p w14:paraId="116B7F81">
            <w:pPr>
              <w:jc w:val="left"/>
              <w:rPr>
                <w:rFonts w:ascii="宋体" w:hAnsi="宋体"/>
                <w:color w:val="auto"/>
                <w:szCs w:val="21"/>
              </w:rPr>
            </w:pPr>
          </w:p>
        </w:tc>
      </w:tr>
      <w:tr w14:paraId="0619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53" w:hRule="atLeast"/>
        </w:trPr>
        <w:tc>
          <w:tcPr>
            <w:tcW w:w="731" w:type="dxa"/>
            <w:vMerge w:val="continue"/>
            <w:noWrap/>
            <w:vAlign w:val="center"/>
          </w:tcPr>
          <w:p w14:paraId="674679AB">
            <w:pPr>
              <w:jc w:val="left"/>
              <w:rPr>
                <w:rFonts w:ascii="宋体" w:hAnsi="宋体"/>
                <w:color w:val="auto"/>
                <w:szCs w:val="21"/>
              </w:rPr>
            </w:pPr>
          </w:p>
        </w:tc>
        <w:tc>
          <w:tcPr>
            <w:tcW w:w="565" w:type="dxa"/>
            <w:gridSpan w:val="2"/>
            <w:vMerge w:val="continue"/>
            <w:noWrap/>
            <w:vAlign w:val="center"/>
          </w:tcPr>
          <w:p w14:paraId="6C43CA7C">
            <w:pPr>
              <w:jc w:val="left"/>
              <w:rPr>
                <w:rFonts w:ascii="宋体" w:hAnsi="宋体"/>
                <w:color w:val="auto"/>
                <w:szCs w:val="21"/>
              </w:rPr>
            </w:pPr>
          </w:p>
        </w:tc>
        <w:tc>
          <w:tcPr>
            <w:tcW w:w="697" w:type="dxa"/>
            <w:vMerge w:val="restart"/>
            <w:noWrap/>
            <w:vAlign w:val="center"/>
          </w:tcPr>
          <w:p w14:paraId="7F22A803">
            <w:pPr>
              <w:jc w:val="center"/>
              <w:rPr>
                <w:rFonts w:ascii="宋体" w:hAnsi="宋体"/>
                <w:color w:val="auto"/>
                <w:szCs w:val="21"/>
              </w:rPr>
            </w:pPr>
            <w:r>
              <w:rPr>
                <w:rFonts w:hint="eastAsia" w:ascii="宋体" w:hAnsi="宋体"/>
                <w:color w:val="auto"/>
                <w:szCs w:val="21"/>
              </w:rPr>
              <w:t>医嘱执行单</w:t>
            </w:r>
          </w:p>
        </w:tc>
        <w:tc>
          <w:tcPr>
            <w:tcW w:w="6938" w:type="dxa"/>
            <w:gridSpan w:val="2"/>
            <w:noWrap/>
            <w:vAlign w:val="center"/>
          </w:tcPr>
          <w:p w14:paraId="7034BA5B">
            <w:pPr>
              <w:rPr>
                <w:rFonts w:ascii="宋体" w:hAnsi="宋体"/>
                <w:color w:val="auto"/>
                <w:szCs w:val="21"/>
              </w:rPr>
            </w:pPr>
            <w:r>
              <w:rPr>
                <w:rFonts w:hint="eastAsia" w:ascii="宋体" w:hAnsi="宋体"/>
                <w:color w:val="auto"/>
                <w:szCs w:val="21"/>
              </w:rPr>
              <w:t xml:space="preserve"> 查看和打印当前病区内在院的任一或多个患者的用药医嘱执行单，执行单信息包括患者基本信息、医嘱执行日期、医嘱内容（药物或项目名称）、剂量、频次、计划时间、执行时间、执行人签名、核对人签名、备注信息等。打印后自动生成打印时间。</w:t>
            </w:r>
          </w:p>
        </w:tc>
        <w:tc>
          <w:tcPr>
            <w:tcW w:w="709" w:type="dxa"/>
            <w:vMerge w:val="continue"/>
            <w:noWrap/>
            <w:vAlign w:val="center"/>
          </w:tcPr>
          <w:p w14:paraId="113BDED6">
            <w:pPr>
              <w:jc w:val="left"/>
              <w:rPr>
                <w:rFonts w:ascii="宋体" w:hAnsi="宋体"/>
                <w:color w:val="auto"/>
                <w:szCs w:val="21"/>
              </w:rPr>
            </w:pPr>
          </w:p>
        </w:tc>
      </w:tr>
      <w:tr w14:paraId="6843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52C1F486">
            <w:pPr>
              <w:jc w:val="left"/>
              <w:rPr>
                <w:rFonts w:ascii="宋体" w:hAnsi="宋体"/>
                <w:color w:val="auto"/>
                <w:szCs w:val="21"/>
              </w:rPr>
            </w:pPr>
          </w:p>
        </w:tc>
        <w:tc>
          <w:tcPr>
            <w:tcW w:w="565" w:type="dxa"/>
            <w:gridSpan w:val="2"/>
            <w:vMerge w:val="continue"/>
            <w:noWrap/>
            <w:vAlign w:val="center"/>
          </w:tcPr>
          <w:p w14:paraId="6533DE14">
            <w:pPr>
              <w:jc w:val="left"/>
              <w:rPr>
                <w:rFonts w:ascii="宋体" w:hAnsi="宋体"/>
                <w:color w:val="auto"/>
                <w:szCs w:val="21"/>
              </w:rPr>
            </w:pPr>
          </w:p>
        </w:tc>
        <w:tc>
          <w:tcPr>
            <w:tcW w:w="697" w:type="dxa"/>
            <w:vMerge w:val="continue"/>
            <w:noWrap/>
            <w:vAlign w:val="center"/>
          </w:tcPr>
          <w:p w14:paraId="16DD8938">
            <w:pPr>
              <w:jc w:val="center"/>
              <w:rPr>
                <w:rFonts w:ascii="宋体" w:hAnsi="宋体"/>
                <w:color w:val="auto"/>
                <w:szCs w:val="21"/>
              </w:rPr>
            </w:pPr>
          </w:p>
        </w:tc>
        <w:tc>
          <w:tcPr>
            <w:tcW w:w="6938" w:type="dxa"/>
            <w:gridSpan w:val="2"/>
            <w:noWrap/>
            <w:vAlign w:val="center"/>
          </w:tcPr>
          <w:p w14:paraId="42E77065">
            <w:pPr>
              <w:rPr>
                <w:rFonts w:ascii="宋体" w:hAnsi="宋体"/>
                <w:color w:val="auto"/>
                <w:szCs w:val="21"/>
              </w:rPr>
            </w:pPr>
            <w:r>
              <w:rPr>
                <w:rFonts w:hint="eastAsia" w:ascii="宋体" w:hAnsi="宋体"/>
                <w:color w:val="auto"/>
                <w:szCs w:val="21"/>
              </w:rPr>
              <w:t xml:space="preserve"> 根据多种条件筛选用药医嘱执行单。医嘱类型：长期医嘱和临时医嘱；医嘱状态：未执行、执行中、已执行；用法：输液、注射、口服、雾化吸入、泵入类输液等；</w:t>
            </w:r>
          </w:p>
        </w:tc>
        <w:tc>
          <w:tcPr>
            <w:tcW w:w="709" w:type="dxa"/>
            <w:vMerge w:val="continue"/>
            <w:noWrap/>
            <w:vAlign w:val="center"/>
          </w:tcPr>
          <w:p w14:paraId="44EB44CC">
            <w:pPr>
              <w:jc w:val="left"/>
              <w:rPr>
                <w:rFonts w:ascii="宋体" w:hAnsi="宋体"/>
                <w:color w:val="auto"/>
                <w:szCs w:val="21"/>
              </w:rPr>
            </w:pPr>
          </w:p>
        </w:tc>
      </w:tr>
      <w:tr w14:paraId="2519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5EABA29D">
            <w:pPr>
              <w:jc w:val="left"/>
              <w:rPr>
                <w:rFonts w:ascii="宋体" w:hAnsi="宋体"/>
                <w:color w:val="auto"/>
                <w:szCs w:val="21"/>
              </w:rPr>
            </w:pPr>
          </w:p>
        </w:tc>
        <w:tc>
          <w:tcPr>
            <w:tcW w:w="565" w:type="dxa"/>
            <w:gridSpan w:val="2"/>
            <w:vMerge w:val="continue"/>
            <w:noWrap/>
            <w:vAlign w:val="center"/>
          </w:tcPr>
          <w:p w14:paraId="2F1A5D6E">
            <w:pPr>
              <w:jc w:val="left"/>
              <w:rPr>
                <w:rFonts w:ascii="宋体" w:hAnsi="宋体"/>
                <w:color w:val="auto"/>
                <w:szCs w:val="21"/>
              </w:rPr>
            </w:pPr>
          </w:p>
        </w:tc>
        <w:tc>
          <w:tcPr>
            <w:tcW w:w="697" w:type="dxa"/>
            <w:vMerge w:val="restart"/>
            <w:noWrap/>
            <w:vAlign w:val="center"/>
          </w:tcPr>
          <w:p w14:paraId="537C0D42">
            <w:pPr>
              <w:jc w:val="center"/>
              <w:rPr>
                <w:rFonts w:ascii="宋体" w:hAnsi="宋体"/>
                <w:color w:val="auto"/>
                <w:szCs w:val="21"/>
              </w:rPr>
            </w:pPr>
            <w:r>
              <w:rPr>
                <w:rFonts w:hint="eastAsia" w:ascii="宋体" w:hAnsi="宋体"/>
                <w:color w:val="auto"/>
                <w:szCs w:val="21"/>
              </w:rPr>
              <w:t>输血执行单</w:t>
            </w:r>
          </w:p>
        </w:tc>
        <w:tc>
          <w:tcPr>
            <w:tcW w:w="6938" w:type="dxa"/>
            <w:gridSpan w:val="2"/>
            <w:noWrap/>
            <w:vAlign w:val="center"/>
          </w:tcPr>
          <w:p w14:paraId="6116C36D">
            <w:pPr>
              <w:rPr>
                <w:rFonts w:ascii="宋体" w:hAnsi="宋体"/>
                <w:color w:val="auto"/>
                <w:szCs w:val="21"/>
              </w:rPr>
            </w:pPr>
            <w:r>
              <w:rPr>
                <w:rFonts w:hint="eastAsia" w:ascii="宋体" w:hAnsi="宋体"/>
                <w:color w:val="auto"/>
                <w:szCs w:val="21"/>
              </w:rPr>
              <w:t xml:space="preserve"> 查看和打印当前病区内在院的任一或多个患者的输血执行单，执行单信息包括患者基本信息、血袋信息、计划时间、操作节点、操作时间、操作人/核对人信息、备注信息等。打印后自动生成打印时间。</w:t>
            </w:r>
          </w:p>
        </w:tc>
        <w:tc>
          <w:tcPr>
            <w:tcW w:w="709" w:type="dxa"/>
            <w:vMerge w:val="continue"/>
            <w:noWrap/>
            <w:vAlign w:val="center"/>
          </w:tcPr>
          <w:p w14:paraId="60F3B61A">
            <w:pPr>
              <w:jc w:val="left"/>
              <w:rPr>
                <w:rFonts w:ascii="宋体" w:hAnsi="宋体"/>
                <w:color w:val="auto"/>
                <w:szCs w:val="21"/>
              </w:rPr>
            </w:pPr>
          </w:p>
        </w:tc>
      </w:tr>
      <w:tr w14:paraId="3171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2B1C460B">
            <w:pPr>
              <w:jc w:val="left"/>
              <w:rPr>
                <w:rFonts w:ascii="宋体" w:hAnsi="宋体"/>
                <w:color w:val="auto"/>
                <w:szCs w:val="21"/>
              </w:rPr>
            </w:pPr>
          </w:p>
        </w:tc>
        <w:tc>
          <w:tcPr>
            <w:tcW w:w="565" w:type="dxa"/>
            <w:gridSpan w:val="2"/>
            <w:vMerge w:val="continue"/>
            <w:noWrap/>
            <w:vAlign w:val="center"/>
          </w:tcPr>
          <w:p w14:paraId="71C27E50">
            <w:pPr>
              <w:jc w:val="left"/>
              <w:rPr>
                <w:rFonts w:ascii="宋体" w:hAnsi="宋体"/>
                <w:color w:val="auto"/>
                <w:szCs w:val="21"/>
              </w:rPr>
            </w:pPr>
          </w:p>
        </w:tc>
        <w:tc>
          <w:tcPr>
            <w:tcW w:w="697" w:type="dxa"/>
            <w:vMerge w:val="continue"/>
            <w:noWrap/>
            <w:vAlign w:val="center"/>
          </w:tcPr>
          <w:p w14:paraId="2B256121">
            <w:pPr>
              <w:jc w:val="center"/>
              <w:rPr>
                <w:rFonts w:ascii="宋体" w:hAnsi="宋体"/>
                <w:color w:val="auto"/>
                <w:szCs w:val="21"/>
              </w:rPr>
            </w:pPr>
          </w:p>
        </w:tc>
        <w:tc>
          <w:tcPr>
            <w:tcW w:w="6938" w:type="dxa"/>
            <w:gridSpan w:val="2"/>
            <w:noWrap/>
            <w:vAlign w:val="center"/>
          </w:tcPr>
          <w:p w14:paraId="7236CF6B">
            <w:pPr>
              <w:rPr>
                <w:rFonts w:ascii="宋体" w:hAnsi="宋体"/>
                <w:color w:val="auto"/>
                <w:szCs w:val="21"/>
              </w:rPr>
            </w:pPr>
            <w:r>
              <w:rPr>
                <w:rFonts w:hint="eastAsia" w:ascii="宋体" w:hAnsi="宋体"/>
                <w:color w:val="auto"/>
                <w:szCs w:val="21"/>
              </w:rPr>
              <w:t xml:space="preserve"> 根据多种条件筛选输血执行单。时间范围，默认当日；执行状态：未执行、执行中、已完成；血袋状态：已回收、未回收。</w:t>
            </w:r>
          </w:p>
        </w:tc>
        <w:tc>
          <w:tcPr>
            <w:tcW w:w="709" w:type="dxa"/>
            <w:vMerge w:val="continue"/>
            <w:noWrap/>
            <w:vAlign w:val="center"/>
          </w:tcPr>
          <w:p w14:paraId="46F4D5D3">
            <w:pPr>
              <w:jc w:val="left"/>
              <w:rPr>
                <w:rFonts w:ascii="宋体" w:hAnsi="宋体"/>
                <w:color w:val="auto"/>
                <w:szCs w:val="21"/>
              </w:rPr>
            </w:pPr>
          </w:p>
        </w:tc>
      </w:tr>
      <w:tr w14:paraId="6F50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18A19699">
            <w:pPr>
              <w:jc w:val="left"/>
              <w:rPr>
                <w:rFonts w:ascii="宋体" w:hAnsi="宋体"/>
                <w:color w:val="auto"/>
                <w:szCs w:val="21"/>
              </w:rPr>
            </w:pPr>
          </w:p>
        </w:tc>
        <w:tc>
          <w:tcPr>
            <w:tcW w:w="565" w:type="dxa"/>
            <w:gridSpan w:val="2"/>
            <w:vMerge w:val="continue"/>
            <w:noWrap/>
            <w:vAlign w:val="center"/>
          </w:tcPr>
          <w:p w14:paraId="3F337883">
            <w:pPr>
              <w:jc w:val="left"/>
              <w:rPr>
                <w:rFonts w:ascii="宋体" w:hAnsi="宋体"/>
                <w:color w:val="auto"/>
                <w:szCs w:val="21"/>
              </w:rPr>
            </w:pPr>
          </w:p>
        </w:tc>
        <w:tc>
          <w:tcPr>
            <w:tcW w:w="697" w:type="dxa"/>
            <w:vMerge w:val="restart"/>
            <w:noWrap/>
            <w:vAlign w:val="center"/>
          </w:tcPr>
          <w:p w14:paraId="296855DB">
            <w:pPr>
              <w:jc w:val="center"/>
              <w:rPr>
                <w:rFonts w:ascii="宋体" w:hAnsi="宋体"/>
                <w:color w:val="auto"/>
                <w:szCs w:val="21"/>
              </w:rPr>
            </w:pPr>
            <w:r>
              <w:rPr>
                <w:rFonts w:hint="eastAsia" w:ascii="宋体" w:hAnsi="宋体"/>
                <w:color w:val="auto"/>
                <w:szCs w:val="21"/>
              </w:rPr>
              <w:t>检验执单</w:t>
            </w:r>
          </w:p>
        </w:tc>
        <w:tc>
          <w:tcPr>
            <w:tcW w:w="6938" w:type="dxa"/>
            <w:gridSpan w:val="2"/>
            <w:noWrap/>
            <w:vAlign w:val="center"/>
          </w:tcPr>
          <w:p w14:paraId="2EB6565E">
            <w:pPr>
              <w:rPr>
                <w:rFonts w:ascii="宋体" w:hAnsi="宋体"/>
                <w:color w:val="auto"/>
                <w:szCs w:val="21"/>
              </w:rPr>
            </w:pPr>
            <w:r>
              <w:rPr>
                <w:rFonts w:hint="eastAsia" w:ascii="宋体" w:hAnsi="宋体"/>
                <w:color w:val="auto"/>
                <w:szCs w:val="21"/>
              </w:rPr>
              <w:t xml:space="preserve"> 查看和打印当前病区内在院的任一或多个患者的检验执行单，执行单信息包括患者基本信息、检验信息、计划时间、操作节点、操作时间、操作人/核对人信息、备注信息等。打印后自动生成打印时间。</w:t>
            </w:r>
          </w:p>
        </w:tc>
        <w:tc>
          <w:tcPr>
            <w:tcW w:w="709" w:type="dxa"/>
            <w:vMerge w:val="continue"/>
            <w:noWrap/>
            <w:vAlign w:val="center"/>
          </w:tcPr>
          <w:p w14:paraId="2A6BE0EF">
            <w:pPr>
              <w:jc w:val="left"/>
              <w:rPr>
                <w:rFonts w:ascii="宋体" w:hAnsi="宋体"/>
                <w:color w:val="auto"/>
                <w:szCs w:val="21"/>
              </w:rPr>
            </w:pPr>
          </w:p>
        </w:tc>
      </w:tr>
      <w:tr w14:paraId="2CEC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6B4DA142">
            <w:pPr>
              <w:jc w:val="left"/>
              <w:rPr>
                <w:rFonts w:ascii="宋体" w:hAnsi="宋体"/>
                <w:color w:val="auto"/>
                <w:szCs w:val="21"/>
              </w:rPr>
            </w:pPr>
          </w:p>
        </w:tc>
        <w:tc>
          <w:tcPr>
            <w:tcW w:w="565" w:type="dxa"/>
            <w:gridSpan w:val="2"/>
            <w:vMerge w:val="continue"/>
            <w:noWrap/>
            <w:vAlign w:val="center"/>
          </w:tcPr>
          <w:p w14:paraId="59891C69">
            <w:pPr>
              <w:jc w:val="left"/>
              <w:rPr>
                <w:rFonts w:ascii="宋体" w:hAnsi="宋体"/>
                <w:color w:val="auto"/>
                <w:szCs w:val="21"/>
              </w:rPr>
            </w:pPr>
          </w:p>
        </w:tc>
        <w:tc>
          <w:tcPr>
            <w:tcW w:w="697" w:type="dxa"/>
            <w:vMerge w:val="continue"/>
            <w:noWrap/>
            <w:vAlign w:val="center"/>
          </w:tcPr>
          <w:p w14:paraId="70FC718F">
            <w:pPr>
              <w:jc w:val="center"/>
              <w:rPr>
                <w:rFonts w:ascii="宋体" w:hAnsi="宋体"/>
                <w:color w:val="auto"/>
                <w:szCs w:val="21"/>
              </w:rPr>
            </w:pPr>
          </w:p>
        </w:tc>
        <w:tc>
          <w:tcPr>
            <w:tcW w:w="6938" w:type="dxa"/>
            <w:gridSpan w:val="2"/>
            <w:noWrap/>
            <w:vAlign w:val="center"/>
          </w:tcPr>
          <w:p w14:paraId="7D871B4A">
            <w:pPr>
              <w:rPr>
                <w:rFonts w:ascii="宋体" w:hAnsi="宋体"/>
                <w:color w:val="auto"/>
                <w:szCs w:val="21"/>
              </w:rPr>
            </w:pPr>
            <w:r>
              <w:rPr>
                <w:rFonts w:hint="eastAsia" w:ascii="宋体" w:hAnsi="宋体"/>
                <w:color w:val="auto"/>
                <w:szCs w:val="21"/>
              </w:rPr>
              <w:t xml:space="preserve"> 根据多种条件筛选检验执行单。时间范围，默认当日；执行状态：未执行、执行中、已完成；送检状态：已送检、未送检。</w:t>
            </w:r>
          </w:p>
        </w:tc>
        <w:tc>
          <w:tcPr>
            <w:tcW w:w="709" w:type="dxa"/>
            <w:vMerge w:val="continue"/>
            <w:noWrap/>
            <w:vAlign w:val="center"/>
          </w:tcPr>
          <w:p w14:paraId="057AC752">
            <w:pPr>
              <w:jc w:val="left"/>
              <w:rPr>
                <w:rFonts w:ascii="宋体" w:hAnsi="宋体"/>
                <w:color w:val="auto"/>
                <w:szCs w:val="21"/>
              </w:rPr>
            </w:pPr>
          </w:p>
        </w:tc>
      </w:tr>
      <w:tr w14:paraId="4DA6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38E3D94B">
            <w:pPr>
              <w:jc w:val="left"/>
              <w:rPr>
                <w:rFonts w:ascii="宋体" w:hAnsi="宋体"/>
                <w:color w:val="auto"/>
                <w:szCs w:val="21"/>
              </w:rPr>
            </w:pPr>
          </w:p>
        </w:tc>
        <w:tc>
          <w:tcPr>
            <w:tcW w:w="565" w:type="dxa"/>
            <w:gridSpan w:val="2"/>
            <w:vMerge w:val="continue"/>
            <w:noWrap/>
            <w:vAlign w:val="center"/>
          </w:tcPr>
          <w:p w14:paraId="50E78C1A">
            <w:pPr>
              <w:jc w:val="left"/>
              <w:rPr>
                <w:rFonts w:ascii="宋体" w:hAnsi="宋体"/>
                <w:color w:val="auto"/>
                <w:szCs w:val="21"/>
              </w:rPr>
            </w:pPr>
          </w:p>
        </w:tc>
        <w:tc>
          <w:tcPr>
            <w:tcW w:w="697" w:type="dxa"/>
            <w:vMerge w:val="restart"/>
            <w:noWrap/>
            <w:vAlign w:val="center"/>
          </w:tcPr>
          <w:p w14:paraId="6EB2A5C5">
            <w:pPr>
              <w:jc w:val="center"/>
              <w:rPr>
                <w:rFonts w:ascii="宋体" w:hAnsi="宋体"/>
                <w:color w:val="auto"/>
                <w:szCs w:val="21"/>
              </w:rPr>
            </w:pPr>
            <w:r>
              <w:rPr>
                <w:rFonts w:hint="eastAsia" w:ascii="宋体" w:hAnsi="宋体"/>
                <w:color w:val="auto"/>
                <w:szCs w:val="21"/>
              </w:rPr>
              <w:t>皮试执行单</w:t>
            </w:r>
          </w:p>
        </w:tc>
        <w:tc>
          <w:tcPr>
            <w:tcW w:w="6938" w:type="dxa"/>
            <w:gridSpan w:val="2"/>
            <w:noWrap/>
            <w:vAlign w:val="center"/>
          </w:tcPr>
          <w:p w14:paraId="45F73575">
            <w:pPr>
              <w:rPr>
                <w:rFonts w:ascii="宋体" w:hAnsi="宋体"/>
                <w:color w:val="auto"/>
                <w:szCs w:val="21"/>
              </w:rPr>
            </w:pPr>
            <w:r>
              <w:rPr>
                <w:rFonts w:hint="eastAsia" w:ascii="宋体" w:hAnsi="宋体"/>
                <w:color w:val="auto"/>
                <w:szCs w:val="21"/>
              </w:rPr>
              <w:t xml:space="preserve"> 查看和打印当前病区内在院的任一或多个患者的皮试执行单，执行单信息包括患者基本信息、医嘱内容、皮试类型、执行护士、执行时间、报告护士、报告时间、审核护士、审核时间、皮试结果</w:t>
            </w:r>
            <w:r>
              <w:rPr>
                <w:rFonts w:hint="eastAsia" w:ascii="宋体" w:hAnsi="宋体"/>
                <w:color w:val="auto"/>
                <w:szCs w:val="21"/>
              </w:rPr>
              <w:t>（结果自动同步到体温单、护理记录、一览表、床头显示屏，可打印结果）</w:t>
            </w:r>
            <w:r>
              <w:rPr>
                <w:rFonts w:hint="eastAsia" w:ascii="宋体" w:hAnsi="宋体"/>
                <w:color w:val="auto"/>
                <w:szCs w:val="21"/>
              </w:rPr>
              <w:t>、皮试照片。打印后自动生成打印时间。</w:t>
            </w:r>
          </w:p>
        </w:tc>
        <w:tc>
          <w:tcPr>
            <w:tcW w:w="709" w:type="dxa"/>
            <w:vMerge w:val="continue"/>
            <w:noWrap/>
            <w:vAlign w:val="center"/>
          </w:tcPr>
          <w:p w14:paraId="32885A96">
            <w:pPr>
              <w:jc w:val="left"/>
              <w:rPr>
                <w:rFonts w:ascii="宋体" w:hAnsi="宋体"/>
                <w:color w:val="auto"/>
                <w:szCs w:val="21"/>
              </w:rPr>
            </w:pPr>
          </w:p>
        </w:tc>
      </w:tr>
      <w:tr w14:paraId="6D92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55EB000E">
            <w:pPr>
              <w:jc w:val="left"/>
              <w:rPr>
                <w:rFonts w:ascii="宋体" w:hAnsi="宋体"/>
                <w:color w:val="auto"/>
                <w:szCs w:val="21"/>
              </w:rPr>
            </w:pPr>
          </w:p>
        </w:tc>
        <w:tc>
          <w:tcPr>
            <w:tcW w:w="565" w:type="dxa"/>
            <w:gridSpan w:val="2"/>
            <w:vMerge w:val="continue"/>
            <w:noWrap/>
            <w:vAlign w:val="center"/>
          </w:tcPr>
          <w:p w14:paraId="06E4E54D">
            <w:pPr>
              <w:jc w:val="left"/>
              <w:rPr>
                <w:rFonts w:ascii="宋体" w:hAnsi="宋体"/>
                <w:color w:val="auto"/>
                <w:szCs w:val="21"/>
              </w:rPr>
            </w:pPr>
          </w:p>
        </w:tc>
        <w:tc>
          <w:tcPr>
            <w:tcW w:w="697" w:type="dxa"/>
            <w:vMerge w:val="continue"/>
            <w:noWrap/>
            <w:vAlign w:val="center"/>
          </w:tcPr>
          <w:p w14:paraId="6D406631">
            <w:pPr>
              <w:jc w:val="center"/>
              <w:rPr>
                <w:rFonts w:ascii="宋体" w:hAnsi="宋体"/>
                <w:color w:val="auto"/>
                <w:szCs w:val="21"/>
              </w:rPr>
            </w:pPr>
          </w:p>
        </w:tc>
        <w:tc>
          <w:tcPr>
            <w:tcW w:w="6938" w:type="dxa"/>
            <w:gridSpan w:val="2"/>
            <w:noWrap/>
            <w:vAlign w:val="center"/>
          </w:tcPr>
          <w:p w14:paraId="38F7B6F0">
            <w:pPr>
              <w:rPr>
                <w:rFonts w:ascii="宋体" w:hAnsi="宋体"/>
                <w:color w:val="auto"/>
                <w:szCs w:val="21"/>
              </w:rPr>
            </w:pPr>
            <w:r>
              <w:rPr>
                <w:rFonts w:hint="eastAsia" w:ascii="宋体" w:hAnsi="宋体"/>
                <w:color w:val="auto"/>
                <w:szCs w:val="21"/>
              </w:rPr>
              <w:t xml:space="preserve"> 根据多种条件筛选皮试执行单。时间范围，默认当日；执行状态：未执行、执行中、已完成；可筛选仅看已录入</w:t>
            </w:r>
            <w:r>
              <w:rPr>
                <w:rFonts w:hint="eastAsia" w:ascii="宋体" w:hAnsi="宋体"/>
                <w:color w:val="auto"/>
                <w:szCs w:val="21"/>
              </w:rPr>
              <w:t>、未录入</w:t>
            </w:r>
            <w:r>
              <w:rPr>
                <w:rFonts w:hint="eastAsia" w:ascii="宋体" w:hAnsi="宋体"/>
                <w:color w:val="auto"/>
                <w:szCs w:val="21"/>
              </w:rPr>
              <w:t>皮试结果的皮试执行单。</w:t>
            </w:r>
          </w:p>
        </w:tc>
        <w:tc>
          <w:tcPr>
            <w:tcW w:w="709" w:type="dxa"/>
            <w:vMerge w:val="continue"/>
            <w:noWrap/>
            <w:vAlign w:val="center"/>
          </w:tcPr>
          <w:p w14:paraId="4113FED4">
            <w:pPr>
              <w:jc w:val="left"/>
              <w:rPr>
                <w:rFonts w:ascii="宋体" w:hAnsi="宋体"/>
                <w:color w:val="auto"/>
                <w:szCs w:val="21"/>
              </w:rPr>
            </w:pPr>
          </w:p>
        </w:tc>
      </w:tr>
      <w:tr w14:paraId="2297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18D76847">
            <w:pPr>
              <w:jc w:val="left"/>
              <w:rPr>
                <w:rFonts w:ascii="宋体" w:hAnsi="宋体"/>
                <w:color w:val="auto"/>
                <w:szCs w:val="21"/>
              </w:rPr>
            </w:pPr>
          </w:p>
        </w:tc>
        <w:tc>
          <w:tcPr>
            <w:tcW w:w="565" w:type="dxa"/>
            <w:gridSpan w:val="2"/>
            <w:vMerge w:val="continue"/>
            <w:noWrap/>
            <w:vAlign w:val="center"/>
          </w:tcPr>
          <w:p w14:paraId="675FE9A3">
            <w:pPr>
              <w:jc w:val="left"/>
              <w:rPr>
                <w:rFonts w:ascii="宋体" w:hAnsi="宋体"/>
                <w:color w:val="auto"/>
                <w:szCs w:val="21"/>
              </w:rPr>
            </w:pPr>
          </w:p>
        </w:tc>
        <w:tc>
          <w:tcPr>
            <w:tcW w:w="697" w:type="dxa"/>
            <w:vMerge w:val="restart"/>
            <w:noWrap/>
            <w:vAlign w:val="center"/>
          </w:tcPr>
          <w:p w14:paraId="0DAF042E">
            <w:pPr>
              <w:jc w:val="center"/>
              <w:rPr>
                <w:rFonts w:ascii="宋体" w:hAnsi="宋体"/>
                <w:color w:val="auto"/>
                <w:szCs w:val="21"/>
              </w:rPr>
            </w:pPr>
            <w:r>
              <w:rPr>
                <w:rFonts w:hint="eastAsia" w:ascii="宋体" w:hAnsi="宋体"/>
                <w:color w:val="auto"/>
                <w:szCs w:val="21"/>
              </w:rPr>
              <w:t>收药执行单</w:t>
            </w:r>
          </w:p>
        </w:tc>
        <w:tc>
          <w:tcPr>
            <w:tcW w:w="6938" w:type="dxa"/>
            <w:gridSpan w:val="2"/>
            <w:noWrap/>
            <w:vAlign w:val="center"/>
          </w:tcPr>
          <w:p w14:paraId="7426FBAA">
            <w:pPr>
              <w:rPr>
                <w:rFonts w:ascii="宋体" w:hAnsi="宋体"/>
                <w:color w:val="auto"/>
                <w:szCs w:val="21"/>
              </w:rPr>
            </w:pPr>
            <w:r>
              <w:rPr>
                <w:rFonts w:hint="eastAsia" w:ascii="宋体" w:hAnsi="宋体"/>
                <w:color w:val="auto"/>
                <w:szCs w:val="21"/>
              </w:rPr>
              <w:t xml:space="preserve"> 查看和打印当前病区内在院的任一或多个患者的收药执行单，执行单信息包括患者基本信息、医嘱内容、用法、频次、计划时间、收药状态。打印后自动生成打印时间。</w:t>
            </w:r>
          </w:p>
        </w:tc>
        <w:tc>
          <w:tcPr>
            <w:tcW w:w="709" w:type="dxa"/>
            <w:vMerge w:val="continue"/>
            <w:noWrap/>
            <w:vAlign w:val="center"/>
          </w:tcPr>
          <w:p w14:paraId="72D25C9B">
            <w:pPr>
              <w:jc w:val="left"/>
              <w:rPr>
                <w:rFonts w:ascii="宋体" w:hAnsi="宋体"/>
                <w:color w:val="auto"/>
                <w:szCs w:val="21"/>
              </w:rPr>
            </w:pPr>
          </w:p>
        </w:tc>
      </w:tr>
      <w:tr w14:paraId="41A8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58A6063">
            <w:pPr>
              <w:jc w:val="left"/>
              <w:rPr>
                <w:rFonts w:ascii="宋体" w:hAnsi="宋体"/>
                <w:color w:val="auto"/>
                <w:szCs w:val="21"/>
              </w:rPr>
            </w:pPr>
          </w:p>
        </w:tc>
        <w:tc>
          <w:tcPr>
            <w:tcW w:w="565" w:type="dxa"/>
            <w:gridSpan w:val="2"/>
            <w:vMerge w:val="continue"/>
            <w:noWrap/>
            <w:vAlign w:val="center"/>
          </w:tcPr>
          <w:p w14:paraId="57AA9938">
            <w:pPr>
              <w:jc w:val="left"/>
              <w:rPr>
                <w:rFonts w:ascii="宋体" w:hAnsi="宋体"/>
                <w:color w:val="auto"/>
                <w:szCs w:val="21"/>
              </w:rPr>
            </w:pPr>
          </w:p>
        </w:tc>
        <w:tc>
          <w:tcPr>
            <w:tcW w:w="697" w:type="dxa"/>
            <w:vMerge w:val="continue"/>
            <w:noWrap/>
            <w:vAlign w:val="center"/>
          </w:tcPr>
          <w:p w14:paraId="0493AA97">
            <w:pPr>
              <w:jc w:val="center"/>
              <w:rPr>
                <w:rFonts w:ascii="宋体" w:hAnsi="宋体"/>
                <w:color w:val="auto"/>
                <w:szCs w:val="21"/>
              </w:rPr>
            </w:pPr>
          </w:p>
        </w:tc>
        <w:tc>
          <w:tcPr>
            <w:tcW w:w="6938" w:type="dxa"/>
            <w:gridSpan w:val="2"/>
            <w:noWrap/>
            <w:vAlign w:val="center"/>
          </w:tcPr>
          <w:p w14:paraId="4AE10639">
            <w:pPr>
              <w:rPr>
                <w:rFonts w:ascii="宋体" w:hAnsi="宋体"/>
                <w:color w:val="auto"/>
                <w:szCs w:val="21"/>
              </w:rPr>
            </w:pPr>
            <w:r>
              <w:rPr>
                <w:rFonts w:hint="eastAsia" w:ascii="宋体" w:hAnsi="宋体"/>
                <w:color w:val="auto"/>
                <w:szCs w:val="21"/>
              </w:rPr>
              <w:t xml:space="preserve"> 根据多种条件筛选收药执行单。时间范围，默认当日；药品类型：输液、口服药；收药状态：已收药、未收药。</w:t>
            </w:r>
          </w:p>
        </w:tc>
        <w:tc>
          <w:tcPr>
            <w:tcW w:w="709" w:type="dxa"/>
            <w:vMerge w:val="continue"/>
            <w:noWrap/>
            <w:vAlign w:val="center"/>
          </w:tcPr>
          <w:p w14:paraId="3F10AD82">
            <w:pPr>
              <w:jc w:val="left"/>
              <w:rPr>
                <w:rFonts w:ascii="宋体" w:hAnsi="宋体"/>
                <w:color w:val="auto"/>
                <w:szCs w:val="21"/>
              </w:rPr>
            </w:pPr>
          </w:p>
        </w:tc>
      </w:tr>
      <w:tr w14:paraId="36AF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75690ACF">
            <w:pPr>
              <w:jc w:val="left"/>
              <w:rPr>
                <w:rFonts w:ascii="宋体" w:hAnsi="宋体"/>
                <w:color w:val="auto"/>
                <w:szCs w:val="21"/>
              </w:rPr>
            </w:pPr>
          </w:p>
        </w:tc>
        <w:tc>
          <w:tcPr>
            <w:tcW w:w="565" w:type="dxa"/>
            <w:gridSpan w:val="2"/>
            <w:vMerge w:val="continue"/>
            <w:noWrap/>
            <w:vAlign w:val="center"/>
          </w:tcPr>
          <w:p w14:paraId="4DE66C75">
            <w:pPr>
              <w:jc w:val="left"/>
              <w:rPr>
                <w:rFonts w:ascii="宋体" w:hAnsi="宋体"/>
                <w:color w:val="auto"/>
                <w:szCs w:val="21"/>
              </w:rPr>
            </w:pPr>
          </w:p>
        </w:tc>
        <w:tc>
          <w:tcPr>
            <w:tcW w:w="697" w:type="dxa"/>
            <w:vMerge w:val="restart"/>
            <w:noWrap/>
            <w:vAlign w:val="center"/>
          </w:tcPr>
          <w:p w14:paraId="2184BCA4">
            <w:pPr>
              <w:jc w:val="center"/>
              <w:rPr>
                <w:rFonts w:ascii="宋体" w:hAnsi="宋体"/>
                <w:color w:val="auto"/>
                <w:szCs w:val="21"/>
              </w:rPr>
            </w:pPr>
            <w:r>
              <w:rPr>
                <w:rFonts w:hint="eastAsia" w:ascii="宋体" w:hAnsi="宋体"/>
                <w:color w:val="auto"/>
                <w:szCs w:val="21"/>
              </w:rPr>
              <w:t>输液巡视单</w:t>
            </w:r>
          </w:p>
        </w:tc>
        <w:tc>
          <w:tcPr>
            <w:tcW w:w="6938" w:type="dxa"/>
            <w:gridSpan w:val="2"/>
            <w:noWrap/>
            <w:vAlign w:val="center"/>
          </w:tcPr>
          <w:p w14:paraId="65C25D1E">
            <w:pPr>
              <w:rPr>
                <w:rFonts w:ascii="宋体" w:hAnsi="宋体"/>
                <w:color w:val="auto"/>
                <w:szCs w:val="21"/>
              </w:rPr>
            </w:pPr>
            <w:r>
              <w:rPr>
                <w:rFonts w:hint="eastAsia" w:ascii="宋体" w:hAnsi="宋体"/>
                <w:color w:val="auto"/>
                <w:szCs w:val="21"/>
              </w:rPr>
              <w:t xml:space="preserve"> 查看和打印患者输液过程中护士通过PDA端记录的巡视事项，巡视单信息包括床位、姓名、输液药物内容、剂量、滴速、状态、巡视护士、巡视时间等。</w:t>
            </w:r>
            <w:r>
              <w:rPr>
                <w:rFonts w:hint="eastAsia" w:ascii="宋体" w:hAnsi="宋体"/>
                <w:color w:val="auto"/>
                <w:szCs w:val="21"/>
                <w:lang w:val="en-US" w:eastAsia="zh-CN"/>
              </w:rPr>
              <w:t>实现</w:t>
            </w:r>
            <w:r>
              <w:rPr>
                <w:rFonts w:hint="eastAsia" w:ascii="宋体" w:hAnsi="宋体"/>
                <w:color w:val="auto"/>
                <w:szCs w:val="21"/>
              </w:rPr>
              <w:t>选择长期、临时医嘱、单个病人、多个病人、全部病人、新入院（新医嘱未打印过的医嘱）并能进行个性化查询打印。</w:t>
            </w:r>
          </w:p>
        </w:tc>
        <w:tc>
          <w:tcPr>
            <w:tcW w:w="709" w:type="dxa"/>
            <w:vMerge w:val="continue"/>
            <w:noWrap/>
            <w:vAlign w:val="center"/>
          </w:tcPr>
          <w:p w14:paraId="5817ADB4">
            <w:pPr>
              <w:jc w:val="left"/>
              <w:rPr>
                <w:rFonts w:ascii="宋体" w:hAnsi="宋体"/>
                <w:color w:val="auto"/>
                <w:szCs w:val="21"/>
              </w:rPr>
            </w:pPr>
          </w:p>
        </w:tc>
      </w:tr>
      <w:tr w14:paraId="59EC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13528D36">
            <w:pPr>
              <w:jc w:val="left"/>
              <w:rPr>
                <w:rFonts w:ascii="宋体" w:hAnsi="宋体"/>
                <w:color w:val="auto"/>
                <w:szCs w:val="21"/>
              </w:rPr>
            </w:pPr>
          </w:p>
        </w:tc>
        <w:tc>
          <w:tcPr>
            <w:tcW w:w="565" w:type="dxa"/>
            <w:gridSpan w:val="2"/>
            <w:vMerge w:val="continue"/>
            <w:noWrap/>
            <w:vAlign w:val="center"/>
          </w:tcPr>
          <w:p w14:paraId="13F2FABC">
            <w:pPr>
              <w:jc w:val="left"/>
              <w:rPr>
                <w:rFonts w:ascii="宋体" w:hAnsi="宋体"/>
                <w:color w:val="auto"/>
                <w:szCs w:val="21"/>
              </w:rPr>
            </w:pPr>
          </w:p>
        </w:tc>
        <w:tc>
          <w:tcPr>
            <w:tcW w:w="697" w:type="dxa"/>
            <w:vMerge w:val="continue"/>
            <w:noWrap/>
            <w:vAlign w:val="center"/>
          </w:tcPr>
          <w:p w14:paraId="45760A40">
            <w:pPr>
              <w:jc w:val="center"/>
              <w:rPr>
                <w:rFonts w:ascii="宋体" w:hAnsi="宋体"/>
                <w:color w:val="auto"/>
                <w:szCs w:val="21"/>
              </w:rPr>
            </w:pPr>
          </w:p>
        </w:tc>
        <w:tc>
          <w:tcPr>
            <w:tcW w:w="6938" w:type="dxa"/>
            <w:gridSpan w:val="2"/>
            <w:noWrap/>
            <w:vAlign w:val="center"/>
          </w:tcPr>
          <w:p w14:paraId="6EBF8A9A">
            <w:pPr>
              <w:rPr>
                <w:rFonts w:ascii="宋体" w:hAnsi="宋体"/>
                <w:color w:val="auto"/>
                <w:szCs w:val="21"/>
              </w:rPr>
            </w:pPr>
            <w:r>
              <w:rPr>
                <w:rFonts w:hint="eastAsia" w:ascii="宋体" w:hAnsi="宋体"/>
                <w:color w:val="auto"/>
                <w:szCs w:val="21"/>
              </w:rPr>
              <w:t xml:space="preserve"> 根据多种条件筛选输液巡视单。时间范围，默认当日；长临医嘱类别：长期医嘱、临时医嘱。</w:t>
            </w:r>
          </w:p>
        </w:tc>
        <w:tc>
          <w:tcPr>
            <w:tcW w:w="709" w:type="dxa"/>
            <w:vMerge w:val="continue"/>
            <w:noWrap/>
            <w:vAlign w:val="center"/>
          </w:tcPr>
          <w:p w14:paraId="11098A83">
            <w:pPr>
              <w:jc w:val="left"/>
              <w:rPr>
                <w:rFonts w:ascii="宋体" w:hAnsi="宋体"/>
                <w:color w:val="auto"/>
                <w:szCs w:val="21"/>
              </w:rPr>
            </w:pPr>
          </w:p>
        </w:tc>
      </w:tr>
      <w:tr w14:paraId="4CFC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3690FE16">
            <w:pPr>
              <w:jc w:val="left"/>
              <w:rPr>
                <w:rFonts w:ascii="宋体" w:hAnsi="宋体"/>
                <w:color w:val="auto"/>
                <w:szCs w:val="21"/>
              </w:rPr>
            </w:pPr>
          </w:p>
        </w:tc>
        <w:tc>
          <w:tcPr>
            <w:tcW w:w="565" w:type="dxa"/>
            <w:gridSpan w:val="2"/>
            <w:vMerge w:val="continue"/>
            <w:noWrap/>
            <w:vAlign w:val="center"/>
          </w:tcPr>
          <w:p w14:paraId="1B67479B">
            <w:pPr>
              <w:jc w:val="left"/>
              <w:rPr>
                <w:rFonts w:ascii="宋体" w:hAnsi="宋体"/>
                <w:color w:val="auto"/>
                <w:szCs w:val="21"/>
              </w:rPr>
            </w:pPr>
          </w:p>
        </w:tc>
        <w:tc>
          <w:tcPr>
            <w:tcW w:w="697" w:type="dxa"/>
            <w:vMerge w:val="restart"/>
            <w:noWrap/>
            <w:vAlign w:val="center"/>
          </w:tcPr>
          <w:p w14:paraId="1D203C0A">
            <w:pPr>
              <w:jc w:val="center"/>
              <w:rPr>
                <w:rFonts w:ascii="宋体" w:hAnsi="宋体"/>
                <w:color w:val="auto"/>
                <w:szCs w:val="21"/>
              </w:rPr>
            </w:pPr>
            <w:r>
              <w:rPr>
                <w:rFonts w:hint="eastAsia" w:ascii="宋体" w:hAnsi="宋体"/>
                <w:color w:val="auto"/>
                <w:szCs w:val="21"/>
              </w:rPr>
              <w:t>输血巡视单</w:t>
            </w:r>
          </w:p>
        </w:tc>
        <w:tc>
          <w:tcPr>
            <w:tcW w:w="6938" w:type="dxa"/>
            <w:gridSpan w:val="2"/>
            <w:noWrap/>
            <w:vAlign w:val="center"/>
          </w:tcPr>
          <w:p w14:paraId="2A8DF3F7">
            <w:pPr>
              <w:rPr>
                <w:rFonts w:ascii="宋体" w:hAnsi="宋体"/>
                <w:color w:val="auto"/>
                <w:szCs w:val="21"/>
              </w:rPr>
            </w:pPr>
            <w:r>
              <w:rPr>
                <w:rFonts w:hint="eastAsia" w:ascii="宋体" w:hAnsi="宋体"/>
                <w:color w:val="auto"/>
                <w:szCs w:val="21"/>
              </w:rPr>
              <w:t xml:space="preserve"> 查看和打印患者输液过程中护士通过PDA端记录的巡视事项，巡视单信息包括床位、姓名、血袋信息、计划时间、滴速、状态、体征、巡视护士、巡视时间等。</w:t>
            </w:r>
          </w:p>
        </w:tc>
        <w:tc>
          <w:tcPr>
            <w:tcW w:w="709" w:type="dxa"/>
            <w:vMerge w:val="continue"/>
            <w:noWrap/>
            <w:vAlign w:val="center"/>
          </w:tcPr>
          <w:p w14:paraId="57A14953">
            <w:pPr>
              <w:jc w:val="left"/>
              <w:rPr>
                <w:rFonts w:ascii="宋体" w:hAnsi="宋体"/>
                <w:color w:val="auto"/>
                <w:szCs w:val="21"/>
              </w:rPr>
            </w:pPr>
          </w:p>
        </w:tc>
      </w:tr>
      <w:tr w14:paraId="3968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134C18B">
            <w:pPr>
              <w:jc w:val="left"/>
              <w:rPr>
                <w:rFonts w:ascii="宋体" w:hAnsi="宋体"/>
                <w:color w:val="auto"/>
                <w:szCs w:val="21"/>
              </w:rPr>
            </w:pPr>
          </w:p>
        </w:tc>
        <w:tc>
          <w:tcPr>
            <w:tcW w:w="565" w:type="dxa"/>
            <w:gridSpan w:val="2"/>
            <w:vMerge w:val="continue"/>
            <w:noWrap/>
            <w:vAlign w:val="center"/>
          </w:tcPr>
          <w:p w14:paraId="45595A5A">
            <w:pPr>
              <w:jc w:val="left"/>
              <w:rPr>
                <w:rFonts w:ascii="宋体" w:hAnsi="宋体"/>
                <w:color w:val="auto"/>
                <w:szCs w:val="21"/>
              </w:rPr>
            </w:pPr>
          </w:p>
        </w:tc>
        <w:tc>
          <w:tcPr>
            <w:tcW w:w="697" w:type="dxa"/>
            <w:vMerge w:val="continue"/>
            <w:noWrap/>
            <w:vAlign w:val="center"/>
          </w:tcPr>
          <w:p w14:paraId="000733BE">
            <w:pPr>
              <w:jc w:val="left"/>
              <w:rPr>
                <w:rFonts w:ascii="宋体" w:hAnsi="宋体"/>
                <w:color w:val="auto"/>
                <w:szCs w:val="21"/>
              </w:rPr>
            </w:pPr>
          </w:p>
        </w:tc>
        <w:tc>
          <w:tcPr>
            <w:tcW w:w="6938" w:type="dxa"/>
            <w:gridSpan w:val="2"/>
            <w:noWrap/>
            <w:vAlign w:val="center"/>
          </w:tcPr>
          <w:p w14:paraId="18B1AEB8">
            <w:pPr>
              <w:rPr>
                <w:rFonts w:ascii="宋体" w:hAnsi="宋体"/>
                <w:color w:val="auto"/>
                <w:szCs w:val="21"/>
              </w:rPr>
            </w:pPr>
            <w:r>
              <w:rPr>
                <w:rFonts w:hint="eastAsia" w:ascii="宋体" w:hAnsi="宋体"/>
                <w:color w:val="auto"/>
                <w:szCs w:val="21"/>
              </w:rPr>
              <w:t xml:space="preserve"> 可根据时间范围筛选输血巡视单，默认当日。</w:t>
            </w:r>
          </w:p>
        </w:tc>
        <w:tc>
          <w:tcPr>
            <w:tcW w:w="709" w:type="dxa"/>
            <w:vMerge w:val="continue"/>
            <w:noWrap/>
            <w:vAlign w:val="center"/>
          </w:tcPr>
          <w:p w14:paraId="6F20DE14">
            <w:pPr>
              <w:jc w:val="left"/>
              <w:rPr>
                <w:rFonts w:ascii="宋体" w:hAnsi="宋体"/>
                <w:color w:val="auto"/>
                <w:szCs w:val="21"/>
              </w:rPr>
            </w:pPr>
          </w:p>
        </w:tc>
      </w:tr>
      <w:tr w14:paraId="58E6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BE6DD88">
            <w:pPr>
              <w:jc w:val="left"/>
              <w:rPr>
                <w:rFonts w:ascii="宋体" w:hAnsi="宋体"/>
                <w:color w:val="auto"/>
                <w:szCs w:val="21"/>
              </w:rPr>
            </w:pPr>
          </w:p>
        </w:tc>
        <w:tc>
          <w:tcPr>
            <w:tcW w:w="565" w:type="dxa"/>
            <w:gridSpan w:val="2"/>
            <w:vMerge w:val="restart"/>
            <w:noWrap/>
            <w:vAlign w:val="center"/>
          </w:tcPr>
          <w:p w14:paraId="4D71F7E8">
            <w:pPr>
              <w:jc w:val="center"/>
              <w:rPr>
                <w:rFonts w:ascii="宋体" w:hAnsi="宋体"/>
                <w:color w:val="auto"/>
                <w:szCs w:val="21"/>
              </w:rPr>
            </w:pPr>
            <w:r>
              <w:rPr>
                <w:rFonts w:hint="eastAsia" w:ascii="宋体" w:hAnsi="宋体"/>
                <w:color w:val="auto"/>
                <w:szCs w:val="21"/>
              </w:rPr>
              <w:t>体征管理</w:t>
            </w:r>
          </w:p>
        </w:tc>
        <w:tc>
          <w:tcPr>
            <w:tcW w:w="697" w:type="dxa"/>
            <w:noWrap/>
            <w:vAlign w:val="center"/>
          </w:tcPr>
          <w:p w14:paraId="6E17F391">
            <w:pPr>
              <w:jc w:val="center"/>
              <w:rPr>
                <w:rFonts w:ascii="宋体" w:hAnsi="宋体"/>
                <w:color w:val="auto"/>
                <w:szCs w:val="21"/>
              </w:rPr>
            </w:pPr>
            <w:r>
              <w:rPr>
                <w:rFonts w:hint="eastAsia" w:ascii="宋体" w:hAnsi="宋体"/>
                <w:color w:val="auto"/>
                <w:szCs w:val="21"/>
              </w:rPr>
              <w:t>体征项配置</w:t>
            </w:r>
          </w:p>
        </w:tc>
        <w:tc>
          <w:tcPr>
            <w:tcW w:w="6938" w:type="dxa"/>
            <w:gridSpan w:val="2"/>
            <w:noWrap/>
            <w:vAlign w:val="center"/>
          </w:tcPr>
          <w:p w14:paraId="47D21B73">
            <w:pPr>
              <w:rPr>
                <w:rFonts w:ascii="宋体" w:hAnsi="宋体"/>
                <w:color w:val="auto"/>
                <w:szCs w:val="21"/>
              </w:rPr>
            </w:pPr>
            <w:r>
              <w:rPr>
                <w:rFonts w:hint="eastAsia" w:ascii="宋体" w:hAnsi="宋体"/>
                <w:color w:val="auto"/>
                <w:szCs w:val="21"/>
              </w:rPr>
              <w:t xml:space="preserve"> 体征项目根据需要配置，包括但不限于体温、脉搏、呼吸、血压、心率、大便、体重等，实现血糖仪等设备接入；</w:t>
            </w:r>
            <w:r>
              <w:rPr>
                <w:rFonts w:hint="eastAsia" w:ascii="宋体" w:hAnsi="宋体"/>
                <w:color w:val="auto"/>
                <w:szCs w:val="21"/>
                <w:lang w:val="en-US" w:eastAsia="zh-CN"/>
              </w:rPr>
              <w:t>实现</w:t>
            </w:r>
            <w:r>
              <w:rPr>
                <w:rFonts w:hint="eastAsia" w:ascii="宋体" w:hAnsi="宋体"/>
                <w:color w:val="auto"/>
                <w:szCs w:val="21"/>
              </w:rPr>
              <w:t>血糖仪、心电监护、血压计、体温枪等设备接入并自动同步到体温单、护理记录等相关表单。</w:t>
            </w:r>
          </w:p>
        </w:tc>
        <w:tc>
          <w:tcPr>
            <w:tcW w:w="709" w:type="dxa"/>
            <w:vMerge w:val="continue"/>
            <w:noWrap/>
            <w:vAlign w:val="center"/>
          </w:tcPr>
          <w:p w14:paraId="2DA68C7E">
            <w:pPr>
              <w:jc w:val="left"/>
              <w:rPr>
                <w:rFonts w:ascii="宋体" w:hAnsi="宋体"/>
                <w:color w:val="auto"/>
                <w:szCs w:val="21"/>
              </w:rPr>
            </w:pPr>
          </w:p>
        </w:tc>
      </w:tr>
      <w:tr w14:paraId="10FC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329" w:hRule="atLeast"/>
        </w:trPr>
        <w:tc>
          <w:tcPr>
            <w:tcW w:w="731" w:type="dxa"/>
            <w:vMerge w:val="continue"/>
            <w:noWrap/>
            <w:vAlign w:val="center"/>
          </w:tcPr>
          <w:p w14:paraId="46D5AF45">
            <w:pPr>
              <w:jc w:val="left"/>
              <w:rPr>
                <w:rFonts w:ascii="宋体" w:hAnsi="宋体"/>
                <w:color w:val="auto"/>
                <w:szCs w:val="21"/>
              </w:rPr>
            </w:pPr>
          </w:p>
        </w:tc>
        <w:tc>
          <w:tcPr>
            <w:tcW w:w="565" w:type="dxa"/>
            <w:gridSpan w:val="2"/>
            <w:vMerge w:val="continue"/>
            <w:noWrap/>
            <w:vAlign w:val="center"/>
          </w:tcPr>
          <w:p w14:paraId="45812000">
            <w:pPr>
              <w:jc w:val="center"/>
              <w:rPr>
                <w:rFonts w:ascii="宋体" w:hAnsi="宋体"/>
                <w:color w:val="auto"/>
                <w:szCs w:val="21"/>
              </w:rPr>
            </w:pPr>
          </w:p>
        </w:tc>
        <w:tc>
          <w:tcPr>
            <w:tcW w:w="697" w:type="dxa"/>
            <w:vMerge w:val="restart"/>
            <w:noWrap/>
            <w:vAlign w:val="center"/>
          </w:tcPr>
          <w:p w14:paraId="1C7288D2">
            <w:pPr>
              <w:jc w:val="center"/>
              <w:rPr>
                <w:rFonts w:ascii="宋体" w:hAnsi="宋体"/>
                <w:color w:val="auto"/>
                <w:szCs w:val="21"/>
              </w:rPr>
            </w:pPr>
            <w:r>
              <w:rPr>
                <w:rFonts w:hint="eastAsia" w:ascii="宋体" w:hAnsi="宋体"/>
                <w:color w:val="auto"/>
                <w:szCs w:val="21"/>
              </w:rPr>
              <w:t>批量录入</w:t>
            </w:r>
          </w:p>
        </w:tc>
        <w:tc>
          <w:tcPr>
            <w:tcW w:w="6938" w:type="dxa"/>
            <w:gridSpan w:val="2"/>
            <w:noWrap/>
            <w:vAlign w:val="center"/>
          </w:tcPr>
          <w:p w14:paraId="61C16968">
            <w:pPr>
              <w:rPr>
                <w:rFonts w:ascii="宋体" w:hAnsi="宋体"/>
                <w:color w:val="auto"/>
                <w:szCs w:val="21"/>
              </w:rPr>
            </w:pPr>
            <w:r>
              <w:rPr>
                <w:rFonts w:hint="eastAsia" w:ascii="宋体" w:hAnsi="宋体"/>
                <w:color w:val="auto"/>
                <w:szCs w:val="21"/>
              </w:rPr>
              <w:t>实现在同一页面完成病区多个患者的体征数据录入和查询，</w:t>
            </w:r>
            <w:r>
              <w:rPr>
                <w:rFonts w:hint="eastAsia" w:ascii="宋体" w:hAnsi="宋体"/>
                <w:color w:val="auto"/>
                <w:szCs w:val="21"/>
              </w:rPr>
              <w:t>数据可选择同步到体温单或护理记录。</w:t>
            </w:r>
          </w:p>
        </w:tc>
        <w:tc>
          <w:tcPr>
            <w:tcW w:w="709" w:type="dxa"/>
            <w:vMerge w:val="continue"/>
            <w:noWrap/>
            <w:vAlign w:val="center"/>
          </w:tcPr>
          <w:p w14:paraId="073A0827">
            <w:pPr>
              <w:jc w:val="left"/>
              <w:rPr>
                <w:rFonts w:ascii="宋体" w:hAnsi="宋体"/>
                <w:color w:val="auto"/>
                <w:szCs w:val="21"/>
              </w:rPr>
            </w:pPr>
          </w:p>
        </w:tc>
      </w:tr>
      <w:tr w14:paraId="0B47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60" w:hRule="atLeast"/>
        </w:trPr>
        <w:tc>
          <w:tcPr>
            <w:tcW w:w="731" w:type="dxa"/>
            <w:vMerge w:val="continue"/>
            <w:noWrap/>
            <w:vAlign w:val="center"/>
          </w:tcPr>
          <w:p w14:paraId="5BEF961D">
            <w:pPr>
              <w:jc w:val="left"/>
              <w:rPr>
                <w:rFonts w:ascii="宋体" w:hAnsi="宋体"/>
                <w:color w:val="auto"/>
                <w:szCs w:val="21"/>
              </w:rPr>
            </w:pPr>
          </w:p>
        </w:tc>
        <w:tc>
          <w:tcPr>
            <w:tcW w:w="565" w:type="dxa"/>
            <w:gridSpan w:val="2"/>
            <w:vMerge w:val="continue"/>
            <w:noWrap/>
            <w:vAlign w:val="center"/>
          </w:tcPr>
          <w:p w14:paraId="7C0DDB92">
            <w:pPr>
              <w:jc w:val="center"/>
              <w:rPr>
                <w:rFonts w:ascii="宋体" w:hAnsi="宋体"/>
                <w:color w:val="auto"/>
                <w:szCs w:val="21"/>
              </w:rPr>
            </w:pPr>
          </w:p>
        </w:tc>
        <w:tc>
          <w:tcPr>
            <w:tcW w:w="697" w:type="dxa"/>
            <w:vMerge w:val="continue"/>
            <w:noWrap/>
            <w:vAlign w:val="center"/>
          </w:tcPr>
          <w:p w14:paraId="2F032263">
            <w:pPr>
              <w:jc w:val="center"/>
              <w:rPr>
                <w:rFonts w:ascii="宋体" w:hAnsi="宋体"/>
                <w:color w:val="auto"/>
                <w:szCs w:val="21"/>
              </w:rPr>
            </w:pPr>
          </w:p>
        </w:tc>
        <w:tc>
          <w:tcPr>
            <w:tcW w:w="6938" w:type="dxa"/>
            <w:gridSpan w:val="2"/>
            <w:noWrap/>
            <w:vAlign w:val="center"/>
          </w:tcPr>
          <w:p w14:paraId="0EC2E2A1">
            <w:pPr>
              <w:rPr>
                <w:rFonts w:ascii="宋体" w:hAnsi="宋体"/>
                <w:color w:val="auto"/>
                <w:szCs w:val="21"/>
              </w:rPr>
            </w:pPr>
            <w:r>
              <w:rPr>
                <w:rFonts w:hint="eastAsia" w:ascii="宋体" w:hAnsi="宋体"/>
                <w:color w:val="auto"/>
                <w:szCs w:val="21"/>
              </w:rPr>
              <w:t xml:space="preserve"> 可根据智能提醒规则筛选出待测患者，且待测体征项目都有颜色标识，方便快速录入。也可根据护理等级筛选患者。</w:t>
            </w:r>
          </w:p>
        </w:tc>
        <w:tc>
          <w:tcPr>
            <w:tcW w:w="709" w:type="dxa"/>
            <w:vMerge w:val="continue"/>
            <w:noWrap/>
            <w:vAlign w:val="center"/>
          </w:tcPr>
          <w:p w14:paraId="4557CD0B">
            <w:pPr>
              <w:jc w:val="left"/>
              <w:rPr>
                <w:rFonts w:ascii="宋体" w:hAnsi="宋体"/>
                <w:color w:val="auto"/>
                <w:szCs w:val="21"/>
              </w:rPr>
            </w:pPr>
          </w:p>
        </w:tc>
      </w:tr>
      <w:tr w14:paraId="1ECC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40" w:hRule="atLeast"/>
        </w:trPr>
        <w:tc>
          <w:tcPr>
            <w:tcW w:w="731" w:type="dxa"/>
            <w:vMerge w:val="continue"/>
            <w:noWrap/>
            <w:vAlign w:val="center"/>
          </w:tcPr>
          <w:p w14:paraId="0D9D16E3">
            <w:pPr>
              <w:jc w:val="left"/>
              <w:rPr>
                <w:rFonts w:ascii="宋体" w:hAnsi="宋体"/>
                <w:color w:val="auto"/>
                <w:szCs w:val="21"/>
              </w:rPr>
            </w:pPr>
          </w:p>
        </w:tc>
        <w:tc>
          <w:tcPr>
            <w:tcW w:w="565" w:type="dxa"/>
            <w:gridSpan w:val="2"/>
            <w:vMerge w:val="continue"/>
            <w:noWrap/>
            <w:vAlign w:val="center"/>
          </w:tcPr>
          <w:p w14:paraId="37857E88">
            <w:pPr>
              <w:jc w:val="center"/>
              <w:rPr>
                <w:rFonts w:ascii="宋体" w:hAnsi="宋体"/>
                <w:color w:val="auto"/>
                <w:szCs w:val="21"/>
              </w:rPr>
            </w:pPr>
          </w:p>
        </w:tc>
        <w:tc>
          <w:tcPr>
            <w:tcW w:w="697" w:type="dxa"/>
            <w:vMerge w:val="continue"/>
            <w:noWrap/>
            <w:vAlign w:val="center"/>
          </w:tcPr>
          <w:p w14:paraId="1A28B9D4">
            <w:pPr>
              <w:jc w:val="center"/>
              <w:rPr>
                <w:rFonts w:ascii="宋体" w:hAnsi="宋体"/>
                <w:color w:val="auto"/>
                <w:szCs w:val="21"/>
              </w:rPr>
            </w:pPr>
          </w:p>
        </w:tc>
        <w:tc>
          <w:tcPr>
            <w:tcW w:w="6938" w:type="dxa"/>
            <w:gridSpan w:val="2"/>
            <w:noWrap/>
            <w:vAlign w:val="center"/>
          </w:tcPr>
          <w:p w14:paraId="295CB517">
            <w:pPr>
              <w:rPr>
                <w:rFonts w:ascii="宋体" w:hAnsi="宋体"/>
                <w:color w:val="auto"/>
                <w:szCs w:val="21"/>
              </w:rPr>
            </w:pPr>
            <w:r>
              <w:rPr>
                <w:rFonts w:hint="eastAsia" w:ascii="宋体" w:hAnsi="宋体"/>
                <w:color w:val="auto"/>
                <w:szCs w:val="21"/>
              </w:rPr>
              <w:t xml:space="preserve"> 从左到右的体征项目可根据需要和录入习惯进行调整，从而改变录入顺序。</w:t>
            </w:r>
          </w:p>
        </w:tc>
        <w:tc>
          <w:tcPr>
            <w:tcW w:w="709" w:type="dxa"/>
            <w:vMerge w:val="continue"/>
            <w:noWrap/>
            <w:vAlign w:val="center"/>
          </w:tcPr>
          <w:p w14:paraId="4372DF19">
            <w:pPr>
              <w:jc w:val="left"/>
              <w:rPr>
                <w:rFonts w:ascii="宋体" w:hAnsi="宋体"/>
                <w:color w:val="auto"/>
                <w:szCs w:val="21"/>
              </w:rPr>
            </w:pPr>
          </w:p>
        </w:tc>
      </w:tr>
      <w:tr w14:paraId="1CC4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62" w:hRule="atLeast"/>
        </w:trPr>
        <w:tc>
          <w:tcPr>
            <w:tcW w:w="731" w:type="dxa"/>
            <w:vMerge w:val="continue"/>
            <w:noWrap/>
            <w:vAlign w:val="center"/>
          </w:tcPr>
          <w:p w14:paraId="5C4B500E">
            <w:pPr>
              <w:jc w:val="left"/>
              <w:rPr>
                <w:rFonts w:ascii="宋体" w:hAnsi="宋体"/>
                <w:color w:val="auto"/>
                <w:szCs w:val="21"/>
              </w:rPr>
            </w:pPr>
          </w:p>
        </w:tc>
        <w:tc>
          <w:tcPr>
            <w:tcW w:w="565" w:type="dxa"/>
            <w:gridSpan w:val="2"/>
            <w:vMerge w:val="continue"/>
            <w:noWrap/>
            <w:vAlign w:val="center"/>
          </w:tcPr>
          <w:p w14:paraId="55ACDB12">
            <w:pPr>
              <w:jc w:val="center"/>
              <w:rPr>
                <w:rFonts w:ascii="宋体" w:hAnsi="宋体"/>
                <w:color w:val="auto"/>
                <w:szCs w:val="21"/>
              </w:rPr>
            </w:pPr>
          </w:p>
        </w:tc>
        <w:tc>
          <w:tcPr>
            <w:tcW w:w="697" w:type="dxa"/>
            <w:vMerge w:val="continue"/>
            <w:noWrap/>
            <w:vAlign w:val="center"/>
          </w:tcPr>
          <w:p w14:paraId="259D53FD">
            <w:pPr>
              <w:jc w:val="center"/>
              <w:rPr>
                <w:rFonts w:ascii="宋体" w:hAnsi="宋体"/>
                <w:color w:val="auto"/>
                <w:szCs w:val="21"/>
              </w:rPr>
            </w:pPr>
          </w:p>
        </w:tc>
        <w:tc>
          <w:tcPr>
            <w:tcW w:w="6938" w:type="dxa"/>
            <w:gridSpan w:val="2"/>
            <w:noWrap/>
            <w:vAlign w:val="center"/>
          </w:tcPr>
          <w:p w14:paraId="72DA0D3A">
            <w:pPr>
              <w:rPr>
                <w:rFonts w:ascii="宋体" w:hAnsi="宋体"/>
                <w:color w:val="auto"/>
                <w:szCs w:val="21"/>
              </w:rPr>
            </w:pPr>
            <w:r>
              <w:rPr>
                <w:rFonts w:hint="eastAsia" w:ascii="宋体" w:hAnsi="宋体"/>
                <w:color w:val="auto"/>
                <w:szCs w:val="21"/>
              </w:rPr>
              <w:t xml:space="preserve"> 日期默认当天，可自行切换；时间点按照护理常规要求分为六个整时点（如2/6/10/14/18/22），默认选中距离当前最近的时间点，可自行切换。</w:t>
            </w:r>
          </w:p>
        </w:tc>
        <w:tc>
          <w:tcPr>
            <w:tcW w:w="709" w:type="dxa"/>
            <w:vMerge w:val="continue"/>
            <w:noWrap/>
            <w:vAlign w:val="center"/>
          </w:tcPr>
          <w:p w14:paraId="044B9061">
            <w:pPr>
              <w:jc w:val="left"/>
              <w:rPr>
                <w:rFonts w:ascii="宋体" w:hAnsi="宋体"/>
                <w:color w:val="auto"/>
                <w:szCs w:val="21"/>
              </w:rPr>
            </w:pPr>
          </w:p>
        </w:tc>
      </w:tr>
      <w:tr w14:paraId="6E6F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15" w:hRule="atLeast"/>
        </w:trPr>
        <w:tc>
          <w:tcPr>
            <w:tcW w:w="731" w:type="dxa"/>
            <w:vMerge w:val="continue"/>
            <w:noWrap/>
            <w:vAlign w:val="center"/>
          </w:tcPr>
          <w:p w14:paraId="43B8F87B">
            <w:pPr>
              <w:jc w:val="left"/>
              <w:rPr>
                <w:rFonts w:ascii="宋体" w:hAnsi="宋体"/>
                <w:color w:val="auto"/>
                <w:szCs w:val="21"/>
              </w:rPr>
            </w:pPr>
          </w:p>
        </w:tc>
        <w:tc>
          <w:tcPr>
            <w:tcW w:w="565" w:type="dxa"/>
            <w:gridSpan w:val="2"/>
            <w:vMerge w:val="continue"/>
            <w:noWrap/>
            <w:vAlign w:val="center"/>
          </w:tcPr>
          <w:p w14:paraId="3A7E23E4">
            <w:pPr>
              <w:jc w:val="center"/>
              <w:rPr>
                <w:rFonts w:ascii="宋体" w:hAnsi="宋体"/>
                <w:color w:val="auto"/>
                <w:szCs w:val="21"/>
              </w:rPr>
            </w:pPr>
          </w:p>
        </w:tc>
        <w:tc>
          <w:tcPr>
            <w:tcW w:w="697" w:type="dxa"/>
            <w:vMerge w:val="continue"/>
            <w:noWrap/>
            <w:vAlign w:val="center"/>
          </w:tcPr>
          <w:p w14:paraId="2316F790">
            <w:pPr>
              <w:jc w:val="center"/>
              <w:rPr>
                <w:rFonts w:ascii="宋体" w:hAnsi="宋体"/>
                <w:color w:val="auto"/>
                <w:szCs w:val="21"/>
              </w:rPr>
            </w:pPr>
          </w:p>
        </w:tc>
        <w:tc>
          <w:tcPr>
            <w:tcW w:w="6938" w:type="dxa"/>
            <w:gridSpan w:val="2"/>
            <w:noWrap/>
            <w:vAlign w:val="center"/>
          </w:tcPr>
          <w:p w14:paraId="75D4F757">
            <w:pPr>
              <w:rPr>
                <w:rFonts w:ascii="宋体" w:hAnsi="宋体"/>
                <w:color w:val="auto"/>
                <w:szCs w:val="21"/>
              </w:rPr>
            </w:pPr>
            <w:r>
              <w:rPr>
                <w:rFonts w:hint="eastAsia" w:ascii="宋体" w:hAnsi="宋体"/>
                <w:color w:val="auto"/>
                <w:szCs w:val="21"/>
              </w:rPr>
              <w:t xml:space="preserve"> 每格录入后自动保存，避免大量数据丢失。</w:t>
            </w:r>
          </w:p>
        </w:tc>
        <w:tc>
          <w:tcPr>
            <w:tcW w:w="709" w:type="dxa"/>
            <w:vMerge w:val="continue"/>
            <w:noWrap/>
            <w:vAlign w:val="center"/>
          </w:tcPr>
          <w:p w14:paraId="7F077E4A">
            <w:pPr>
              <w:jc w:val="left"/>
              <w:rPr>
                <w:rFonts w:ascii="宋体" w:hAnsi="宋体"/>
                <w:color w:val="auto"/>
                <w:szCs w:val="21"/>
              </w:rPr>
            </w:pPr>
          </w:p>
        </w:tc>
      </w:tr>
      <w:tr w14:paraId="0136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49" w:hRule="atLeast"/>
        </w:trPr>
        <w:tc>
          <w:tcPr>
            <w:tcW w:w="731" w:type="dxa"/>
            <w:vMerge w:val="continue"/>
            <w:noWrap/>
            <w:vAlign w:val="center"/>
          </w:tcPr>
          <w:p w14:paraId="320E6AF9">
            <w:pPr>
              <w:jc w:val="left"/>
              <w:rPr>
                <w:rFonts w:ascii="宋体" w:hAnsi="宋体"/>
                <w:color w:val="auto"/>
                <w:szCs w:val="21"/>
              </w:rPr>
            </w:pPr>
          </w:p>
        </w:tc>
        <w:tc>
          <w:tcPr>
            <w:tcW w:w="565" w:type="dxa"/>
            <w:gridSpan w:val="2"/>
            <w:vMerge w:val="continue"/>
            <w:noWrap/>
            <w:vAlign w:val="center"/>
          </w:tcPr>
          <w:p w14:paraId="758C20F8">
            <w:pPr>
              <w:jc w:val="center"/>
              <w:rPr>
                <w:rFonts w:ascii="宋体" w:hAnsi="宋体"/>
                <w:color w:val="auto"/>
                <w:szCs w:val="21"/>
              </w:rPr>
            </w:pPr>
          </w:p>
        </w:tc>
        <w:tc>
          <w:tcPr>
            <w:tcW w:w="697" w:type="dxa"/>
            <w:vMerge w:val="continue"/>
            <w:noWrap/>
            <w:vAlign w:val="center"/>
          </w:tcPr>
          <w:p w14:paraId="4B67E97B">
            <w:pPr>
              <w:jc w:val="center"/>
              <w:rPr>
                <w:rFonts w:ascii="宋体" w:hAnsi="宋体"/>
                <w:color w:val="auto"/>
                <w:szCs w:val="21"/>
              </w:rPr>
            </w:pPr>
          </w:p>
        </w:tc>
        <w:tc>
          <w:tcPr>
            <w:tcW w:w="6938" w:type="dxa"/>
            <w:gridSpan w:val="2"/>
            <w:noWrap/>
            <w:vAlign w:val="center"/>
          </w:tcPr>
          <w:p w14:paraId="1F7FFA64">
            <w:pPr>
              <w:rPr>
                <w:rFonts w:ascii="宋体" w:hAnsi="宋体"/>
                <w:color w:val="auto"/>
                <w:szCs w:val="21"/>
              </w:rPr>
            </w:pPr>
            <w:r>
              <w:rPr>
                <w:rFonts w:hint="eastAsia" w:ascii="宋体" w:hAnsi="宋体"/>
                <w:color w:val="auto"/>
                <w:szCs w:val="21"/>
              </w:rPr>
              <w:t xml:space="preserve"> 数据自动同步到PDA端的单人采集页面、批量体征录入页面和PC端的患者体温单。</w:t>
            </w:r>
          </w:p>
        </w:tc>
        <w:tc>
          <w:tcPr>
            <w:tcW w:w="709" w:type="dxa"/>
            <w:vMerge w:val="continue"/>
            <w:noWrap/>
            <w:vAlign w:val="center"/>
          </w:tcPr>
          <w:p w14:paraId="49B28601">
            <w:pPr>
              <w:jc w:val="left"/>
              <w:rPr>
                <w:rFonts w:ascii="宋体" w:hAnsi="宋体"/>
                <w:color w:val="auto"/>
                <w:szCs w:val="21"/>
              </w:rPr>
            </w:pPr>
          </w:p>
        </w:tc>
      </w:tr>
      <w:tr w14:paraId="400F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F8BE9C8">
            <w:pPr>
              <w:jc w:val="left"/>
              <w:rPr>
                <w:rFonts w:ascii="宋体" w:hAnsi="宋体"/>
                <w:color w:val="auto"/>
                <w:szCs w:val="21"/>
              </w:rPr>
            </w:pPr>
          </w:p>
        </w:tc>
        <w:tc>
          <w:tcPr>
            <w:tcW w:w="565" w:type="dxa"/>
            <w:gridSpan w:val="2"/>
            <w:vMerge w:val="continue"/>
            <w:noWrap/>
            <w:vAlign w:val="center"/>
          </w:tcPr>
          <w:p w14:paraId="57BBFCA8">
            <w:pPr>
              <w:jc w:val="center"/>
              <w:rPr>
                <w:rFonts w:ascii="宋体" w:hAnsi="宋体"/>
                <w:color w:val="auto"/>
                <w:szCs w:val="21"/>
              </w:rPr>
            </w:pPr>
          </w:p>
        </w:tc>
        <w:tc>
          <w:tcPr>
            <w:tcW w:w="697" w:type="dxa"/>
            <w:vMerge w:val="restart"/>
            <w:noWrap/>
            <w:vAlign w:val="center"/>
          </w:tcPr>
          <w:p w14:paraId="57920F43">
            <w:pPr>
              <w:jc w:val="center"/>
              <w:rPr>
                <w:rFonts w:ascii="宋体" w:hAnsi="宋体"/>
                <w:color w:val="auto"/>
                <w:szCs w:val="21"/>
              </w:rPr>
            </w:pPr>
            <w:r>
              <w:rPr>
                <w:rFonts w:hint="eastAsia" w:ascii="宋体" w:hAnsi="宋体"/>
                <w:color w:val="auto"/>
                <w:szCs w:val="21"/>
              </w:rPr>
              <w:t>体温单</w:t>
            </w:r>
          </w:p>
        </w:tc>
        <w:tc>
          <w:tcPr>
            <w:tcW w:w="6938" w:type="dxa"/>
            <w:gridSpan w:val="2"/>
            <w:noWrap/>
            <w:vAlign w:val="center"/>
          </w:tcPr>
          <w:p w14:paraId="56AEE747">
            <w:pPr>
              <w:rPr>
                <w:rFonts w:ascii="宋体" w:hAnsi="宋体"/>
                <w:color w:val="auto"/>
                <w:szCs w:val="21"/>
              </w:rPr>
            </w:pPr>
            <w:r>
              <w:rPr>
                <w:rFonts w:hint="eastAsia" w:ascii="宋体" w:hAnsi="宋体"/>
                <w:color w:val="auto"/>
                <w:szCs w:val="21"/>
              </w:rPr>
              <w:t xml:space="preserve"> 根据文书规范进行项目配置和格式设置，入院患者自动生成一张体温单。实现按周查看和打印。</w:t>
            </w:r>
          </w:p>
        </w:tc>
        <w:tc>
          <w:tcPr>
            <w:tcW w:w="709" w:type="dxa"/>
            <w:vMerge w:val="continue"/>
            <w:noWrap/>
            <w:vAlign w:val="center"/>
          </w:tcPr>
          <w:p w14:paraId="2EFCE72E">
            <w:pPr>
              <w:jc w:val="left"/>
              <w:rPr>
                <w:rFonts w:ascii="宋体" w:hAnsi="宋体"/>
                <w:color w:val="auto"/>
                <w:szCs w:val="21"/>
              </w:rPr>
            </w:pPr>
          </w:p>
        </w:tc>
      </w:tr>
      <w:tr w14:paraId="42510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2A582A0">
            <w:pPr>
              <w:jc w:val="left"/>
              <w:rPr>
                <w:rFonts w:ascii="宋体" w:hAnsi="宋体"/>
                <w:color w:val="auto"/>
                <w:szCs w:val="21"/>
              </w:rPr>
            </w:pPr>
          </w:p>
        </w:tc>
        <w:tc>
          <w:tcPr>
            <w:tcW w:w="565" w:type="dxa"/>
            <w:gridSpan w:val="2"/>
            <w:vMerge w:val="continue"/>
            <w:noWrap/>
            <w:vAlign w:val="center"/>
          </w:tcPr>
          <w:p w14:paraId="5424CC75">
            <w:pPr>
              <w:jc w:val="center"/>
              <w:rPr>
                <w:rFonts w:ascii="宋体" w:hAnsi="宋体"/>
                <w:color w:val="auto"/>
                <w:szCs w:val="21"/>
              </w:rPr>
            </w:pPr>
          </w:p>
        </w:tc>
        <w:tc>
          <w:tcPr>
            <w:tcW w:w="697" w:type="dxa"/>
            <w:vMerge w:val="continue"/>
            <w:noWrap/>
            <w:vAlign w:val="center"/>
          </w:tcPr>
          <w:p w14:paraId="3E835371">
            <w:pPr>
              <w:jc w:val="center"/>
              <w:rPr>
                <w:rFonts w:ascii="宋体" w:hAnsi="宋体"/>
                <w:color w:val="auto"/>
                <w:szCs w:val="21"/>
              </w:rPr>
            </w:pPr>
          </w:p>
        </w:tc>
        <w:tc>
          <w:tcPr>
            <w:tcW w:w="6938" w:type="dxa"/>
            <w:gridSpan w:val="2"/>
            <w:noWrap/>
            <w:vAlign w:val="center"/>
          </w:tcPr>
          <w:p w14:paraId="46BE19E3">
            <w:pPr>
              <w:rPr>
                <w:rFonts w:ascii="宋体" w:hAnsi="宋体"/>
                <w:color w:val="auto"/>
                <w:szCs w:val="21"/>
              </w:rPr>
            </w:pPr>
            <w:r>
              <w:rPr>
                <w:rFonts w:hint="eastAsia" w:ascii="宋体" w:hAnsi="宋体"/>
                <w:color w:val="auto"/>
                <w:szCs w:val="21"/>
              </w:rPr>
              <w:t xml:space="preserve"> 可编辑临床事件、各个时间点的体征和其他观察记录。</w:t>
            </w:r>
          </w:p>
        </w:tc>
        <w:tc>
          <w:tcPr>
            <w:tcW w:w="709" w:type="dxa"/>
            <w:vMerge w:val="continue"/>
            <w:noWrap/>
            <w:vAlign w:val="center"/>
          </w:tcPr>
          <w:p w14:paraId="14CBE045">
            <w:pPr>
              <w:jc w:val="left"/>
              <w:rPr>
                <w:rFonts w:ascii="宋体" w:hAnsi="宋体"/>
                <w:color w:val="auto"/>
                <w:szCs w:val="21"/>
              </w:rPr>
            </w:pPr>
          </w:p>
        </w:tc>
      </w:tr>
      <w:tr w14:paraId="3A78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F7BC0F5">
            <w:pPr>
              <w:jc w:val="left"/>
              <w:rPr>
                <w:rFonts w:ascii="宋体" w:hAnsi="宋体"/>
                <w:color w:val="auto"/>
                <w:szCs w:val="21"/>
              </w:rPr>
            </w:pPr>
          </w:p>
        </w:tc>
        <w:tc>
          <w:tcPr>
            <w:tcW w:w="565" w:type="dxa"/>
            <w:gridSpan w:val="2"/>
            <w:vMerge w:val="continue"/>
            <w:noWrap/>
            <w:vAlign w:val="center"/>
          </w:tcPr>
          <w:p w14:paraId="2A121B04">
            <w:pPr>
              <w:jc w:val="center"/>
              <w:rPr>
                <w:rFonts w:ascii="宋体" w:hAnsi="宋体"/>
                <w:color w:val="auto"/>
                <w:szCs w:val="21"/>
              </w:rPr>
            </w:pPr>
          </w:p>
        </w:tc>
        <w:tc>
          <w:tcPr>
            <w:tcW w:w="697" w:type="dxa"/>
            <w:vMerge w:val="continue"/>
            <w:noWrap/>
            <w:vAlign w:val="center"/>
          </w:tcPr>
          <w:p w14:paraId="0F719828">
            <w:pPr>
              <w:jc w:val="center"/>
              <w:rPr>
                <w:rFonts w:ascii="宋体" w:hAnsi="宋体"/>
                <w:color w:val="auto"/>
                <w:szCs w:val="21"/>
              </w:rPr>
            </w:pPr>
          </w:p>
        </w:tc>
        <w:tc>
          <w:tcPr>
            <w:tcW w:w="6938" w:type="dxa"/>
            <w:gridSpan w:val="2"/>
            <w:noWrap/>
            <w:vAlign w:val="center"/>
          </w:tcPr>
          <w:p w14:paraId="1DFC292C">
            <w:pPr>
              <w:rPr>
                <w:rFonts w:ascii="宋体" w:hAnsi="宋体"/>
                <w:color w:val="auto"/>
                <w:szCs w:val="21"/>
              </w:rPr>
            </w:pPr>
            <w:r>
              <w:rPr>
                <w:rFonts w:hint="eastAsia" w:ascii="宋体" w:hAnsi="宋体"/>
                <w:color w:val="auto"/>
                <w:szCs w:val="21"/>
              </w:rPr>
              <w:t xml:space="preserve"> 护士可添加专科观察项。</w:t>
            </w:r>
          </w:p>
        </w:tc>
        <w:tc>
          <w:tcPr>
            <w:tcW w:w="709" w:type="dxa"/>
            <w:vMerge w:val="continue"/>
            <w:noWrap/>
            <w:vAlign w:val="center"/>
          </w:tcPr>
          <w:p w14:paraId="399EBD74">
            <w:pPr>
              <w:jc w:val="left"/>
              <w:rPr>
                <w:rFonts w:ascii="宋体" w:hAnsi="宋体"/>
                <w:color w:val="auto"/>
                <w:szCs w:val="21"/>
              </w:rPr>
            </w:pPr>
          </w:p>
        </w:tc>
      </w:tr>
      <w:tr w14:paraId="6FF7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98B70E3">
            <w:pPr>
              <w:jc w:val="left"/>
              <w:rPr>
                <w:rFonts w:ascii="宋体" w:hAnsi="宋体"/>
                <w:color w:val="auto"/>
                <w:szCs w:val="21"/>
              </w:rPr>
            </w:pPr>
          </w:p>
        </w:tc>
        <w:tc>
          <w:tcPr>
            <w:tcW w:w="565" w:type="dxa"/>
            <w:gridSpan w:val="2"/>
            <w:vMerge w:val="continue"/>
            <w:noWrap/>
            <w:vAlign w:val="center"/>
          </w:tcPr>
          <w:p w14:paraId="2F0A267F">
            <w:pPr>
              <w:jc w:val="center"/>
              <w:rPr>
                <w:rFonts w:ascii="宋体" w:hAnsi="宋体"/>
                <w:color w:val="auto"/>
                <w:szCs w:val="21"/>
              </w:rPr>
            </w:pPr>
          </w:p>
        </w:tc>
        <w:tc>
          <w:tcPr>
            <w:tcW w:w="697" w:type="dxa"/>
            <w:vMerge w:val="continue"/>
            <w:noWrap/>
            <w:vAlign w:val="center"/>
          </w:tcPr>
          <w:p w14:paraId="07932471">
            <w:pPr>
              <w:jc w:val="center"/>
              <w:rPr>
                <w:rFonts w:ascii="宋体" w:hAnsi="宋体"/>
                <w:color w:val="auto"/>
                <w:szCs w:val="21"/>
              </w:rPr>
            </w:pPr>
          </w:p>
        </w:tc>
        <w:tc>
          <w:tcPr>
            <w:tcW w:w="6938" w:type="dxa"/>
            <w:gridSpan w:val="2"/>
            <w:noWrap/>
            <w:vAlign w:val="center"/>
          </w:tcPr>
          <w:p w14:paraId="799A246D">
            <w:pPr>
              <w:rPr>
                <w:rFonts w:ascii="宋体" w:hAnsi="宋体"/>
                <w:color w:val="auto"/>
                <w:szCs w:val="21"/>
              </w:rPr>
            </w:pPr>
            <w:r>
              <w:rPr>
                <w:rFonts w:hint="eastAsia" w:ascii="宋体" w:hAnsi="宋体"/>
                <w:color w:val="auto"/>
                <w:szCs w:val="21"/>
              </w:rPr>
              <w:t xml:space="preserve"> 动态显示患者生命体征在相应时段的趋势图。</w:t>
            </w:r>
          </w:p>
        </w:tc>
        <w:tc>
          <w:tcPr>
            <w:tcW w:w="709" w:type="dxa"/>
            <w:vMerge w:val="continue"/>
            <w:noWrap/>
            <w:vAlign w:val="center"/>
          </w:tcPr>
          <w:p w14:paraId="3DC28678">
            <w:pPr>
              <w:jc w:val="left"/>
              <w:rPr>
                <w:rFonts w:ascii="宋体" w:hAnsi="宋体"/>
                <w:color w:val="auto"/>
                <w:szCs w:val="21"/>
              </w:rPr>
            </w:pPr>
          </w:p>
        </w:tc>
      </w:tr>
      <w:tr w14:paraId="5C2D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A3996A6">
            <w:pPr>
              <w:jc w:val="left"/>
              <w:rPr>
                <w:rFonts w:ascii="宋体" w:hAnsi="宋体"/>
                <w:color w:val="auto"/>
                <w:szCs w:val="21"/>
              </w:rPr>
            </w:pPr>
          </w:p>
        </w:tc>
        <w:tc>
          <w:tcPr>
            <w:tcW w:w="565" w:type="dxa"/>
            <w:gridSpan w:val="2"/>
            <w:vMerge w:val="continue"/>
            <w:noWrap/>
            <w:vAlign w:val="center"/>
          </w:tcPr>
          <w:p w14:paraId="5225852E">
            <w:pPr>
              <w:jc w:val="center"/>
              <w:rPr>
                <w:rFonts w:ascii="宋体" w:hAnsi="宋体"/>
                <w:color w:val="auto"/>
                <w:szCs w:val="21"/>
              </w:rPr>
            </w:pPr>
          </w:p>
        </w:tc>
        <w:tc>
          <w:tcPr>
            <w:tcW w:w="697" w:type="dxa"/>
            <w:vMerge w:val="continue"/>
            <w:noWrap/>
            <w:vAlign w:val="center"/>
          </w:tcPr>
          <w:p w14:paraId="2C7B7163">
            <w:pPr>
              <w:jc w:val="center"/>
              <w:rPr>
                <w:rFonts w:ascii="宋体" w:hAnsi="宋体"/>
                <w:color w:val="auto"/>
                <w:szCs w:val="21"/>
              </w:rPr>
            </w:pPr>
          </w:p>
        </w:tc>
        <w:tc>
          <w:tcPr>
            <w:tcW w:w="6938" w:type="dxa"/>
            <w:gridSpan w:val="2"/>
            <w:noWrap/>
            <w:vAlign w:val="center"/>
          </w:tcPr>
          <w:p w14:paraId="3F0F8B04">
            <w:pPr>
              <w:rPr>
                <w:rFonts w:ascii="宋体" w:hAnsi="宋体"/>
                <w:color w:val="auto"/>
                <w:szCs w:val="21"/>
              </w:rPr>
            </w:pPr>
            <w:r>
              <w:rPr>
                <w:rFonts w:hint="eastAsia" w:ascii="宋体" w:hAnsi="宋体"/>
                <w:color w:val="auto"/>
                <w:szCs w:val="21"/>
              </w:rPr>
              <w:t xml:space="preserve"> 判别数据有效性，校验录入数据是否符合要求（例如，体温只能录入数字）。</w:t>
            </w:r>
          </w:p>
        </w:tc>
        <w:tc>
          <w:tcPr>
            <w:tcW w:w="709" w:type="dxa"/>
            <w:vMerge w:val="continue"/>
            <w:noWrap/>
            <w:vAlign w:val="center"/>
          </w:tcPr>
          <w:p w14:paraId="3322B2C0">
            <w:pPr>
              <w:jc w:val="left"/>
              <w:rPr>
                <w:rFonts w:ascii="宋体" w:hAnsi="宋体"/>
                <w:color w:val="auto"/>
                <w:szCs w:val="21"/>
              </w:rPr>
            </w:pPr>
          </w:p>
        </w:tc>
      </w:tr>
      <w:tr w14:paraId="6CCD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348568F">
            <w:pPr>
              <w:jc w:val="left"/>
              <w:rPr>
                <w:rFonts w:ascii="宋体" w:hAnsi="宋体"/>
                <w:color w:val="auto"/>
                <w:szCs w:val="21"/>
              </w:rPr>
            </w:pPr>
          </w:p>
        </w:tc>
        <w:tc>
          <w:tcPr>
            <w:tcW w:w="565" w:type="dxa"/>
            <w:gridSpan w:val="2"/>
            <w:vMerge w:val="continue"/>
            <w:noWrap/>
            <w:vAlign w:val="center"/>
          </w:tcPr>
          <w:p w14:paraId="17895ECD">
            <w:pPr>
              <w:jc w:val="center"/>
              <w:rPr>
                <w:rFonts w:ascii="宋体" w:hAnsi="宋体"/>
                <w:color w:val="auto"/>
                <w:szCs w:val="21"/>
              </w:rPr>
            </w:pPr>
          </w:p>
        </w:tc>
        <w:tc>
          <w:tcPr>
            <w:tcW w:w="697" w:type="dxa"/>
            <w:vMerge w:val="continue"/>
            <w:noWrap/>
            <w:vAlign w:val="center"/>
          </w:tcPr>
          <w:p w14:paraId="6DAE70DB">
            <w:pPr>
              <w:jc w:val="center"/>
              <w:rPr>
                <w:rFonts w:ascii="宋体" w:hAnsi="宋体"/>
                <w:color w:val="auto"/>
                <w:szCs w:val="21"/>
              </w:rPr>
            </w:pPr>
          </w:p>
        </w:tc>
        <w:tc>
          <w:tcPr>
            <w:tcW w:w="6938" w:type="dxa"/>
            <w:gridSpan w:val="2"/>
            <w:noWrap/>
            <w:vAlign w:val="center"/>
          </w:tcPr>
          <w:p w14:paraId="4CE52DFF">
            <w:pPr>
              <w:rPr>
                <w:rFonts w:ascii="宋体" w:hAnsi="宋体"/>
                <w:color w:val="auto"/>
                <w:szCs w:val="21"/>
              </w:rPr>
            </w:pPr>
            <w:r>
              <w:rPr>
                <w:rFonts w:hint="eastAsia" w:ascii="宋体" w:hAnsi="宋体"/>
                <w:color w:val="auto"/>
                <w:szCs w:val="21"/>
              </w:rPr>
              <w:t>实现设定单个体征的正常值上下限。</w:t>
            </w:r>
          </w:p>
        </w:tc>
        <w:tc>
          <w:tcPr>
            <w:tcW w:w="709" w:type="dxa"/>
            <w:vMerge w:val="continue"/>
            <w:noWrap/>
            <w:vAlign w:val="center"/>
          </w:tcPr>
          <w:p w14:paraId="39FF07C3">
            <w:pPr>
              <w:jc w:val="left"/>
              <w:rPr>
                <w:rFonts w:ascii="宋体" w:hAnsi="宋体"/>
                <w:color w:val="auto"/>
                <w:szCs w:val="21"/>
              </w:rPr>
            </w:pPr>
          </w:p>
        </w:tc>
      </w:tr>
      <w:tr w14:paraId="56E9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1D473B62">
            <w:pPr>
              <w:jc w:val="left"/>
              <w:rPr>
                <w:rFonts w:ascii="宋体" w:hAnsi="宋体"/>
                <w:color w:val="auto"/>
                <w:szCs w:val="21"/>
              </w:rPr>
            </w:pPr>
          </w:p>
        </w:tc>
        <w:tc>
          <w:tcPr>
            <w:tcW w:w="565" w:type="dxa"/>
            <w:gridSpan w:val="2"/>
            <w:vMerge w:val="continue"/>
            <w:noWrap/>
            <w:vAlign w:val="center"/>
          </w:tcPr>
          <w:p w14:paraId="4C58AF5D">
            <w:pPr>
              <w:jc w:val="center"/>
              <w:rPr>
                <w:rFonts w:ascii="宋体" w:hAnsi="宋体"/>
                <w:color w:val="auto"/>
                <w:szCs w:val="21"/>
              </w:rPr>
            </w:pPr>
          </w:p>
        </w:tc>
        <w:tc>
          <w:tcPr>
            <w:tcW w:w="697" w:type="dxa"/>
            <w:vMerge w:val="continue"/>
            <w:noWrap/>
            <w:vAlign w:val="center"/>
          </w:tcPr>
          <w:p w14:paraId="669D9CCB">
            <w:pPr>
              <w:jc w:val="center"/>
              <w:rPr>
                <w:rFonts w:ascii="宋体" w:hAnsi="宋体"/>
                <w:color w:val="auto"/>
                <w:szCs w:val="21"/>
              </w:rPr>
            </w:pPr>
          </w:p>
        </w:tc>
        <w:tc>
          <w:tcPr>
            <w:tcW w:w="6938" w:type="dxa"/>
            <w:gridSpan w:val="2"/>
            <w:noWrap/>
            <w:vAlign w:val="center"/>
          </w:tcPr>
          <w:p w14:paraId="6C3AF433">
            <w:pPr>
              <w:rPr>
                <w:rFonts w:ascii="宋体" w:hAnsi="宋体"/>
                <w:color w:val="auto"/>
                <w:szCs w:val="21"/>
              </w:rPr>
            </w:pPr>
            <w:r>
              <w:rPr>
                <w:rFonts w:hint="eastAsia" w:ascii="宋体" w:hAnsi="宋体"/>
                <w:color w:val="auto"/>
                <w:szCs w:val="21"/>
              </w:rPr>
              <w:t xml:space="preserve"> 异常体征</w:t>
            </w:r>
            <w:r>
              <w:rPr>
                <w:rFonts w:hint="eastAsia" w:ascii="宋体" w:hAnsi="宋体"/>
                <w:color w:val="auto"/>
                <w:szCs w:val="21"/>
              </w:rPr>
              <w:t>、复测</w:t>
            </w:r>
            <w:r>
              <w:rPr>
                <w:rFonts w:hint="eastAsia" w:ascii="宋体" w:hAnsi="宋体"/>
                <w:color w:val="auto"/>
                <w:szCs w:val="21"/>
              </w:rPr>
              <w:t>提醒，通过不同的颜色和标识提示出异常的体征。</w:t>
            </w:r>
          </w:p>
        </w:tc>
        <w:tc>
          <w:tcPr>
            <w:tcW w:w="709" w:type="dxa"/>
            <w:vMerge w:val="continue"/>
            <w:noWrap/>
            <w:vAlign w:val="center"/>
          </w:tcPr>
          <w:p w14:paraId="31BCBACD">
            <w:pPr>
              <w:jc w:val="left"/>
              <w:rPr>
                <w:rFonts w:ascii="宋体" w:hAnsi="宋体"/>
                <w:color w:val="auto"/>
                <w:szCs w:val="21"/>
              </w:rPr>
            </w:pPr>
          </w:p>
        </w:tc>
      </w:tr>
      <w:tr w14:paraId="17C1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97F4D8B">
            <w:pPr>
              <w:jc w:val="left"/>
              <w:rPr>
                <w:rFonts w:ascii="宋体" w:hAnsi="宋体"/>
                <w:color w:val="auto"/>
                <w:szCs w:val="21"/>
              </w:rPr>
            </w:pPr>
          </w:p>
        </w:tc>
        <w:tc>
          <w:tcPr>
            <w:tcW w:w="565" w:type="dxa"/>
            <w:gridSpan w:val="2"/>
            <w:vMerge w:val="restart"/>
            <w:noWrap/>
            <w:vAlign w:val="center"/>
          </w:tcPr>
          <w:p w14:paraId="375DE276">
            <w:pPr>
              <w:jc w:val="center"/>
              <w:rPr>
                <w:rFonts w:ascii="宋体" w:hAnsi="宋体"/>
                <w:color w:val="auto"/>
                <w:szCs w:val="21"/>
              </w:rPr>
            </w:pPr>
            <w:r>
              <w:rPr>
                <w:rFonts w:hint="eastAsia" w:ascii="宋体" w:hAnsi="宋体"/>
                <w:color w:val="auto"/>
                <w:szCs w:val="21"/>
              </w:rPr>
              <w:t>文书管理</w:t>
            </w:r>
          </w:p>
        </w:tc>
        <w:tc>
          <w:tcPr>
            <w:tcW w:w="697" w:type="dxa"/>
            <w:vMerge w:val="restart"/>
            <w:noWrap/>
            <w:vAlign w:val="center"/>
          </w:tcPr>
          <w:p w14:paraId="0BB2DE3F">
            <w:pPr>
              <w:jc w:val="center"/>
              <w:rPr>
                <w:rFonts w:ascii="宋体" w:hAnsi="宋体"/>
                <w:color w:val="auto"/>
                <w:szCs w:val="21"/>
              </w:rPr>
            </w:pPr>
            <w:r>
              <w:rPr>
                <w:rFonts w:hint="eastAsia" w:ascii="宋体" w:hAnsi="宋体"/>
                <w:color w:val="auto"/>
                <w:szCs w:val="21"/>
              </w:rPr>
              <w:t>通用功能</w:t>
            </w:r>
          </w:p>
        </w:tc>
        <w:tc>
          <w:tcPr>
            <w:tcW w:w="6938" w:type="dxa"/>
            <w:gridSpan w:val="2"/>
            <w:noWrap/>
            <w:vAlign w:val="center"/>
          </w:tcPr>
          <w:p w14:paraId="1A8F5F1D">
            <w:pPr>
              <w:rPr>
                <w:rFonts w:ascii="宋体" w:hAnsi="宋体"/>
                <w:color w:val="auto"/>
                <w:szCs w:val="21"/>
              </w:rPr>
            </w:pPr>
            <w:r>
              <w:rPr>
                <w:rFonts w:hint="eastAsia" w:ascii="宋体" w:hAnsi="宋体"/>
                <w:color w:val="auto"/>
                <w:szCs w:val="21"/>
              </w:rPr>
              <w:t xml:space="preserve"> 根据临床护理文书规范，配置结构化的护理文书。</w:t>
            </w:r>
          </w:p>
        </w:tc>
        <w:tc>
          <w:tcPr>
            <w:tcW w:w="709" w:type="dxa"/>
            <w:vMerge w:val="continue"/>
            <w:noWrap/>
            <w:vAlign w:val="center"/>
          </w:tcPr>
          <w:p w14:paraId="06DD26E9">
            <w:pPr>
              <w:jc w:val="left"/>
              <w:rPr>
                <w:rFonts w:ascii="宋体" w:hAnsi="宋体"/>
                <w:color w:val="auto"/>
                <w:szCs w:val="21"/>
              </w:rPr>
            </w:pPr>
          </w:p>
        </w:tc>
      </w:tr>
      <w:tr w14:paraId="6320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BE0A301">
            <w:pPr>
              <w:jc w:val="left"/>
              <w:rPr>
                <w:rFonts w:ascii="宋体" w:hAnsi="宋体"/>
                <w:color w:val="auto"/>
                <w:szCs w:val="21"/>
              </w:rPr>
            </w:pPr>
          </w:p>
        </w:tc>
        <w:tc>
          <w:tcPr>
            <w:tcW w:w="565" w:type="dxa"/>
            <w:gridSpan w:val="2"/>
            <w:vMerge w:val="continue"/>
            <w:noWrap/>
            <w:vAlign w:val="center"/>
          </w:tcPr>
          <w:p w14:paraId="51514A5C">
            <w:pPr>
              <w:jc w:val="center"/>
              <w:rPr>
                <w:rFonts w:ascii="宋体" w:hAnsi="宋体"/>
                <w:color w:val="auto"/>
                <w:szCs w:val="21"/>
              </w:rPr>
            </w:pPr>
          </w:p>
        </w:tc>
        <w:tc>
          <w:tcPr>
            <w:tcW w:w="697" w:type="dxa"/>
            <w:vMerge w:val="continue"/>
            <w:noWrap/>
            <w:vAlign w:val="center"/>
          </w:tcPr>
          <w:p w14:paraId="4D6FD458">
            <w:pPr>
              <w:jc w:val="center"/>
              <w:rPr>
                <w:rFonts w:ascii="宋体" w:hAnsi="宋体"/>
                <w:color w:val="auto"/>
                <w:szCs w:val="21"/>
              </w:rPr>
            </w:pPr>
          </w:p>
        </w:tc>
        <w:tc>
          <w:tcPr>
            <w:tcW w:w="6938" w:type="dxa"/>
            <w:gridSpan w:val="2"/>
            <w:noWrap/>
            <w:vAlign w:val="center"/>
          </w:tcPr>
          <w:p w14:paraId="2136D93E">
            <w:pPr>
              <w:rPr>
                <w:rFonts w:ascii="宋体" w:hAnsi="宋体"/>
                <w:color w:val="auto"/>
                <w:szCs w:val="21"/>
              </w:rPr>
            </w:pPr>
            <w:r>
              <w:rPr>
                <w:rFonts w:hint="eastAsia" w:ascii="宋体" w:hAnsi="宋体"/>
                <w:color w:val="auto"/>
                <w:szCs w:val="21"/>
              </w:rPr>
              <w:t xml:space="preserve"> 根据各省市/医院不同的护理文书书写要求，配置不同的录入规则。</w:t>
            </w:r>
          </w:p>
        </w:tc>
        <w:tc>
          <w:tcPr>
            <w:tcW w:w="709" w:type="dxa"/>
            <w:vMerge w:val="continue"/>
            <w:noWrap/>
            <w:vAlign w:val="center"/>
          </w:tcPr>
          <w:p w14:paraId="29CCFBE8">
            <w:pPr>
              <w:jc w:val="left"/>
              <w:rPr>
                <w:rFonts w:ascii="宋体" w:hAnsi="宋体"/>
                <w:color w:val="auto"/>
                <w:szCs w:val="21"/>
              </w:rPr>
            </w:pPr>
          </w:p>
        </w:tc>
      </w:tr>
      <w:tr w14:paraId="2145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7536E20">
            <w:pPr>
              <w:jc w:val="left"/>
              <w:rPr>
                <w:rFonts w:ascii="宋体" w:hAnsi="宋体"/>
                <w:color w:val="auto"/>
                <w:szCs w:val="21"/>
              </w:rPr>
            </w:pPr>
          </w:p>
        </w:tc>
        <w:tc>
          <w:tcPr>
            <w:tcW w:w="565" w:type="dxa"/>
            <w:gridSpan w:val="2"/>
            <w:vMerge w:val="continue"/>
            <w:noWrap/>
            <w:vAlign w:val="center"/>
          </w:tcPr>
          <w:p w14:paraId="6C1444B8">
            <w:pPr>
              <w:jc w:val="center"/>
              <w:rPr>
                <w:rFonts w:ascii="宋体" w:hAnsi="宋体"/>
                <w:color w:val="auto"/>
                <w:szCs w:val="21"/>
              </w:rPr>
            </w:pPr>
          </w:p>
        </w:tc>
        <w:tc>
          <w:tcPr>
            <w:tcW w:w="697" w:type="dxa"/>
            <w:vMerge w:val="restart"/>
            <w:noWrap/>
            <w:vAlign w:val="center"/>
          </w:tcPr>
          <w:p w14:paraId="5DF0F42E">
            <w:pPr>
              <w:jc w:val="center"/>
              <w:rPr>
                <w:rFonts w:ascii="宋体" w:hAnsi="宋体"/>
                <w:color w:val="auto"/>
                <w:szCs w:val="21"/>
              </w:rPr>
            </w:pPr>
            <w:r>
              <w:rPr>
                <w:rFonts w:hint="eastAsia" w:ascii="宋体" w:hAnsi="宋体"/>
                <w:color w:val="auto"/>
                <w:szCs w:val="21"/>
              </w:rPr>
              <w:t>各类护理记录单</w:t>
            </w:r>
          </w:p>
        </w:tc>
        <w:tc>
          <w:tcPr>
            <w:tcW w:w="6938" w:type="dxa"/>
            <w:gridSpan w:val="2"/>
            <w:noWrap/>
            <w:vAlign w:val="center"/>
          </w:tcPr>
          <w:p w14:paraId="763045C4">
            <w:pPr>
              <w:rPr>
                <w:rFonts w:ascii="宋体" w:hAnsi="宋体"/>
                <w:color w:val="auto"/>
                <w:szCs w:val="21"/>
              </w:rPr>
            </w:pPr>
            <w:r>
              <w:rPr>
                <w:rFonts w:hint="eastAsia" w:ascii="宋体" w:hAnsi="宋体"/>
                <w:color w:val="auto"/>
                <w:szCs w:val="21"/>
              </w:rPr>
              <w:t>实现新建、修改、</w:t>
            </w:r>
            <w:r>
              <w:rPr>
                <w:rFonts w:hint="eastAsia" w:ascii="宋体" w:hAnsi="宋体"/>
                <w:color w:val="auto"/>
                <w:szCs w:val="21"/>
              </w:rPr>
              <w:t>复制、</w:t>
            </w:r>
            <w:r>
              <w:rPr>
                <w:rFonts w:hint="eastAsia" w:ascii="宋体" w:hAnsi="宋体"/>
                <w:color w:val="auto"/>
                <w:szCs w:val="21"/>
              </w:rPr>
              <w:t>浏览、审签、打印各类护理记录单，表单设计结构化，通过数据引用、勾选、简单输入等方式即可快速完成录入。</w:t>
            </w:r>
          </w:p>
        </w:tc>
        <w:tc>
          <w:tcPr>
            <w:tcW w:w="709" w:type="dxa"/>
            <w:vMerge w:val="continue"/>
            <w:noWrap/>
            <w:vAlign w:val="center"/>
          </w:tcPr>
          <w:p w14:paraId="10D5BB6C">
            <w:pPr>
              <w:jc w:val="left"/>
              <w:rPr>
                <w:rFonts w:ascii="宋体" w:hAnsi="宋体"/>
                <w:color w:val="auto"/>
                <w:szCs w:val="21"/>
              </w:rPr>
            </w:pPr>
          </w:p>
        </w:tc>
      </w:tr>
      <w:tr w14:paraId="6FB5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62DEDCB">
            <w:pPr>
              <w:jc w:val="left"/>
              <w:rPr>
                <w:rFonts w:ascii="宋体" w:hAnsi="宋体"/>
                <w:color w:val="auto"/>
                <w:szCs w:val="21"/>
              </w:rPr>
            </w:pPr>
          </w:p>
        </w:tc>
        <w:tc>
          <w:tcPr>
            <w:tcW w:w="565" w:type="dxa"/>
            <w:gridSpan w:val="2"/>
            <w:vMerge w:val="continue"/>
            <w:noWrap/>
            <w:vAlign w:val="center"/>
          </w:tcPr>
          <w:p w14:paraId="7D0A62F2">
            <w:pPr>
              <w:jc w:val="center"/>
              <w:rPr>
                <w:rFonts w:ascii="宋体" w:hAnsi="宋体"/>
                <w:color w:val="auto"/>
                <w:szCs w:val="21"/>
              </w:rPr>
            </w:pPr>
          </w:p>
        </w:tc>
        <w:tc>
          <w:tcPr>
            <w:tcW w:w="697" w:type="dxa"/>
            <w:vMerge w:val="continue"/>
            <w:noWrap/>
            <w:vAlign w:val="center"/>
          </w:tcPr>
          <w:p w14:paraId="1CE59E56">
            <w:pPr>
              <w:jc w:val="center"/>
              <w:rPr>
                <w:rFonts w:ascii="宋体" w:hAnsi="宋体"/>
                <w:color w:val="auto"/>
                <w:szCs w:val="21"/>
              </w:rPr>
            </w:pPr>
          </w:p>
        </w:tc>
        <w:tc>
          <w:tcPr>
            <w:tcW w:w="6938" w:type="dxa"/>
            <w:gridSpan w:val="2"/>
            <w:noWrap/>
            <w:vAlign w:val="center"/>
          </w:tcPr>
          <w:p w14:paraId="592F2D73">
            <w:pPr>
              <w:rPr>
                <w:rFonts w:ascii="宋体" w:hAnsi="宋体"/>
                <w:color w:val="auto"/>
                <w:szCs w:val="21"/>
              </w:rPr>
            </w:pPr>
            <w:r>
              <w:rPr>
                <w:rFonts w:hint="eastAsia" w:ascii="宋体" w:hAnsi="宋体"/>
                <w:color w:val="auto"/>
                <w:szCs w:val="21"/>
              </w:rPr>
              <w:t xml:space="preserve"> 一般护理记录单、病危护理记录单、管道留置护理单、静脉导管置入术后维护单、深静脉血栓护理记录单、糖尿病治疗记录单、手术安全核查表等。所需记录单按医院实际需要创建</w:t>
            </w:r>
            <w:r>
              <w:rPr>
                <w:rFonts w:ascii="宋体" w:hAnsi="宋体"/>
                <w:color w:val="auto"/>
                <w:szCs w:val="21"/>
              </w:rPr>
              <w:t>。</w:t>
            </w:r>
          </w:p>
        </w:tc>
        <w:tc>
          <w:tcPr>
            <w:tcW w:w="709" w:type="dxa"/>
            <w:vMerge w:val="continue"/>
            <w:noWrap/>
            <w:vAlign w:val="center"/>
          </w:tcPr>
          <w:p w14:paraId="0A09135F">
            <w:pPr>
              <w:jc w:val="left"/>
              <w:rPr>
                <w:rFonts w:ascii="宋体" w:hAnsi="宋体"/>
                <w:color w:val="auto"/>
                <w:szCs w:val="21"/>
              </w:rPr>
            </w:pPr>
          </w:p>
        </w:tc>
      </w:tr>
      <w:tr w14:paraId="10ED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19CE8EF4">
            <w:pPr>
              <w:jc w:val="left"/>
              <w:rPr>
                <w:rFonts w:ascii="宋体" w:hAnsi="宋体"/>
                <w:color w:val="auto"/>
                <w:szCs w:val="21"/>
              </w:rPr>
            </w:pPr>
          </w:p>
        </w:tc>
        <w:tc>
          <w:tcPr>
            <w:tcW w:w="565" w:type="dxa"/>
            <w:gridSpan w:val="2"/>
            <w:vMerge w:val="continue"/>
            <w:noWrap/>
            <w:vAlign w:val="center"/>
          </w:tcPr>
          <w:p w14:paraId="1F49D5DD">
            <w:pPr>
              <w:jc w:val="center"/>
              <w:rPr>
                <w:rFonts w:ascii="宋体" w:hAnsi="宋体"/>
                <w:color w:val="auto"/>
                <w:szCs w:val="21"/>
              </w:rPr>
            </w:pPr>
          </w:p>
        </w:tc>
        <w:tc>
          <w:tcPr>
            <w:tcW w:w="697" w:type="dxa"/>
            <w:vMerge w:val="continue"/>
            <w:noWrap/>
            <w:vAlign w:val="center"/>
          </w:tcPr>
          <w:p w14:paraId="57AA9783">
            <w:pPr>
              <w:jc w:val="center"/>
              <w:rPr>
                <w:rFonts w:ascii="宋体" w:hAnsi="宋体"/>
                <w:color w:val="auto"/>
                <w:szCs w:val="21"/>
              </w:rPr>
            </w:pPr>
          </w:p>
        </w:tc>
        <w:tc>
          <w:tcPr>
            <w:tcW w:w="6938" w:type="dxa"/>
            <w:gridSpan w:val="2"/>
            <w:noWrap/>
            <w:vAlign w:val="center"/>
          </w:tcPr>
          <w:p w14:paraId="1216F985">
            <w:pPr>
              <w:rPr>
                <w:rFonts w:ascii="宋体" w:hAnsi="宋体"/>
                <w:color w:val="auto"/>
                <w:szCs w:val="21"/>
              </w:rPr>
            </w:pPr>
            <w:r>
              <w:rPr>
                <w:rFonts w:hint="eastAsia" w:ascii="宋体" w:hAnsi="宋体"/>
                <w:color w:val="auto"/>
                <w:szCs w:val="21"/>
              </w:rPr>
              <w:t>实现自定义各类护理记录单的名称、表头、列、样式、脚注等信息；实现分科室配置。</w:t>
            </w:r>
          </w:p>
        </w:tc>
        <w:tc>
          <w:tcPr>
            <w:tcW w:w="709" w:type="dxa"/>
            <w:vMerge w:val="continue"/>
            <w:noWrap/>
            <w:vAlign w:val="center"/>
          </w:tcPr>
          <w:p w14:paraId="4A87B1CF">
            <w:pPr>
              <w:jc w:val="left"/>
              <w:rPr>
                <w:rFonts w:ascii="宋体" w:hAnsi="宋体"/>
                <w:color w:val="auto"/>
                <w:szCs w:val="21"/>
              </w:rPr>
            </w:pPr>
          </w:p>
        </w:tc>
      </w:tr>
      <w:tr w14:paraId="66D8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29E8F7C">
            <w:pPr>
              <w:jc w:val="left"/>
              <w:rPr>
                <w:rFonts w:ascii="宋体" w:hAnsi="宋体"/>
                <w:color w:val="auto"/>
                <w:szCs w:val="21"/>
              </w:rPr>
            </w:pPr>
          </w:p>
        </w:tc>
        <w:tc>
          <w:tcPr>
            <w:tcW w:w="565" w:type="dxa"/>
            <w:gridSpan w:val="2"/>
            <w:vMerge w:val="continue"/>
            <w:noWrap/>
            <w:vAlign w:val="center"/>
          </w:tcPr>
          <w:p w14:paraId="5742ECAE">
            <w:pPr>
              <w:jc w:val="center"/>
              <w:rPr>
                <w:rFonts w:ascii="宋体" w:hAnsi="宋体"/>
                <w:color w:val="auto"/>
                <w:szCs w:val="21"/>
              </w:rPr>
            </w:pPr>
          </w:p>
        </w:tc>
        <w:tc>
          <w:tcPr>
            <w:tcW w:w="697" w:type="dxa"/>
            <w:vMerge w:val="restart"/>
            <w:noWrap/>
            <w:vAlign w:val="center"/>
          </w:tcPr>
          <w:p w14:paraId="278D8144">
            <w:pPr>
              <w:jc w:val="center"/>
              <w:rPr>
                <w:rFonts w:ascii="宋体" w:hAnsi="宋体"/>
                <w:color w:val="auto"/>
                <w:szCs w:val="21"/>
              </w:rPr>
            </w:pPr>
            <w:r>
              <w:rPr>
                <w:rFonts w:hint="eastAsia" w:ascii="宋体" w:hAnsi="宋体"/>
                <w:color w:val="auto"/>
                <w:szCs w:val="21"/>
              </w:rPr>
              <w:t>各类评估单</w:t>
            </w:r>
          </w:p>
        </w:tc>
        <w:tc>
          <w:tcPr>
            <w:tcW w:w="6938" w:type="dxa"/>
            <w:gridSpan w:val="2"/>
            <w:noWrap/>
            <w:vAlign w:val="center"/>
          </w:tcPr>
          <w:p w14:paraId="54C6B70D">
            <w:pPr>
              <w:rPr>
                <w:rFonts w:ascii="宋体" w:hAnsi="宋体"/>
                <w:color w:val="auto"/>
                <w:szCs w:val="21"/>
              </w:rPr>
            </w:pPr>
            <w:r>
              <w:rPr>
                <w:rFonts w:hint="eastAsia" w:ascii="宋体" w:hAnsi="宋体"/>
                <w:color w:val="auto"/>
                <w:szCs w:val="21"/>
              </w:rPr>
              <w:t>实现新建、修改</w:t>
            </w:r>
            <w:r>
              <w:rPr>
                <w:rFonts w:hint="eastAsia" w:ascii="宋体" w:hAnsi="宋体"/>
                <w:color w:val="auto"/>
                <w:szCs w:val="21"/>
              </w:rPr>
              <w:t>、复制</w:t>
            </w:r>
            <w:r>
              <w:rPr>
                <w:rFonts w:hint="eastAsia" w:ascii="宋体" w:hAnsi="宋体"/>
                <w:color w:val="auto"/>
                <w:szCs w:val="21"/>
              </w:rPr>
              <w:t>、浏览、审签、打印各类评估单，表单设计结构化，通过数据引用、勾选、简单输入等方式即可快速完成录入。</w:t>
            </w:r>
          </w:p>
        </w:tc>
        <w:tc>
          <w:tcPr>
            <w:tcW w:w="709" w:type="dxa"/>
            <w:vMerge w:val="continue"/>
            <w:noWrap/>
            <w:vAlign w:val="center"/>
          </w:tcPr>
          <w:p w14:paraId="27B7BBAD">
            <w:pPr>
              <w:jc w:val="left"/>
              <w:rPr>
                <w:rFonts w:ascii="宋体" w:hAnsi="宋体"/>
                <w:color w:val="auto"/>
                <w:szCs w:val="21"/>
              </w:rPr>
            </w:pPr>
          </w:p>
        </w:tc>
      </w:tr>
      <w:tr w14:paraId="3A12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0B7068C1">
            <w:pPr>
              <w:jc w:val="left"/>
              <w:rPr>
                <w:rFonts w:ascii="宋体" w:hAnsi="宋体"/>
                <w:color w:val="auto"/>
                <w:szCs w:val="21"/>
              </w:rPr>
            </w:pPr>
          </w:p>
        </w:tc>
        <w:tc>
          <w:tcPr>
            <w:tcW w:w="565" w:type="dxa"/>
            <w:gridSpan w:val="2"/>
            <w:vMerge w:val="continue"/>
            <w:noWrap/>
            <w:vAlign w:val="center"/>
          </w:tcPr>
          <w:p w14:paraId="3087E324">
            <w:pPr>
              <w:jc w:val="center"/>
              <w:rPr>
                <w:rFonts w:ascii="宋体" w:hAnsi="宋体"/>
                <w:color w:val="auto"/>
                <w:szCs w:val="21"/>
              </w:rPr>
            </w:pPr>
          </w:p>
        </w:tc>
        <w:tc>
          <w:tcPr>
            <w:tcW w:w="697" w:type="dxa"/>
            <w:vMerge w:val="continue"/>
            <w:noWrap/>
            <w:vAlign w:val="center"/>
          </w:tcPr>
          <w:p w14:paraId="0A38996E">
            <w:pPr>
              <w:jc w:val="center"/>
              <w:rPr>
                <w:rFonts w:ascii="宋体" w:hAnsi="宋体"/>
                <w:color w:val="auto"/>
                <w:szCs w:val="21"/>
              </w:rPr>
            </w:pPr>
          </w:p>
        </w:tc>
        <w:tc>
          <w:tcPr>
            <w:tcW w:w="6938" w:type="dxa"/>
            <w:gridSpan w:val="2"/>
            <w:noWrap/>
            <w:vAlign w:val="center"/>
          </w:tcPr>
          <w:p w14:paraId="53B71622">
            <w:pPr>
              <w:rPr>
                <w:rFonts w:ascii="宋体" w:hAnsi="宋体"/>
                <w:color w:val="auto"/>
                <w:szCs w:val="21"/>
              </w:rPr>
            </w:pPr>
            <w:r>
              <w:rPr>
                <w:rFonts w:hint="eastAsia" w:ascii="宋体" w:hAnsi="宋体"/>
                <w:color w:val="auto"/>
                <w:szCs w:val="21"/>
              </w:rPr>
              <w:t xml:space="preserve"> 首次护理评估单</w:t>
            </w:r>
            <w:r>
              <w:rPr>
                <w:rFonts w:hint="eastAsia" w:ascii="宋体" w:hAnsi="宋体"/>
                <w:color w:val="auto"/>
                <w:szCs w:val="21"/>
              </w:rPr>
              <w:t>（入院首次生命体征及所有评估单的评估数据可自动同步到首次护理评估单）</w:t>
            </w:r>
            <w:r>
              <w:rPr>
                <w:rFonts w:hint="eastAsia" w:ascii="宋体" w:hAnsi="宋体"/>
                <w:color w:val="auto"/>
                <w:szCs w:val="21"/>
              </w:rPr>
              <w:t>、基本生活活动能力（BADL）量表、跌倒/坠床风险因素评估表、Waterlow压疮风险护理单、压疮风险预警报告表、深静脉血栓危险因素评估及护理措施记录单（Autar评分表）、洼田饮水实验、GCS意识评估单、NRS2002营养风险筛查表、护理会诊单等。所需评估单按医院实际需要创建</w:t>
            </w:r>
            <w:r>
              <w:rPr>
                <w:rFonts w:ascii="宋体" w:hAnsi="宋体"/>
                <w:color w:val="auto"/>
                <w:szCs w:val="21"/>
              </w:rPr>
              <w:t>。</w:t>
            </w:r>
          </w:p>
        </w:tc>
        <w:tc>
          <w:tcPr>
            <w:tcW w:w="709" w:type="dxa"/>
            <w:vMerge w:val="continue"/>
            <w:noWrap/>
            <w:vAlign w:val="center"/>
          </w:tcPr>
          <w:p w14:paraId="50E30A1B">
            <w:pPr>
              <w:jc w:val="left"/>
              <w:rPr>
                <w:rFonts w:ascii="宋体" w:hAnsi="宋体"/>
                <w:color w:val="auto"/>
                <w:szCs w:val="21"/>
              </w:rPr>
            </w:pPr>
          </w:p>
        </w:tc>
      </w:tr>
      <w:tr w14:paraId="1430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425BFDD">
            <w:pPr>
              <w:jc w:val="left"/>
              <w:rPr>
                <w:rFonts w:ascii="宋体" w:hAnsi="宋体"/>
                <w:color w:val="auto"/>
                <w:szCs w:val="21"/>
              </w:rPr>
            </w:pPr>
          </w:p>
        </w:tc>
        <w:tc>
          <w:tcPr>
            <w:tcW w:w="565" w:type="dxa"/>
            <w:gridSpan w:val="2"/>
            <w:vMerge w:val="continue"/>
            <w:noWrap/>
            <w:vAlign w:val="center"/>
          </w:tcPr>
          <w:p w14:paraId="7DF95B49">
            <w:pPr>
              <w:jc w:val="center"/>
              <w:rPr>
                <w:rFonts w:ascii="宋体" w:hAnsi="宋体"/>
                <w:color w:val="auto"/>
                <w:szCs w:val="21"/>
              </w:rPr>
            </w:pPr>
          </w:p>
        </w:tc>
        <w:tc>
          <w:tcPr>
            <w:tcW w:w="697" w:type="dxa"/>
            <w:vMerge w:val="continue"/>
            <w:noWrap/>
            <w:vAlign w:val="center"/>
          </w:tcPr>
          <w:p w14:paraId="5BA8B7E7">
            <w:pPr>
              <w:jc w:val="center"/>
              <w:rPr>
                <w:rFonts w:ascii="宋体" w:hAnsi="宋体"/>
                <w:color w:val="auto"/>
                <w:szCs w:val="21"/>
              </w:rPr>
            </w:pPr>
          </w:p>
        </w:tc>
        <w:tc>
          <w:tcPr>
            <w:tcW w:w="6938" w:type="dxa"/>
            <w:gridSpan w:val="2"/>
            <w:noWrap/>
            <w:vAlign w:val="center"/>
          </w:tcPr>
          <w:p w14:paraId="10BEAE3F">
            <w:pPr>
              <w:rPr>
                <w:rFonts w:ascii="宋体" w:hAnsi="宋体"/>
                <w:color w:val="auto"/>
                <w:szCs w:val="21"/>
              </w:rPr>
            </w:pPr>
            <w:r>
              <w:rPr>
                <w:rFonts w:hint="eastAsia" w:ascii="宋体" w:hAnsi="宋体"/>
                <w:color w:val="auto"/>
                <w:szCs w:val="21"/>
              </w:rPr>
              <w:t>实现自定义各类评估单的评估选项、单项评分以及总分计算方式、评估等级等；实现分科室配置。</w:t>
            </w:r>
            <w:r>
              <w:rPr>
                <w:rFonts w:hint="eastAsia" w:ascii="宋体" w:hAnsi="宋体"/>
                <w:color w:val="auto"/>
                <w:szCs w:val="21"/>
              </w:rPr>
              <w:t>需要动态评估的评估项目可支持复评提醒功能。</w:t>
            </w:r>
          </w:p>
        </w:tc>
        <w:tc>
          <w:tcPr>
            <w:tcW w:w="709" w:type="dxa"/>
            <w:vMerge w:val="continue"/>
            <w:noWrap/>
            <w:vAlign w:val="center"/>
          </w:tcPr>
          <w:p w14:paraId="6C04A276">
            <w:pPr>
              <w:jc w:val="left"/>
              <w:rPr>
                <w:rFonts w:ascii="宋体" w:hAnsi="宋体"/>
                <w:color w:val="auto"/>
                <w:szCs w:val="21"/>
              </w:rPr>
            </w:pPr>
          </w:p>
        </w:tc>
      </w:tr>
      <w:tr w14:paraId="2615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F64E22D">
            <w:pPr>
              <w:jc w:val="left"/>
              <w:rPr>
                <w:rFonts w:ascii="宋体" w:hAnsi="宋体"/>
                <w:color w:val="auto"/>
                <w:szCs w:val="21"/>
              </w:rPr>
            </w:pPr>
          </w:p>
        </w:tc>
        <w:tc>
          <w:tcPr>
            <w:tcW w:w="565" w:type="dxa"/>
            <w:gridSpan w:val="2"/>
            <w:vMerge w:val="continue"/>
            <w:noWrap/>
            <w:vAlign w:val="center"/>
          </w:tcPr>
          <w:p w14:paraId="6464DE96">
            <w:pPr>
              <w:jc w:val="center"/>
              <w:rPr>
                <w:rFonts w:ascii="宋体" w:hAnsi="宋体"/>
                <w:color w:val="auto"/>
                <w:szCs w:val="21"/>
              </w:rPr>
            </w:pPr>
          </w:p>
        </w:tc>
        <w:tc>
          <w:tcPr>
            <w:tcW w:w="697" w:type="dxa"/>
            <w:vMerge w:val="restart"/>
            <w:noWrap/>
            <w:vAlign w:val="center"/>
          </w:tcPr>
          <w:p w14:paraId="35BC09E0">
            <w:pPr>
              <w:jc w:val="center"/>
              <w:rPr>
                <w:rFonts w:ascii="宋体" w:hAnsi="宋体"/>
                <w:color w:val="auto"/>
                <w:szCs w:val="21"/>
              </w:rPr>
            </w:pPr>
            <w:r>
              <w:rPr>
                <w:rFonts w:hint="eastAsia" w:ascii="宋体" w:hAnsi="宋体"/>
                <w:color w:val="auto"/>
                <w:szCs w:val="21"/>
              </w:rPr>
              <w:t>其他文书类型</w:t>
            </w:r>
          </w:p>
        </w:tc>
        <w:tc>
          <w:tcPr>
            <w:tcW w:w="6938" w:type="dxa"/>
            <w:gridSpan w:val="2"/>
            <w:noWrap/>
            <w:vAlign w:val="center"/>
          </w:tcPr>
          <w:p w14:paraId="18E473AC">
            <w:pPr>
              <w:rPr>
                <w:rFonts w:ascii="宋体" w:hAnsi="宋体"/>
                <w:color w:val="auto"/>
                <w:szCs w:val="21"/>
              </w:rPr>
            </w:pPr>
            <w:r>
              <w:rPr>
                <w:rFonts w:hint="eastAsia" w:ascii="宋体" w:hAnsi="宋体"/>
                <w:color w:val="auto"/>
                <w:szCs w:val="21"/>
              </w:rPr>
              <w:t>实现新建、修改、浏览、打印其他类文书，表单设计结构化，通过数据引用、勾选、简单输入等方式即可快速完成录入。</w:t>
            </w:r>
          </w:p>
        </w:tc>
        <w:tc>
          <w:tcPr>
            <w:tcW w:w="709" w:type="dxa"/>
            <w:vMerge w:val="continue"/>
            <w:noWrap/>
            <w:vAlign w:val="center"/>
          </w:tcPr>
          <w:p w14:paraId="32EB5761">
            <w:pPr>
              <w:jc w:val="left"/>
              <w:rPr>
                <w:rFonts w:ascii="宋体" w:hAnsi="宋体"/>
                <w:color w:val="auto"/>
                <w:szCs w:val="21"/>
              </w:rPr>
            </w:pPr>
          </w:p>
        </w:tc>
      </w:tr>
      <w:tr w14:paraId="55D1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66DA226">
            <w:pPr>
              <w:jc w:val="left"/>
              <w:rPr>
                <w:rFonts w:ascii="宋体" w:hAnsi="宋体"/>
                <w:color w:val="auto"/>
                <w:szCs w:val="21"/>
              </w:rPr>
            </w:pPr>
          </w:p>
        </w:tc>
        <w:tc>
          <w:tcPr>
            <w:tcW w:w="565" w:type="dxa"/>
            <w:gridSpan w:val="2"/>
            <w:vMerge w:val="continue"/>
            <w:noWrap/>
            <w:vAlign w:val="center"/>
          </w:tcPr>
          <w:p w14:paraId="73333251">
            <w:pPr>
              <w:jc w:val="center"/>
              <w:rPr>
                <w:rFonts w:ascii="宋体" w:hAnsi="宋体"/>
                <w:color w:val="auto"/>
                <w:szCs w:val="21"/>
              </w:rPr>
            </w:pPr>
          </w:p>
        </w:tc>
        <w:tc>
          <w:tcPr>
            <w:tcW w:w="697" w:type="dxa"/>
            <w:vMerge w:val="continue"/>
            <w:noWrap/>
            <w:vAlign w:val="center"/>
          </w:tcPr>
          <w:p w14:paraId="56D47E06">
            <w:pPr>
              <w:jc w:val="center"/>
              <w:rPr>
                <w:rFonts w:ascii="宋体" w:hAnsi="宋体"/>
                <w:color w:val="auto"/>
                <w:szCs w:val="21"/>
              </w:rPr>
            </w:pPr>
          </w:p>
        </w:tc>
        <w:tc>
          <w:tcPr>
            <w:tcW w:w="6938" w:type="dxa"/>
            <w:gridSpan w:val="2"/>
            <w:noWrap/>
            <w:vAlign w:val="center"/>
          </w:tcPr>
          <w:p w14:paraId="2F92F549">
            <w:pPr>
              <w:rPr>
                <w:rFonts w:ascii="宋体" w:hAnsi="宋体"/>
                <w:color w:val="auto"/>
                <w:szCs w:val="21"/>
              </w:rPr>
            </w:pPr>
            <w:r>
              <w:rPr>
                <w:rFonts w:hint="eastAsia" w:ascii="宋体" w:hAnsi="宋体"/>
                <w:color w:val="auto"/>
                <w:szCs w:val="21"/>
              </w:rPr>
              <w:t xml:space="preserve"> 知情告知类文书：留陪告知书、使用约束带知情同意书、侵入性护理操作技术知情同意书等。所需知情告知书按医院实际需要创建</w:t>
            </w:r>
            <w:r>
              <w:rPr>
                <w:rFonts w:ascii="宋体" w:hAnsi="宋体"/>
                <w:color w:val="auto"/>
                <w:szCs w:val="21"/>
              </w:rPr>
              <w:t>。</w:t>
            </w:r>
            <w:r>
              <w:rPr>
                <w:rFonts w:hint="eastAsia" w:ascii="宋体" w:hAnsi="宋体"/>
                <w:color w:val="auto"/>
                <w:szCs w:val="21"/>
              </w:rPr>
              <w:t>支持护士、患者电子签名。</w:t>
            </w:r>
          </w:p>
        </w:tc>
        <w:tc>
          <w:tcPr>
            <w:tcW w:w="709" w:type="dxa"/>
            <w:vMerge w:val="continue"/>
            <w:noWrap/>
            <w:vAlign w:val="center"/>
          </w:tcPr>
          <w:p w14:paraId="29F08490">
            <w:pPr>
              <w:jc w:val="left"/>
              <w:rPr>
                <w:rFonts w:ascii="宋体" w:hAnsi="宋体"/>
                <w:color w:val="auto"/>
                <w:szCs w:val="21"/>
              </w:rPr>
            </w:pPr>
          </w:p>
        </w:tc>
      </w:tr>
      <w:tr w14:paraId="38B5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2BC2356">
            <w:pPr>
              <w:jc w:val="left"/>
              <w:rPr>
                <w:rFonts w:ascii="宋体" w:hAnsi="宋体"/>
                <w:color w:val="auto"/>
                <w:szCs w:val="21"/>
              </w:rPr>
            </w:pPr>
          </w:p>
        </w:tc>
        <w:tc>
          <w:tcPr>
            <w:tcW w:w="565" w:type="dxa"/>
            <w:gridSpan w:val="2"/>
            <w:vMerge w:val="continue"/>
            <w:noWrap/>
            <w:vAlign w:val="center"/>
          </w:tcPr>
          <w:p w14:paraId="61C82C56">
            <w:pPr>
              <w:jc w:val="center"/>
              <w:rPr>
                <w:rFonts w:ascii="宋体" w:hAnsi="宋体"/>
                <w:color w:val="auto"/>
                <w:szCs w:val="21"/>
              </w:rPr>
            </w:pPr>
          </w:p>
        </w:tc>
        <w:tc>
          <w:tcPr>
            <w:tcW w:w="697" w:type="dxa"/>
            <w:vMerge w:val="continue"/>
            <w:noWrap/>
            <w:vAlign w:val="center"/>
          </w:tcPr>
          <w:p w14:paraId="5A39A0ED">
            <w:pPr>
              <w:jc w:val="center"/>
              <w:rPr>
                <w:rFonts w:ascii="宋体" w:hAnsi="宋体"/>
                <w:color w:val="auto"/>
                <w:szCs w:val="21"/>
              </w:rPr>
            </w:pPr>
          </w:p>
        </w:tc>
        <w:tc>
          <w:tcPr>
            <w:tcW w:w="6938" w:type="dxa"/>
            <w:gridSpan w:val="2"/>
            <w:noWrap/>
            <w:vAlign w:val="center"/>
          </w:tcPr>
          <w:p w14:paraId="3E692D06">
            <w:pPr>
              <w:rPr>
                <w:rFonts w:ascii="宋体" w:hAnsi="宋体"/>
                <w:color w:val="auto"/>
                <w:szCs w:val="21"/>
              </w:rPr>
            </w:pPr>
            <w:r>
              <w:rPr>
                <w:rFonts w:hint="eastAsia" w:ascii="宋体" w:hAnsi="宋体"/>
                <w:color w:val="auto"/>
                <w:szCs w:val="21"/>
              </w:rPr>
              <w:t xml:space="preserve"> 健康宣教类文书：PICC置入术患者健康教育单、输液港置入术患者健康教育单等。</w:t>
            </w:r>
          </w:p>
        </w:tc>
        <w:tc>
          <w:tcPr>
            <w:tcW w:w="709" w:type="dxa"/>
            <w:vMerge w:val="continue"/>
            <w:noWrap/>
            <w:vAlign w:val="center"/>
          </w:tcPr>
          <w:p w14:paraId="7346AE42">
            <w:pPr>
              <w:jc w:val="left"/>
              <w:rPr>
                <w:rFonts w:ascii="宋体" w:hAnsi="宋体"/>
                <w:color w:val="auto"/>
                <w:szCs w:val="21"/>
              </w:rPr>
            </w:pPr>
          </w:p>
        </w:tc>
      </w:tr>
      <w:tr w14:paraId="20CE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96813E4">
            <w:pPr>
              <w:jc w:val="left"/>
              <w:rPr>
                <w:rFonts w:ascii="宋体" w:hAnsi="宋体"/>
                <w:color w:val="auto"/>
                <w:szCs w:val="21"/>
              </w:rPr>
            </w:pPr>
          </w:p>
        </w:tc>
        <w:tc>
          <w:tcPr>
            <w:tcW w:w="565" w:type="dxa"/>
            <w:gridSpan w:val="2"/>
            <w:vMerge w:val="continue"/>
            <w:noWrap/>
            <w:vAlign w:val="center"/>
          </w:tcPr>
          <w:p w14:paraId="366F58C0">
            <w:pPr>
              <w:jc w:val="center"/>
              <w:rPr>
                <w:rFonts w:ascii="宋体" w:hAnsi="宋体"/>
                <w:color w:val="auto"/>
                <w:szCs w:val="21"/>
              </w:rPr>
            </w:pPr>
          </w:p>
        </w:tc>
        <w:tc>
          <w:tcPr>
            <w:tcW w:w="697" w:type="dxa"/>
            <w:vMerge w:val="continue"/>
            <w:noWrap/>
            <w:vAlign w:val="center"/>
          </w:tcPr>
          <w:p w14:paraId="5B3EF29C">
            <w:pPr>
              <w:jc w:val="center"/>
              <w:rPr>
                <w:rFonts w:ascii="宋体" w:hAnsi="宋体"/>
                <w:color w:val="auto"/>
                <w:szCs w:val="21"/>
              </w:rPr>
            </w:pPr>
          </w:p>
        </w:tc>
        <w:tc>
          <w:tcPr>
            <w:tcW w:w="6938" w:type="dxa"/>
            <w:gridSpan w:val="2"/>
            <w:noWrap/>
            <w:vAlign w:val="center"/>
          </w:tcPr>
          <w:p w14:paraId="1CF1DAD8">
            <w:pPr>
              <w:rPr>
                <w:rFonts w:ascii="宋体" w:hAnsi="宋体"/>
                <w:color w:val="auto"/>
                <w:szCs w:val="21"/>
              </w:rPr>
            </w:pPr>
            <w:r>
              <w:rPr>
                <w:rFonts w:hint="eastAsia" w:ascii="宋体" w:hAnsi="宋体"/>
                <w:color w:val="auto"/>
                <w:szCs w:val="21"/>
              </w:rPr>
              <w:t>实现自定义配置其他特殊护理文书。</w:t>
            </w:r>
          </w:p>
        </w:tc>
        <w:tc>
          <w:tcPr>
            <w:tcW w:w="709" w:type="dxa"/>
            <w:vMerge w:val="continue"/>
            <w:noWrap/>
            <w:vAlign w:val="center"/>
          </w:tcPr>
          <w:p w14:paraId="406652E9">
            <w:pPr>
              <w:jc w:val="left"/>
              <w:rPr>
                <w:rFonts w:ascii="宋体" w:hAnsi="宋体"/>
                <w:color w:val="auto"/>
                <w:szCs w:val="21"/>
              </w:rPr>
            </w:pPr>
          </w:p>
        </w:tc>
      </w:tr>
      <w:tr w14:paraId="1062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4877B14">
            <w:pPr>
              <w:jc w:val="left"/>
              <w:rPr>
                <w:rFonts w:ascii="宋体" w:hAnsi="宋体"/>
                <w:color w:val="auto"/>
                <w:szCs w:val="21"/>
              </w:rPr>
            </w:pPr>
          </w:p>
        </w:tc>
        <w:tc>
          <w:tcPr>
            <w:tcW w:w="565" w:type="dxa"/>
            <w:gridSpan w:val="2"/>
            <w:vMerge w:val="continue"/>
            <w:noWrap/>
            <w:vAlign w:val="center"/>
          </w:tcPr>
          <w:p w14:paraId="19DD646E">
            <w:pPr>
              <w:jc w:val="center"/>
              <w:rPr>
                <w:rFonts w:ascii="宋体" w:hAnsi="宋体"/>
                <w:color w:val="auto"/>
                <w:szCs w:val="21"/>
              </w:rPr>
            </w:pPr>
          </w:p>
        </w:tc>
        <w:tc>
          <w:tcPr>
            <w:tcW w:w="697" w:type="dxa"/>
            <w:noWrap/>
            <w:vAlign w:val="center"/>
          </w:tcPr>
          <w:p w14:paraId="4FF7D3DF">
            <w:pPr>
              <w:jc w:val="center"/>
              <w:rPr>
                <w:rFonts w:ascii="宋体" w:hAnsi="宋体"/>
                <w:color w:val="auto"/>
                <w:szCs w:val="21"/>
              </w:rPr>
            </w:pPr>
            <w:r>
              <w:rPr>
                <w:rFonts w:hint="eastAsia" w:ascii="宋体" w:hAnsi="宋体"/>
                <w:color w:val="auto"/>
                <w:szCs w:val="21"/>
              </w:rPr>
              <w:t>必填项校验</w:t>
            </w:r>
          </w:p>
        </w:tc>
        <w:tc>
          <w:tcPr>
            <w:tcW w:w="6938" w:type="dxa"/>
            <w:gridSpan w:val="2"/>
            <w:noWrap/>
            <w:vAlign w:val="center"/>
          </w:tcPr>
          <w:p w14:paraId="2C7E7723">
            <w:pPr>
              <w:rPr>
                <w:rFonts w:ascii="宋体" w:hAnsi="宋体"/>
                <w:color w:val="auto"/>
                <w:szCs w:val="21"/>
              </w:rPr>
            </w:pPr>
            <w:r>
              <w:rPr>
                <w:rFonts w:hint="eastAsia" w:ascii="宋体" w:hAnsi="宋体"/>
                <w:color w:val="auto"/>
                <w:szCs w:val="21"/>
              </w:rPr>
              <w:t xml:space="preserve"> 可配置文书中必填项目，在保存时提醒漏填的项目。</w:t>
            </w:r>
          </w:p>
        </w:tc>
        <w:tc>
          <w:tcPr>
            <w:tcW w:w="709" w:type="dxa"/>
            <w:vMerge w:val="continue"/>
            <w:noWrap/>
            <w:vAlign w:val="center"/>
          </w:tcPr>
          <w:p w14:paraId="14903637">
            <w:pPr>
              <w:jc w:val="left"/>
              <w:rPr>
                <w:rFonts w:ascii="宋体" w:hAnsi="宋体"/>
                <w:color w:val="auto"/>
                <w:szCs w:val="21"/>
              </w:rPr>
            </w:pPr>
          </w:p>
        </w:tc>
      </w:tr>
      <w:tr w14:paraId="389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C375A84">
            <w:pPr>
              <w:jc w:val="left"/>
              <w:rPr>
                <w:rFonts w:ascii="宋体" w:hAnsi="宋体"/>
                <w:color w:val="auto"/>
                <w:szCs w:val="21"/>
              </w:rPr>
            </w:pPr>
          </w:p>
        </w:tc>
        <w:tc>
          <w:tcPr>
            <w:tcW w:w="565" w:type="dxa"/>
            <w:gridSpan w:val="2"/>
            <w:vMerge w:val="continue"/>
            <w:noWrap/>
            <w:vAlign w:val="center"/>
          </w:tcPr>
          <w:p w14:paraId="273AEE68">
            <w:pPr>
              <w:jc w:val="center"/>
              <w:rPr>
                <w:rFonts w:ascii="宋体" w:hAnsi="宋体"/>
                <w:color w:val="auto"/>
                <w:szCs w:val="21"/>
              </w:rPr>
            </w:pPr>
          </w:p>
        </w:tc>
        <w:tc>
          <w:tcPr>
            <w:tcW w:w="697" w:type="dxa"/>
            <w:noWrap/>
            <w:vAlign w:val="center"/>
          </w:tcPr>
          <w:p w14:paraId="0D2FB4D3">
            <w:pPr>
              <w:jc w:val="center"/>
              <w:rPr>
                <w:rFonts w:ascii="宋体" w:hAnsi="宋体"/>
                <w:color w:val="auto"/>
                <w:szCs w:val="21"/>
              </w:rPr>
            </w:pPr>
            <w:r>
              <w:rPr>
                <w:rFonts w:hint="eastAsia" w:ascii="宋体" w:hAnsi="宋体"/>
                <w:color w:val="auto"/>
                <w:szCs w:val="21"/>
              </w:rPr>
              <w:t>数据生成</w:t>
            </w:r>
          </w:p>
        </w:tc>
        <w:tc>
          <w:tcPr>
            <w:tcW w:w="6938" w:type="dxa"/>
            <w:gridSpan w:val="2"/>
            <w:noWrap/>
            <w:vAlign w:val="center"/>
          </w:tcPr>
          <w:p w14:paraId="1D9660FA">
            <w:pPr>
              <w:rPr>
                <w:rFonts w:ascii="宋体" w:hAnsi="宋体"/>
                <w:color w:val="auto"/>
                <w:szCs w:val="21"/>
              </w:rPr>
            </w:pPr>
            <w:r>
              <w:rPr>
                <w:rFonts w:hint="eastAsia" w:ascii="宋体" w:hAnsi="宋体"/>
                <w:color w:val="auto"/>
                <w:szCs w:val="21"/>
              </w:rPr>
              <w:t xml:space="preserve"> 编辑过程中自动生成评分（如有）、评估等级（如有）、记录时间和执行人，日期时间可修改，执行人签名处实现加载签名图片。</w:t>
            </w:r>
          </w:p>
        </w:tc>
        <w:tc>
          <w:tcPr>
            <w:tcW w:w="709" w:type="dxa"/>
            <w:vMerge w:val="continue"/>
            <w:noWrap/>
            <w:vAlign w:val="center"/>
          </w:tcPr>
          <w:p w14:paraId="06E32C2D">
            <w:pPr>
              <w:jc w:val="left"/>
              <w:rPr>
                <w:rFonts w:ascii="宋体" w:hAnsi="宋体"/>
                <w:color w:val="auto"/>
                <w:szCs w:val="21"/>
              </w:rPr>
            </w:pPr>
          </w:p>
        </w:tc>
      </w:tr>
      <w:tr w14:paraId="1402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5EAB7D28">
            <w:pPr>
              <w:jc w:val="left"/>
              <w:rPr>
                <w:rFonts w:ascii="宋体" w:hAnsi="宋体"/>
                <w:color w:val="auto"/>
                <w:szCs w:val="21"/>
              </w:rPr>
            </w:pPr>
          </w:p>
        </w:tc>
        <w:tc>
          <w:tcPr>
            <w:tcW w:w="565" w:type="dxa"/>
            <w:gridSpan w:val="2"/>
            <w:vMerge w:val="continue"/>
            <w:noWrap/>
            <w:vAlign w:val="center"/>
          </w:tcPr>
          <w:p w14:paraId="6D6B54DD">
            <w:pPr>
              <w:jc w:val="center"/>
              <w:rPr>
                <w:rFonts w:ascii="宋体" w:hAnsi="宋体"/>
                <w:color w:val="auto"/>
                <w:szCs w:val="21"/>
              </w:rPr>
            </w:pPr>
          </w:p>
        </w:tc>
        <w:tc>
          <w:tcPr>
            <w:tcW w:w="697" w:type="dxa"/>
            <w:noWrap/>
            <w:vAlign w:val="center"/>
          </w:tcPr>
          <w:p w14:paraId="001B41F9">
            <w:pPr>
              <w:jc w:val="center"/>
              <w:rPr>
                <w:rFonts w:ascii="宋体" w:hAnsi="宋体"/>
                <w:color w:val="auto"/>
                <w:szCs w:val="21"/>
              </w:rPr>
            </w:pPr>
            <w:r>
              <w:rPr>
                <w:rFonts w:hint="eastAsia" w:ascii="宋体" w:hAnsi="宋体"/>
                <w:color w:val="auto"/>
                <w:szCs w:val="21"/>
              </w:rPr>
              <w:t>临床数据引用</w:t>
            </w:r>
          </w:p>
        </w:tc>
        <w:tc>
          <w:tcPr>
            <w:tcW w:w="6938" w:type="dxa"/>
            <w:gridSpan w:val="2"/>
            <w:noWrap/>
            <w:vAlign w:val="center"/>
          </w:tcPr>
          <w:p w14:paraId="1C43288E">
            <w:pPr>
              <w:rPr>
                <w:rFonts w:ascii="宋体" w:hAnsi="宋体"/>
                <w:color w:val="auto"/>
                <w:szCs w:val="21"/>
              </w:rPr>
            </w:pPr>
            <w:r>
              <w:rPr>
                <w:rFonts w:hint="eastAsia" w:ascii="宋体" w:hAnsi="宋体"/>
                <w:color w:val="auto"/>
                <w:szCs w:val="21"/>
              </w:rPr>
              <w:t>实现引用多种数据，包括患者医嘱、体征记录、手术、检验检查报告、</w:t>
            </w:r>
            <w:r>
              <w:rPr>
                <w:rFonts w:hint="eastAsia" w:ascii="宋体" w:hAnsi="宋体"/>
                <w:color w:val="auto"/>
                <w:szCs w:val="21"/>
              </w:rPr>
              <w:t>危急值、</w:t>
            </w:r>
            <w:r>
              <w:rPr>
                <w:rFonts w:hint="eastAsia" w:ascii="宋体" w:hAnsi="宋体"/>
                <w:color w:val="auto"/>
                <w:szCs w:val="21"/>
              </w:rPr>
              <w:t>临床常用特殊字符等，</w:t>
            </w:r>
            <w:r>
              <w:rPr>
                <w:rFonts w:hint="eastAsia" w:ascii="宋体" w:hAnsi="宋体"/>
                <w:color w:val="auto"/>
                <w:szCs w:val="21"/>
              </w:rPr>
              <w:t>引用时能显示引用项目具体时间，</w:t>
            </w:r>
            <w:r>
              <w:rPr>
                <w:rFonts w:hint="eastAsia" w:ascii="宋体" w:hAnsi="宋体"/>
                <w:color w:val="auto"/>
                <w:szCs w:val="21"/>
              </w:rPr>
              <w:t>免页面跳转，实现准确、快捷录入。</w:t>
            </w:r>
          </w:p>
        </w:tc>
        <w:tc>
          <w:tcPr>
            <w:tcW w:w="709" w:type="dxa"/>
            <w:vMerge w:val="continue"/>
            <w:noWrap/>
            <w:vAlign w:val="center"/>
          </w:tcPr>
          <w:p w14:paraId="138008EA">
            <w:pPr>
              <w:jc w:val="left"/>
              <w:rPr>
                <w:rFonts w:ascii="宋体" w:hAnsi="宋体"/>
                <w:color w:val="auto"/>
                <w:szCs w:val="21"/>
              </w:rPr>
            </w:pPr>
          </w:p>
        </w:tc>
      </w:tr>
      <w:tr w14:paraId="1722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7EA95EC1">
            <w:pPr>
              <w:jc w:val="left"/>
              <w:rPr>
                <w:rFonts w:ascii="宋体" w:hAnsi="宋体"/>
                <w:color w:val="auto"/>
                <w:szCs w:val="21"/>
              </w:rPr>
            </w:pPr>
          </w:p>
        </w:tc>
        <w:tc>
          <w:tcPr>
            <w:tcW w:w="565" w:type="dxa"/>
            <w:gridSpan w:val="2"/>
            <w:vMerge w:val="continue"/>
            <w:noWrap/>
            <w:vAlign w:val="center"/>
          </w:tcPr>
          <w:p w14:paraId="1018769C">
            <w:pPr>
              <w:jc w:val="center"/>
              <w:rPr>
                <w:rFonts w:ascii="宋体" w:hAnsi="宋体"/>
                <w:color w:val="auto"/>
                <w:szCs w:val="21"/>
              </w:rPr>
            </w:pPr>
          </w:p>
        </w:tc>
        <w:tc>
          <w:tcPr>
            <w:tcW w:w="697" w:type="dxa"/>
            <w:noWrap/>
            <w:vAlign w:val="center"/>
          </w:tcPr>
          <w:p w14:paraId="5A3FA289">
            <w:pPr>
              <w:jc w:val="center"/>
              <w:rPr>
                <w:rFonts w:ascii="宋体" w:hAnsi="宋体"/>
                <w:color w:val="auto"/>
                <w:szCs w:val="21"/>
              </w:rPr>
            </w:pPr>
            <w:r>
              <w:rPr>
                <w:rFonts w:hint="eastAsia" w:ascii="宋体" w:hAnsi="宋体"/>
                <w:color w:val="auto"/>
                <w:szCs w:val="21"/>
              </w:rPr>
              <w:t>专科模板引用</w:t>
            </w:r>
          </w:p>
        </w:tc>
        <w:tc>
          <w:tcPr>
            <w:tcW w:w="6938" w:type="dxa"/>
            <w:gridSpan w:val="2"/>
            <w:noWrap/>
            <w:vAlign w:val="center"/>
          </w:tcPr>
          <w:p w14:paraId="1CDAAFC2">
            <w:pPr>
              <w:rPr>
                <w:rFonts w:ascii="宋体" w:hAnsi="宋体"/>
                <w:color w:val="auto"/>
                <w:szCs w:val="21"/>
              </w:rPr>
            </w:pPr>
            <w:r>
              <w:rPr>
                <w:rFonts w:hint="eastAsia" w:ascii="宋体" w:hAnsi="宋体"/>
                <w:color w:val="auto"/>
                <w:szCs w:val="21"/>
              </w:rPr>
              <w:t>实现引用自定义的模板用于书写必要的患者情况记录等。</w:t>
            </w:r>
          </w:p>
        </w:tc>
        <w:tc>
          <w:tcPr>
            <w:tcW w:w="709" w:type="dxa"/>
            <w:vMerge w:val="continue"/>
            <w:noWrap/>
            <w:vAlign w:val="center"/>
          </w:tcPr>
          <w:p w14:paraId="2C66B62E">
            <w:pPr>
              <w:jc w:val="left"/>
              <w:rPr>
                <w:rFonts w:ascii="宋体" w:hAnsi="宋体"/>
                <w:color w:val="auto"/>
                <w:szCs w:val="21"/>
              </w:rPr>
            </w:pPr>
          </w:p>
        </w:tc>
      </w:tr>
      <w:tr w14:paraId="2BCD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3EB47BB">
            <w:pPr>
              <w:jc w:val="left"/>
              <w:rPr>
                <w:rFonts w:ascii="宋体" w:hAnsi="宋体"/>
                <w:color w:val="auto"/>
                <w:szCs w:val="21"/>
              </w:rPr>
            </w:pPr>
          </w:p>
        </w:tc>
        <w:tc>
          <w:tcPr>
            <w:tcW w:w="565" w:type="dxa"/>
            <w:gridSpan w:val="2"/>
            <w:vMerge w:val="continue"/>
            <w:noWrap/>
            <w:vAlign w:val="center"/>
          </w:tcPr>
          <w:p w14:paraId="7D823A6B">
            <w:pPr>
              <w:jc w:val="center"/>
              <w:rPr>
                <w:rFonts w:ascii="宋体" w:hAnsi="宋体"/>
                <w:color w:val="auto"/>
                <w:szCs w:val="21"/>
              </w:rPr>
            </w:pPr>
          </w:p>
        </w:tc>
        <w:tc>
          <w:tcPr>
            <w:tcW w:w="697" w:type="dxa"/>
            <w:noWrap/>
            <w:vAlign w:val="center"/>
          </w:tcPr>
          <w:p w14:paraId="2B6BB691">
            <w:pPr>
              <w:jc w:val="center"/>
              <w:rPr>
                <w:rFonts w:ascii="宋体" w:hAnsi="宋体"/>
                <w:color w:val="auto"/>
                <w:szCs w:val="21"/>
              </w:rPr>
            </w:pPr>
            <w:r>
              <w:rPr>
                <w:rFonts w:hint="eastAsia" w:ascii="宋体" w:hAnsi="宋体"/>
                <w:color w:val="auto"/>
                <w:szCs w:val="21"/>
              </w:rPr>
              <w:t>专科模板维护</w:t>
            </w:r>
          </w:p>
        </w:tc>
        <w:tc>
          <w:tcPr>
            <w:tcW w:w="6938" w:type="dxa"/>
            <w:gridSpan w:val="2"/>
            <w:noWrap/>
            <w:vAlign w:val="center"/>
          </w:tcPr>
          <w:p w14:paraId="591143C0">
            <w:pPr>
              <w:rPr>
                <w:rFonts w:ascii="宋体" w:hAnsi="宋体"/>
                <w:color w:val="auto"/>
                <w:szCs w:val="21"/>
              </w:rPr>
            </w:pPr>
            <w:r>
              <w:rPr>
                <w:rFonts w:hint="eastAsia" w:ascii="宋体" w:hAnsi="宋体"/>
                <w:color w:val="auto"/>
                <w:szCs w:val="21"/>
              </w:rPr>
              <w:t>实现自定义常用专科护理描述语句供文书引用。</w:t>
            </w:r>
          </w:p>
        </w:tc>
        <w:tc>
          <w:tcPr>
            <w:tcW w:w="709" w:type="dxa"/>
            <w:vMerge w:val="continue"/>
            <w:noWrap/>
            <w:vAlign w:val="center"/>
          </w:tcPr>
          <w:p w14:paraId="5B7BAA18">
            <w:pPr>
              <w:jc w:val="left"/>
              <w:rPr>
                <w:rFonts w:ascii="宋体" w:hAnsi="宋体"/>
                <w:color w:val="auto"/>
                <w:szCs w:val="21"/>
              </w:rPr>
            </w:pPr>
          </w:p>
        </w:tc>
      </w:tr>
      <w:tr w14:paraId="34BB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A7D3619">
            <w:pPr>
              <w:jc w:val="left"/>
              <w:rPr>
                <w:rFonts w:ascii="宋体" w:hAnsi="宋体"/>
                <w:color w:val="auto"/>
                <w:szCs w:val="21"/>
              </w:rPr>
            </w:pPr>
          </w:p>
        </w:tc>
        <w:tc>
          <w:tcPr>
            <w:tcW w:w="565" w:type="dxa"/>
            <w:gridSpan w:val="2"/>
            <w:vMerge w:val="continue"/>
            <w:noWrap/>
            <w:vAlign w:val="center"/>
          </w:tcPr>
          <w:p w14:paraId="578BD8B5">
            <w:pPr>
              <w:jc w:val="center"/>
              <w:rPr>
                <w:rFonts w:ascii="宋体" w:hAnsi="宋体"/>
                <w:color w:val="auto"/>
                <w:szCs w:val="21"/>
              </w:rPr>
            </w:pPr>
          </w:p>
        </w:tc>
        <w:tc>
          <w:tcPr>
            <w:tcW w:w="697" w:type="dxa"/>
            <w:noWrap/>
            <w:vAlign w:val="center"/>
          </w:tcPr>
          <w:p w14:paraId="506411AF">
            <w:pPr>
              <w:jc w:val="center"/>
              <w:rPr>
                <w:rFonts w:ascii="宋体" w:hAnsi="宋体"/>
                <w:color w:val="auto"/>
                <w:szCs w:val="21"/>
              </w:rPr>
            </w:pPr>
            <w:r>
              <w:rPr>
                <w:rFonts w:hint="eastAsia" w:ascii="宋体" w:hAnsi="宋体"/>
                <w:color w:val="auto"/>
                <w:szCs w:val="21"/>
              </w:rPr>
              <w:t>文书查询</w:t>
            </w:r>
          </w:p>
        </w:tc>
        <w:tc>
          <w:tcPr>
            <w:tcW w:w="6938" w:type="dxa"/>
            <w:gridSpan w:val="2"/>
            <w:noWrap/>
            <w:vAlign w:val="center"/>
          </w:tcPr>
          <w:p w14:paraId="6760A5B2">
            <w:pPr>
              <w:rPr>
                <w:rFonts w:ascii="宋体" w:hAnsi="宋体"/>
                <w:color w:val="auto"/>
                <w:szCs w:val="21"/>
              </w:rPr>
            </w:pPr>
            <w:r>
              <w:rPr>
                <w:rFonts w:hint="eastAsia" w:ascii="宋体" w:hAnsi="宋体"/>
                <w:color w:val="auto"/>
                <w:szCs w:val="21"/>
              </w:rPr>
              <w:t xml:space="preserve"> 可根据住院号或患者姓名精准查询全院范围内任一科室任意患者的文书。</w:t>
            </w:r>
          </w:p>
        </w:tc>
        <w:tc>
          <w:tcPr>
            <w:tcW w:w="709" w:type="dxa"/>
            <w:vMerge w:val="continue"/>
            <w:noWrap/>
            <w:vAlign w:val="center"/>
          </w:tcPr>
          <w:p w14:paraId="428DCA41">
            <w:pPr>
              <w:jc w:val="left"/>
              <w:rPr>
                <w:rFonts w:ascii="宋体" w:hAnsi="宋体"/>
                <w:color w:val="auto"/>
                <w:szCs w:val="21"/>
              </w:rPr>
            </w:pPr>
          </w:p>
        </w:tc>
      </w:tr>
      <w:tr w14:paraId="5906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93906AF">
            <w:pPr>
              <w:jc w:val="left"/>
              <w:rPr>
                <w:rFonts w:ascii="宋体" w:hAnsi="宋体"/>
                <w:color w:val="auto"/>
                <w:szCs w:val="21"/>
              </w:rPr>
            </w:pPr>
          </w:p>
        </w:tc>
        <w:tc>
          <w:tcPr>
            <w:tcW w:w="565" w:type="dxa"/>
            <w:gridSpan w:val="2"/>
            <w:vMerge w:val="continue"/>
            <w:noWrap/>
            <w:vAlign w:val="center"/>
          </w:tcPr>
          <w:p w14:paraId="32542850">
            <w:pPr>
              <w:jc w:val="center"/>
              <w:rPr>
                <w:rFonts w:ascii="宋体" w:hAnsi="宋体"/>
                <w:color w:val="auto"/>
                <w:szCs w:val="21"/>
              </w:rPr>
            </w:pPr>
          </w:p>
        </w:tc>
        <w:tc>
          <w:tcPr>
            <w:tcW w:w="697" w:type="dxa"/>
            <w:noWrap/>
            <w:vAlign w:val="center"/>
          </w:tcPr>
          <w:p w14:paraId="5CA8C58D">
            <w:pPr>
              <w:jc w:val="center"/>
              <w:rPr>
                <w:rFonts w:ascii="宋体" w:hAnsi="宋体"/>
                <w:color w:val="auto"/>
                <w:szCs w:val="21"/>
              </w:rPr>
            </w:pPr>
            <w:r>
              <w:rPr>
                <w:rFonts w:hint="eastAsia" w:ascii="宋体" w:hAnsi="宋体"/>
                <w:color w:val="auto"/>
                <w:szCs w:val="21"/>
              </w:rPr>
              <w:t>文书集成</w:t>
            </w:r>
          </w:p>
        </w:tc>
        <w:tc>
          <w:tcPr>
            <w:tcW w:w="6938" w:type="dxa"/>
            <w:gridSpan w:val="2"/>
            <w:noWrap/>
            <w:vAlign w:val="center"/>
          </w:tcPr>
          <w:p w14:paraId="1F93362F">
            <w:pPr>
              <w:rPr>
                <w:rFonts w:ascii="宋体" w:hAnsi="宋体"/>
                <w:color w:val="auto"/>
                <w:szCs w:val="21"/>
              </w:rPr>
            </w:pPr>
            <w:r>
              <w:rPr>
                <w:rFonts w:hint="eastAsia" w:ascii="宋体" w:hAnsi="宋体"/>
                <w:color w:val="auto"/>
                <w:szCs w:val="21"/>
              </w:rPr>
              <w:t>实现将护理文书共享给第三方信息系统调阅。</w:t>
            </w:r>
          </w:p>
        </w:tc>
        <w:tc>
          <w:tcPr>
            <w:tcW w:w="709" w:type="dxa"/>
            <w:vMerge w:val="continue"/>
            <w:noWrap/>
            <w:vAlign w:val="center"/>
          </w:tcPr>
          <w:p w14:paraId="41AEBB19">
            <w:pPr>
              <w:jc w:val="left"/>
              <w:rPr>
                <w:rFonts w:ascii="宋体" w:hAnsi="宋体"/>
                <w:color w:val="auto"/>
                <w:szCs w:val="21"/>
              </w:rPr>
            </w:pPr>
          </w:p>
        </w:tc>
      </w:tr>
      <w:tr w14:paraId="2FFC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E605E74">
            <w:pPr>
              <w:jc w:val="left"/>
              <w:rPr>
                <w:rFonts w:ascii="宋体" w:hAnsi="宋体"/>
                <w:color w:val="auto"/>
                <w:szCs w:val="21"/>
              </w:rPr>
            </w:pPr>
          </w:p>
        </w:tc>
        <w:tc>
          <w:tcPr>
            <w:tcW w:w="565" w:type="dxa"/>
            <w:gridSpan w:val="2"/>
            <w:vMerge w:val="restart"/>
            <w:noWrap/>
            <w:vAlign w:val="center"/>
          </w:tcPr>
          <w:p w14:paraId="0000A9D6">
            <w:pPr>
              <w:jc w:val="center"/>
              <w:rPr>
                <w:rFonts w:ascii="宋体" w:hAnsi="宋体"/>
                <w:color w:val="auto"/>
                <w:szCs w:val="21"/>
              </w:rPr>
            </w:pPr>
            <w:r>
              <w:rPr>
                <w:rFonts w:hint="eastAsia" w:ascii="宋体" w:hAnsi="宋体"/>
                <w:color w:val="auto"/>
                <w:szCs w:val="21"/>
              </w:rPr>
              <w:t>护理计划管理</w:t>
            </w:r>
          </w:p>
        </w:tc>
        <w:tc>
          <w:tcPr>
            <w:tcW w:w="697" w:type="dxa"/>
            <w:vMerge w:val="restart"/>
            <w:noWrap/>
            <w:vAlign w:val="center"/>
          </w:tcPr>
          <w:p w14:paraId="2F8891E5">
            <w:pPr>
              <w:jc w:val="center"/>
              <w:rPr>
                <w:rFonts w:ascii="宋体" w:hAnsi="宋体"/>
                <w:color w:val="auto"/>
                <w:szCs w:val="21"/>
              </w:rPr>
            </w:pPr>
            <w:r>
              <w:rPr>
                <w:rFonts w:hint="eastAsia" w:ascii="宋体" w:hAnsi="宋体"/>
                <w:color w:val="auto"/>
                <w:szCs w:val="21"/>
              </w:rPr>
              <w:t>知识库维护</w:t>
            </w:r>
          </w:p>
        </w:tc>
        <w:tc>
          <w:tcPr>
            <w:tcW w:w="6938" w:type="dxa"/>
            <w:gridSpan w:val="2"/>
            <w:noWrap/>
            <w:vAlign w:val="center"/>
          </w:tcPr>
          <w:p w14:paraId="653BDA99">
            <w:pPr>
              <w:rPr>
                <w:rFonts w:ascii="宋体" w:hAnsi="宋体"/>
                <w:color w:val="auto"/>
                <w:szCs w:val="21"/>
              </w:rPr>
            </w:pPr>
            <w:r>
              <w:rPr>
                <w:rFonts w:hint="eastAsia" w:ascii="宋体" w:hAnsi="宋体"/>
                <w:color w:val="auto"/>
                <w:szCs w:val="21"/>
              </w:rPr>
              <w:t xml:space="preserve"> 每条知识包含护理问题名称、描述、预期目标、护理措施等内容。</w:t>
            </w:r>
          </w:p>
        </w:tc>
        <w:tc>
          <w:tcPr>
            <w:tcW w:w="709" w:type="dxa"/>
            <w:vMerge w:val="continue"/>
            <w:noWrap/>
            <w:vAlign w:val="center"/>
          </w:tcPr>
          <w:p w14:paraId="7B046B98">
            <w:pPr>
              <w:jc w:val="left"/>
              <w:rPr>
                <w:rFonts w:ascii="宋体" w:hAnsi="宋体"/>
                <w:color w:val="auto"/>
                <w:szCs w:val="21"/>
              </w:rPr>
            </w:pPr>
          </w:p>
        </w:tc>
      </w:tr>
      <w:tr w14:paraId="554DC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C9ECDE1">
            <w:pPr>
              <w:jc w:val="left"/>
              <w:rPr>
                <w:rFonts w:ascii="宋体" w:hAnsi="宋体"/>
                <w:color w:val="auto"/>
                <w:szCs w:val="21"/>
              </w:rPr>
            </w:pPr>
          </w:p>
        </w:tc>
        <w:tc>
          <w:tcPr>
            <w:tcW w:w="565" w:type="dxa"/>
            <w:gridSpan w:val="2"/>
            <w:vMerge w:val="continue"/>
            <w:noWrap/>
            <w:vAlign w:val="center"/>
          </w:tcPr>
          <w:p w14:paraId="05D9F215">
            <w:pPr>
              <w:jc w:val="center"/>
              <w:rPr>
                <w:rFonts w:ascii="宋体" w:hAnsi="宋体"/>
                <w:color w:val="auto"/>
                <w:szCs w:val="21"/>
              </w:rPr>
            </w:pPr>
          </w:p>
        </w:tc>
        <w:tc>
          <w:tcPr>
            <w:tcW w:w="697" w:type="dxa"/>
            <w:vMerge w:val="continue"/>
            <w:noWrap/>
            <w:vAlign w:val="center"/>
          </w:tcPr>
          <w:p w14:paraId="51238836">
            <w:pPr>
              <w:jc w:val="center"/>
              <w:rPr>
                <w:rFonts w:ascii="宋体" w:hAnsi="宋体"/>
                <w:color w:val="auto"/>
                <w:szCs w:val="21"/>
              </w:rPr>
            </w:pPr>
          </w:p>
        </w:tc>
        <w:tc>
          <w:tcPr>
            <w:tcW w:w="6938" w:type="dxa"/>
            <w:gridSpan w:val="2"/>
            <w:noWrap/>
            <w:vAlign w:val="center"/>
          </w:tcPr>
          <w:p w14:paraId="7B7A13D8">
            <w:pPr>
              <w:rPr>
                <w:rFonts w:ascii="宋体" w:hAnsi="宋体"/>
                <w:color w:val="auto"/>
                <w:szCs w:val="21"/>
              </w:rPr>
            </w:pPr>
            <w:r>
              <w:rPr>
                <w:rFonts w:hint="eastAsia" w:ascii="宋体" w:hAnsi="宋体"/>
                <w:color w:val="auto"/>
                <w:szCs w:val="21"/>
              </w:rPr>
              <w:t xml:space="preserve"> 系统自带常用护理计划知识库。</w:t>
            </w:r>
          </w:p>
        </w:tc>
        <w:tc>
          <w:tcPr>
            <w:tcW w:w="709" w:type="dxa"/>
            <w:vMerge w:val="continue"/>
            <w:noWrap/>
            <w:vAlign w:val="center"/>
          </w:tcPr>
          <w:p w14:paraId="72D774F8">
            <w:pPr>
              <w:jc w:val="left"/>
              <w:rPr>
                <w:rFonts w:ascii="宋体" w:hAnsi="宋体"/>
                <w:color w:val="auto"/>
                <w:szCs w:val="21"/>
              </w:rPr>
            </w:pPr>
          </w:p>
        </w:tc>
      </w:tr>
      <w:tr w14:paraId="0013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1485F1A">
            <w:pPr>
              <w:jc w:val="left"/>
              <w:rPr>
                <w:rFonts w:ascii="宋体" w:hAnsi="宋体"/>
                <w:color w:val="auto"/>
                <w:szCs w:val="21"/>
              </w:rPr>
            </w:pPr>
          </w:p>
        </w:tc>
        <w:tc>
          <w:tcPr>
            <w:tcW w:w="565" w:type="dxa"/>
            <w:gridSpan w:val="2"/>
            <w:vMerge w:val="continue"/>
            <w:noWrap/>
            <w:vAlign w:val="center"/>
          </w:tcPr>
          <w:p w14:paraId="1DDFF3B2">
            <w:pPr>
              <w:jc w:val="center"/>
              <w:rPr>
                <w:rFonts w:ascii="宋体" w:hAnsi="宋体"/>
                <w:color w:val="auto"/>
                <w:szCs w:val="21"/>
              </w:rPr>
            </w:pPr>
          </w:p>
        </w:tc>
        <w:tc>
          <w:tcPr>
            <w:tcW w:w="697" w:type="dxa"/>
            <w:vMerge w:val="continue"/>
            <w:noWrap/>
            <w:vAlign w:val="center"/>
          </w:tcPr>
          <w:p w14:paraId="750DBB83">
            <w:pPr>
              <w:jc w:val="center"/>
              <w:rPr>
                <w:rFonts w:ascii="宋体" w:hAnsi="宋体"/>
                <w:color w:val="auto"/>
                <w:szCs w:val="21"/>
              </w:rPr>
            </w:pPr>
          </w:p>
        </w:tc>
        <w:tc>
          <w:tcPr>
            <w:tcW w:w="6938" w:type="dxa"/>
            <w:gridSpan w:val="2"/>
            <w:noWrap/>
            <w:vAlign w:val="center"/>
          </w:tcPr>
          <w:p w14:paraId="35B6A22D">
            <w:pPr>
              <w:rPr>
                <w:rFonts w:ascii="宋体" w:hAnsi="宋体"/>
                <w:color w:val="auto"/>
                <w:szCs w:val="21"/>
              </w:rPr>
            </w:pPr>
            <w:r>
              <w:rPr>
                <w:rFonts w:hint="eastAsia" w:ascii="宋体" w:hAnsi="宋体"/>
                <w:color w:val="auto"/>
                <w:szCs w:val="21"/>
              </w:rPr>
              <w:t>实现新建、修改、删除通用型或专科型知识条目。</w:t>
            </w:r>
          </w:p>
        </w:tc>
        <w:tc>
          <w:tcPr>
            <w:tcW w:w="709" w:type="dxa"/>
            <w:vMerge w:val="continue"/>
            <w:noWrap/>
            <w:vAlign w:val="center"/>
          </w:tcPr>
          <w:p w14:paraId="76E8DB02">
            <w:pPr>
              <w:jc w:val="left"/>
              <w:rPr>
                <w:rFonts w:ascii="宋体" w:hAnsi="宋体"/>
                <w:color w:val="auto"/>
                <w:szCs w:val="21"/>
              </w:rPr>
            </w:pPr>
          </w:p>
        </w:tc>
      </w:tr>
      <w:tr w14:paraId="3A07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6D0226A">
            <w:pPr>
              <w:jc w:val="left"/>
              <w:rPr>
                <w:rFonts w:ascii="宋体" w:hAnsi="宋体"/>
                <w:color w:val="auto"/>
                <w:szCs w:val="21"/>
              </w:rPr>
            </w:pPr>
          </w:p>
        </w:tc>
        <w:tc>
          <w:tcPr>
            <w:tcW w:w="565" w:type="dxa"/>
            <w:gridSpan w:val="2"/>
            <w:vMerge w:val="continue"/>
            <w:noWrap/>
            <w:vAlign w:val="center"/>
          </w:tcPr>
          <w:p w14:paraId="1B1F84F8">
            <w:pPr>
              <w:jc w:val="center"/>
              <w:rPr>
                <w:rFonts w:ascii="宋体" w:hAnsi="宋体"/>
                <w:color w:val="auto"/>
                <w:szCs w:val="21"/>
              </w:rPr>
            </w:pPr>
          </w:p>
        </w:tc>
        <w:tc>
          <w:tcPr>
            <w:tcW w:w="697" w:type="dxa"/>
            <w:vMerge w:val="continue"/>
            <w:noWrap/>
            <w:vAlign w:val="center"/>
          </w:tcPr>
          <w:p w14:paraId="59953F9A">
            <w:pPr>
              <w:jc w:val="center"/>
              <w:rPr>
                <w:rFonts w:ascii="宋体" w:hAnsi="宋体"/>
                <w:color w:val="auto"/>
                <w:szCs w:val="21"/>
              </w:rPr>
            </w:pPr>
          </w:p>
        </w:tc>
        <w:tc>
          <w:tcPr>
            <w:tcW w:w="6938" w:type="dxa"/>
            <w:gridSpan w:val="2"/>
            <w:noWrap/>
            <w:vAlign w:val="center"/>
          </w:tcPr>
          <w:p w14:paraId="5BBA3414">
            <w:pPr>
              <w:rPr>
                <w:rFonts w:ascii="宋体" w:hAnsi="宋体"/>
                <w:color w:val="auto"/>
                <w:szCs w:val="21"/>
              </w:rPr>
            </w:pPr>
            <w:r>
              <w:rPr>
                <w:rFonts w:hint="eastAsia" w:ascii="宋体" w:hAnsi="宋体"/>
                <w:color w:val="auto"/>
                <w:szCs w:val="21"/>
              </w:rPr>
              <w:t>实现快速搜索、定位知识条目。</w:t>
            </w:r>
          </w:p>
        </w:tc>
        <w:tc>
          <w:tcPr>
            <w:tcW w:w="709" w:type="dxa"/>
            <w:vMerge w:val="continue"/>
            <w:noWrap/>
            <w:vAlign w:val="center"/>
          </w:tcPr>
          <w:p w14:paraId="2E6BFFF3">
            <w:pPr>
              <w:jc w:val="left"/>
              <w:rPr>
                <w:rFonts w:ascii="宋体" w:hAnsi="宋体"/>
                <w:color w:val="auto"/>
                <w:szCs w:val="21"/>
              </w:rPr>
            </w:pPr>
          </w:p>
        </w:tc>
      </w:tr>
      <w:tr w14:paraId="2843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873F79F">
            <w:pPr>
              <w:jc w:val="left"/>
              <w:rPr>
                <w:rFonts w:ascii="宋体" w:hAnsi="宋体"/>
                <w:color w:val="auto"/>
                <w:szCs w:val="21"/>
              </w:rPr>
            </w:pPr>
          </w:p>
        </w:tc>
        <w:tc>
          <w:tcPr>
            <w:tcW w:w="565" w:type="dxa"/>
            <w:gridSpan w:val="2"/>
            <w:vMerge w:val="continue"/>
            <w:noWrap/>
            <w:vAlign w:val="center"/>
          </w:tcPr>
          <w:p w14:paraId="6D105C8A">
            <w:pPr>
              <w:jc w:val="center"/>
              <w:rPr>
                <w:rFonts w:ascii="宋体" w:hAnsi="宋体"/>
                <w:color w:val="auto"/>
                <w:szCs w:val="21"/>
              </w:rPr>
            </w:pPr>
          </w:p>
        </w:tc>
        <w:tc>
          <w:tcPr>
            <w:tcW w:w="697" w:type="dxa"/>
            <w:vMerge w:val="restart"/>
            <w:noWrap/>
            <w:vAlign w:val="center"/>
          </w:tcPr>
          <w:p w14:paraId="098B4428">
            <w:pPr>
              <w:jc w:val="center"/>
              <w:rPr>
                <w:rFonts w:ascii="宋体" w:hAnsi="宋体"/>
                <w:color w:val="auto"/>
                <w:szCs w:val="21"/>
              </w:rPr>
            </w:pPr>
            <w:r>
              <w:rPr>
                <w:rFonts w:hint="eastAsia" w:ascii="宋体" w:hAnsi="宋体"/>
                <w:color w:val="auto"/>
                <w:szCs w:val="21"/>
              </w:rPr>
              <w:t>制定护理计划</w:t>
            </w:r>
          </w:p>
        </w:tc>
        <w:tc>
          <w:tcPr>
            <w:tcW w:w="6938" w:type="dxa"/>
            <w:gridSpan w:val="2"/>
            <w:noWrap/>
            <w:vAlign w:val="center"/>
          </w:tcPr>
          <w:p w14:paraId="6BD2B251">
            <w:pPr>
              <w:rPr>
                <w:rFonts w:ascii="宋体" w:hAnsi="宋体"/>
                <w:color w:val="auto"/>
                <w:szCs w:val="21"/>
              </w:rPr>
            </w:pPr>
            <w:r>
              <w:rPr>
                <w:rFonts w:hint="eastAsia" w:ascii="宋体" w:hAnsi="宋体"/>
                <w:color w:val="auto"/>
                <w:szCs w:val="21"/>
              </w:rPr>
              <w:t>实现引用知识库内容为本病区患者新建护理计划。</w:t>
            </w:r>
            <w:r>
              <w:rPr>
                <w:rFonts w:hint="eastAsia" w:ascii="宋体" w:hAnsi="宋体"/>
                <w:color w:val="auto"/>
                <w:szCs w:val="21"/>
              </w:rPr>
              <w:t>根据各类护理评估结果、风险等级引用护理措施。</w:t>
            </w:r>
          </w:p>
        </w:tc>
        <w:tc>
          <w:tcPr>
            <w:tcW w:w="709" w:type="dxa"/>
            <w:vMerge w:val="continue"/>
            <w:noWrap/>
            <w:vAlign w:val="center"/>
          </w:tcPr>
          <w:p w14:paraId="023D0CE8">
            <w:pPr>
              <w:jc w:val="left"/>
              <w:rPr>
                <w:rFonts w:ascii="宋体" w:hAnsi="宋体"/>
                <w:color w:val="auto"/>
                <w:szCs w:val="21"/>
              </w:rPr>
            </w:pPr>
          </w:p>
        </w:tc>
      </w:tr>
      <w:tr w14:paraId="30B5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725B4583">
            <w:pPr>
              <w:jc w:val="left"/>
              <w:rPr>
                <w:rFonts w:ascii="宋体" w:hAnsi="宋体"/>
                <w:color w:val="auto"/>
                <w:szCs w:val="21"/>
              </w:rPr>
            </w:pPr>
          </w:p>
        </w:tc>
        <w:tc>
          <w:tcPr>
            <w:tcW w:w="565" w:type="dxa"/>
            <w:gridSpan w:val="2"/>
            <w:vMerge w:val="continue"/>
            <w:noWrap/>
            <w:vAlign w:val="center"/>
          </w:tcPr>
          <w:p w14:paraId="260EDDE7">
            <w:pPr>
              <w:jc w:val="center"/>
              <w:rPr>
                <w:rFonts w:ascii="宋体" w:hAnsi="宋体"/>
                <w:color w:val="auto"/>
                <w:szCs w:val="21"/>
              </w:rPr>
            </w:pPr>
          </w:p>
        </w:tc>
        <w:tc>
          <w:tcPr>
            <w:tcW w:w="697" w:type="dxa"/>
            <w:vMerge w:val="continue"/>
            <w:noWrap/>
            <w:vAlign w:val="center"/>
          </w:tcPr>
          <w:p w14:paraId="06474A60">
            <w:pPr>
              <w:jc w:val="center"/>
              <w:rPr>
                <w:rFonts w:ascii="宋体" w:hAnsi="宋体"/>
                <w:color w:val="auto"/>
                <w:szCs w:val="21"/>
              </w:rPr>
            </w:pPr>
          </w:p>
        </w:tc>
        <w:tc>
          <w:tcPr>
            <w:tcW w:w="6938" w:type="dxa"/>
            <w:gridSpan w:val="2"/>
            <w:noWrap/>
            <w:vAlign w:val="center"/>
          </w:tcPr>
          <w:p w14:paraId="245AACF4">
            <w:pPr>
              <w:rPr>
                <w:rFonts w:ascii="宋体" w:hAnsi="宋体"/>
                <w:color w:val="auto"/>
                <w:szCs w:val="21"/>
              </w:rPr>
            </w:pPr>
            <w:r>
              <w:rPr>
                <w:rFonts w:hint="eastAsia" w:ascii="宋体" w:hAnsi="宋体"/>
                <w:color w:val="auto"/>
                <w:szCs w:val="21"/>
              </w:rPr>
              <w:t>实现针对患者情况修改引用的内容或做必要的补充，形成个性化护理计划。</w:t>
            </w:r>
          </w:p>
        </w:tc>
        <w:tc>
          <w:tcPr>
            <w:tcW w:w="709" w:type="dxa"/>
            <w:vMerge w:val="continue"/>
            <w:noWrap/>
            <w:vAlign w:val="center"/>
          </w:tcPr>
          <w:p w14:paraId="3E2FFD65">
            <w:pPr>
              <w:jc w:val="left"/>
              <w:rPr>
                <w:rFonts w:ascii="宋体" w:hAnsi="宋体"/>
                <w:color w:val="auto"/>
                <w:szCs w:val="21"/>
              </w:rPr>
            </w:pPr>
          </w:p>
        </w:tc>
      </w:tr>
      <w:tr w14:paraId="741F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42AC5D5">
            <w:pPr>
              <w:jc w:val="left"/>
              <w:rPr>
                <w:rFonts w:ascii="宋体" w:hAnsi="宋体"/>
                <w:color w:val="auto"/>
                <w:szCs w:val="21"/>
              </w:rPr>
            </w:pPr>
          </w:p>
        </w:tc>
        <w:tc>
          <w:tcPr>
            <w:tcW w:w="565" w:type="dxa"/>
            <w:gridSpan w:val="2"/>
            <w:vMerge w:val="continue"/>
            <w:noWrap/>
            <w:vAlign w:val="center"/>
          </w:tcPr>
          <w:p w14:paraId="37B1D20E">
            <w:pPr>
              <w:jc w:val="center"/>
              <w:rPr>
                <w:rFonts w:ascii="宋体" w:hAnsi="宋体"/>
                <w:color w:val="auto"/>
                <w:szCs w:val="21"/>
              </w:rPr>
            </w:pPr>
          </w:p>
        </w:tc>
        <w:tc>
          <w:tcPr>
            <w:tcW w:w="697" w:type="dxa"/>
            <w:vMerge w:val="continue"/>
            <w:noWrap/>
            <w:vAlign w:val="center"/>
          </w:tcPr>
          <w:p w14:paraId="72921C57">
            <w:pPr>
              <w:jc w:val="center"/>
              <w:rPr>
                <w:rFonts w:ascii="宋体" w:hAnsi="宋体"/>
                <w:color w:val="auto"/>
                <w:szCs w:val="21"/>
              </w:rPr>
            </w:pPr>
          </w:p>
        </w:tc>
        <w:tc>
          <w:tcPr>
            <w:tcW w:w="6938" w:type="dxa"/>
            <w:gridSpan w:val="2"/>
            <w:noWrap/>
            <w:vAlign w:val="center"/>
          </w:tcPr>
          <w:p w14:paraId="02E13FF2">
            <w:pPr>
              <w:rPr>
                <w:rFonts w:ascii="宋体" w:hAnsi="宋体"/>
                <w:color w:val="auto"/>
                <w:szCs w:val="21"/>
              </w:rPr>
            </w:pPr>
            <w:r>
              <w:rPr>
                <w:rFonts w:hint="eastAsia" w:ascii="宋体" w:hAnsi="宋体"/>
                <w:color w:val="auto"/>
                <w:szCs w:val="21"/>
              </w:rPr>
              <w:t xml:space="preserve"> 显示当前患者护理计划列表，包括名称、创建时间、创建者、当前状态、完成或中止时间、完成或中止操作者。</w:t>
            </w:r>
          </w:p>
        </w:tc>
        <w:tc>
          <w:tcPr>
            <w:tcW w:w="709" w:type="dxa"/>
            <w:vMerge w:val="continue"/>
            <w:noWrap/>
            <w:vAlign w:val="center"/>
          </w:tcPr>
          <w:p w14:paraId="2439899F">
            <w:pPr>
              <w:jc w:val="left"/>
              <w:rPr>
                <w:rFonts w:ascii="宋体" w:hAnsi="宋体"/>
                <w:color w:val="auto"/>
                <w:szCs w:val="21"/>
              </w:rPr>
            </w:pPr>
          </w:p>
        </w:tc>
      </w:tr>
      <w:tr w14:paraId="2E205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8807CFE">
            <w:pPr>
              <w:jc w:val="left"/>
              <w:rPr>
                <w:rFonts w:ascii="宋体" w:hAnsi="宋体"/>
                <w:color w:val="auto"/>
                <w:szCs w:val="21"/>
              </w:rPr>
            </w:pPr>
          </w:p>
        </w:tc>
        <w:tc>
          <w:tcPr>
            <w:tcW w:w="565" w:type="dxa"/>
            <w:gridSpan w:val="2"/>
            <w:vMerge w:val="continue"/>
            <w:noWrap/>
            <w:vAlign w:val="center"/>
          </w:tcPr>
          <w:p w14:paraId="64578C15">
            <w:pPr>
              <w:jc w:val="center"/>
              <w:rPr>
                <w:rFonts w:ascii="宋体" w:hAnsi="宋体"/>
                <w:color w:val="auto"/>
                <w:szCs w:val="21"/>
              </w:rPr>
            </w:pPr>
          </w:p>
        </w:tc>
        <w:tc>
          <w:tcPr>
            <w:tcW w:w="697" w:type="dxa"/>
            <w:vMerge w:val="continue"/>
            <w:noWrap/>
            <w:vAlign w:val="center"/>
          </w:tcPr>
          <w:p w14:paraId="0B0D56BF">
            <w:pPr>
              <w:jc w:val="center"/>
              <w:rPr>
                <w:rFonts w:ascii="宋体" w:hAnsi="宋体"/>
                <w:color w:val="auto"/>
                <w:szCs w:val="21"/>
              </w:rPr>
            </w:pPr>
          </w:p>
        </w:tc>
        <w:tc>
          <w:tcPr>
            <w:tcW w:w="6938" w:type="dxa"/>
            <w:gridSpan w:val="2"/>
            <w:noWrap/>
            <w:vAlign w:val="center"/>
          </w:tcPr>
          <w:p w14:paraId="4A4A8D74">
            <w:pPr>
              <w:rPr>
                <w:rFonts w:ascii="宋体" w:hAnsi="宋体"/>
                <w:color w:val="auto"/>
                <w:szCs w:val="21"/>
              </w:rPr>
            </w:pPr>
            <w:r>
              <w:rPr>
                <w:rFonts w:hint="eastAsia" w:ascii="宋体" w:hAnsi="宋体"/>
                <w:color w:val="auto"/>
                <w:szCs w:val="21"/>
              </w:rPr>
              <w:t>实现修改护理计划创建时间和状态变更时间。</w:t>
            </w:r>
          </w:p>
        </w:tc>
        <w:tc>
          <w:tcPr>
            <w:tcW w:w="709" w:type="dxa"/>
            <w:vMerge w:val="continue"/>
            <w:noWrap/>
            <w:vAlign w:val="center"/>
          </w:tcPr>
          <w:p w14:paraId="56E7833A">
            <w:pPr>
              <w:jc w:val="left"/>
              <w:rPr>
                <w:rFonts w:ascii="宋体" w:hAnsi="宋体"/>
                <w:color w:val="auto"/>
                <w:szCs w:val="21"/>
              </w:rPr>
            </w:pPr>
          </w:p>
        </w:tc>
      </w:tr>
      <w:tr w14:paraId="1763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0C73088">
            <w:pPr>
              <w:jc w:val="left"/>
              <w:rPr>
                <w:rFonts w:ascii="宋体" w:hAnsi="宋体"/>
                <w:color w:val="auto"/>
                <w:szCs w:val="21"/>
              </w:rPr>
            </w:pPr>
          </w:p>
        </w:tc>
        <w:tc>
          <w:tcPr>
            <w:tcW w:w="565" w:type="dxa"/>
            <w:gridSpan w:val="2"/>
            <w:vMerge w:val="continue"/>
            <w:noWrap/>
            <w:vAlign w:val="center"/>
          </w:tcPr>
          <w:p w14:paraId="14F4ED2D">
            <w:pPr>
              <w:jc w:val="center"/>
              <w:rPr>
                <w:rFonts w:ascii="宋体" w:hAnsi="宋体"/>
                <w:color w:val="auto"/>
                <w:szCs w:val="21"/>
              </w:rPr>
            </w:pPr>
          </w:p>
        </w:tc>
        <w:tc>
          <w:tcPr>
            <w:tcW w:w="697" w:type="dxa"/>
            <w:vMerge w:val="continue"/>
            <w:noWrap/>
            <w:vAlign w:val="center"/>
          </w:tcPr>
          <w:p w14:paraId="0B31EA2D">
            <w:pPr>
              <w:jc w:val="center"/>
              <w:rPr>
                <w:rFonts w:ascii="宋体" w:hAnsi="宋体"/>
                <w:color w:val="auto"/>
                <w:szCs w:val="21"/>
              </w:rPr>
            </w:pPr>
          </w:p>
        </w:tc>
        <w:tc>
          <w:tcPr>
            <w:tcW w:w="6938" w:type="dxa"/>
            <w:gridSpan w:val="2"/>
            <w:noWrap/>
            <w:vAlign w:val="center"/>
          </w:tcPr>
          <w:p w14:paraId="4CEAF063">
            <w:pPr>
              <w:rPr>
                <w:rFonts w:ascii="宋体" w:hAnsi="宋体"/>
                <w:color w:val="auto"/>
                <w:szCs w:val="21"/>
              </w:rPr>
            </w:pPr>
            <w:r>
              <w:rPr>
                <w:rFonts w:hint="eastAsia" w:ascii="宋体" w:hAnsi="宋体"/>
                <w:color w:val="auto"/>
                <w:szCs w:val="21"/>
              </w:rPr>
              <w:t>实现修改护理计划状态为进行中、完成、中止。</w:t>
            </w:r>
          </w:p>
        </w:tc>
        <w:tc>
          <w:tcPr>
            <w:tcW w:w="709" w:type="dxa"/>
            <w:vMerge w:val="continue"/>
            <w:noWrap/>
            <w:vAlign w:val="center"/>
          </w:tcPr>
          <w:p w14:paraId="47891CEA">
            <w:pPr>
              <w:jc w:val="left"/>
              <w:rPr>
                <w:rFonts w:ascii="宋体" w:hAnsi="宋体"/>
                <w:color w:val="auto"/>
                <w:szCs w:val="21"/>
              </w:rPr>
            </w:pPr>
          </w:p>
        </w:tc>
      </w:tr>
      <w:tr w14:paraId="7225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CB580EF">
            <w:pPr>
              <w:jc w:val="left"/>
              <w:rPr>
                <w:rFonts w:ascii="宋体" w:hAnsi="宋体"/>
                <w:color w:val="auto"/>
                <w:szCs w:val="21"/>
              </w:rPr>
            </w:pPr>
          </w:p>
        </w:tc>
        <w:tc>
          <w:tcPr>
            <w:tcW w:w="565" w:type="dxa"/>
            <w:gridSpan w:val="2"/>
            <w:vMerge w:val="continue"/>
            <w:noWrap/>
            <w:vAlign w:val="center"/>
          </w:tcPr>
          <w:p w14:paraId="0B741CC0">
            <w:pPr>
              <w:jc w:val="center"/>
              <w:rPr>
                <w:rFonts w:ascii="宋体" w:hAnsi="宋体"/>
                <w:color w:val="auto"/>
                <w:szCs w:val="21"/>
              </w:rPr>
            </w:pPr>
          </w:p>
        </w:tc>
        <w:tc>
          <w:tcPr>
            <w:tcW w:w="697" w:type="dxa"/>
            <w:vMerge w:val="continue"/>
            <w:noWrap/>
            <w:vAlign w:val="center"/>
          </w:tcPr>
          <w:p w14:paraId="4A06904B">
            <w:pPr>
              <w:jc w:val="center"/>
              <w:rPr>
                <w:rFonts w:ascii="宋体" w:hAnsi="宋体"/>
                <w:color w:val="auto"/>
                <w:szCs w:val="21"/>
              </w:rPr>
            </w:pPr>
          </w:p>
        </w:tc>
        <w:tc>
          <w:tcPr>
            <w:tcW w:w="6938" w:type="dxa"/>
            <w:gridSpan w:val="2"/>
            <w:noWrap/>
            <w:vAlign w:val="center"/>
          </w:tcPr>
          <w:p w14:paraId="74DE3E2B">
            <w:pPr>
              <w:rPr>
                <w:rFonts w:ascii="宋体" w:hAnsi="宋体"/>
                <w:color w:val="auto"/>
                <w:szCs w:val="21"/>
              </w:rPr>
            </w:pPr>
            <w:r>
              <w:rPr>
                <w:rFonts w:hint="eastAsia" w:ascii="宋体" w:hAnsi="宋体"/>
                <w:color w:val="auto"/>
                <w:szCs w:val="21"/>
              </w:rPr>
              <w:t>实现</w:t>
            </w:r>
            <w:r>
              <w:rPr>
                <w:rFonts w:hint="eastAsia" w:ascii="宋体" w:hAnsi="宋体"/>
                <w:color w:val="auto"/>
                <w:szCs w:val="21"/>
              </w:rPr>
              <w:t>新增、删除、排序</w:t>
            </w:r>
            <w:r>
              <w:rPr>
                <w:rFonts w:hint="eastAsia" w:ascii="宋体" w:hAnsi="宋体"/>
                <w:color w:val="auto"/>
                <w:szCs w:val="21"/>
              </w:rPr>
              <w:t>现有护理计划。</w:t>
            </w:r>
          </w:p>
        </w:tc>
        <w:tc>
          <w:tcPr>
            <w:tcW w:w="709" w:type="dxa"/>
            <w:vMerge w:val="continue"/>
            <w:noWrap/>
            <w:vAlign w:val="center"/>
          </w:tcPr>
          <w:p w14:paraId="4A1FBA9A">
            <w:pPr>
              <w:jc w:val="left"/>
              <w:rPr>
                <w:rFonts w:ascii="宋体" w:hAnsi="宋体"/>
                <w:color w:val="auto"/>
                <w:szCs w:val="21"/>
              </w:rPr>
            </w:pPr>
          </w:p>
        </w:tc>
      </w:tr>
      <w:tr w14:paraId="7750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659F14D2">
            <w:pPr>
              <w:jc w:val="left"/>
              <w:rPr>
                <w:rFonts w:ascii="宋体" w:hAnsi="宋体"/>
                <w:color w:val="auto"/>
                <w:szCs w:val="21"/>
              </w:rPr>
            </w:pPr>
          </w:p>
        </w:tc>
        <w:tc>
          <w:tcPr>
            <w:tcW w:w="565" w:type="dxa"/>
            <w:gridSpan w:val="2"/>
            <w:vMerge w:val="continue"/>
            <w:noWrap/>
            <w:vAlign w:val="center"/>
          </w:tcPr>
          <w:p w14:paraId="718C6CF5">
            <w:pPr>
              <w:jc w:val="center"/>
              <w:rPr>
                <w:rFonts w:ascii="宋体" w:hAnsi="宋体"/>
                <w:color w:val="auto"/>
                <w:szCs w:val="21"/>
              </w:rPr>
            </w:pPr>
          </w:p>
        </w:tc>
        <w:tc>
          <w:tcPr>
            <w:tcW w:w="697" w:type="dxa"/>
            <w:noWrap/>
            <w:vAlign w:val="center"/>
          </w:tcPr>
          <w:p w14:paraId="50F8E800">
            <w:pPr>
              <w:jc w:val="center"/>
              <w:rPr>
                <w:rFonts w:ascii="宋体" w:hAnsi="宋体"/>
                <w:color w:val="auto"/>
                <w:szCs w:val="21"/>
              </w:rPr>
            </w:pPr>
            <w:r>
              <w:rPr>
                <w:rFonts w:hint="eastAsia" w:ascii="宋体" w:hAnsi="宋体"/>
                <w:color w:val="auto"/>
                <w:szCs w:val="21"/>
              </w:rPr>
              <w:t>打印护理计划</w:t>
            </w:r>
          </w:p>
        </w:tc>
        <w:tc>
          <w:tcPr>
            <w:tcW w:w="6938" w:type="dxa"/>
            <w:gridSpan w:val="2"/>
            <w:noWrap/>
            <w:vAlign w:val="center"/>
          </w:tcPr>
          <w:p w14:paraId="3BE0260A">
            <w:pPr>
              <w:rPr>
                <w:rFonts w:ascii="宋体" w:hAnsi="宋体"/>
                <w:color w:val="auto"/>
                <w:szCs w:val="21"/>
              </w:rPr>
            </w:pPr>
            <w:r>
              <w:rPr>
                <w:rFonts w:hint="eastAsia" w:ascii="宋体" w:hAnsi="宋体"/>
                <w:color w:val="auto"/>
                <w:szCs w:val="21"/>
              </w:rPr>
              <w:t>实现勾选当前患者护理计划列表中的任意一条或多条护理计划，生成护理计划单并打印。</w:t>
            </w:r>
          </w:p>
        </w:tc>
        <w:tc>
          <w:tcPr>
            <w:tcW w:w="709" w:type="dxa"/>
            <w:vMerge w:val="continue"/>
            <w:noWrap/>
            <w:vAlign w:val="center"/>
          </w:tcPr>
          <w:p w14:paraId="1C2C940A">
            <w:pPr>
              <w:jc w:val="left"/>
              <w:rPr>
                <w:rFonts w:ascii="宋体" w:hAnsi="宋体"/>
                <w:color w:val="auto"/>
                <w:szCs w:val="21"/>
              </w:rPr>
            </w:pPr>
          </w:p>
        </w:tc>
      </w:tr>
      <w:tr w14:paraId="0CED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D6F4342">
            <w:pPr>
              <w:jc w:val="left"/>
              <w:rPr>
                <w:rFonts w:ascii="宋体" w:hAnsi="宋体"/>
                <w:color w:val="auto"/>
                <w:szCs w:val="21"/>
              </w:rPr>
            </w:pPr>
          </w:p>
        </w:tc>
        <w:tc>
          <w:tcPr>
            <w:tcW w:w="565" w:type="dxa"/>
            <w:gridSpan w:val="2"/>
            <w:vMerge w:val="continue"/>
            <w:noWrap/>
            <w:vAlign w:val="center"/>
          </w:tcPr>
          <w:p w14:paraId="1866A4AD">
            <w:pPr>
              <w:jc w:val="center"/>
              <w:rPr>
                <w:rFonts w:ascii="宋体" w:hAnsi="宋体"/>
                <w:color w:val="auto"/>
                <w:szCs w:val="21"/>
              </w:rPr>
            </w:pPr>
          </w:p>
        </w:tc>
        <w:tc>
          <w:tcPr>
            <w:tcW w:w="697" w:type="dxa"/>
            <w:noWrap/>
            <w:vAlign w:val="center"/>
          </w:tcPr>
          <w:p w14:paraId="199AB956">
            <w:pPr>
              <w:jc w:val="center"/>
              <w:rPr>
                <w:rFonts w:ascii="宋体" w:hAnsi="宋体"/>
                <w:color w:val="auto"/>
                <w:szCs w:val="21"/>
              </w:rPr>
            </w:pPr>
            <w:r>
              <w:rPr>
                <w:rFonts w:hint="eastAsia" w:ascii="宋体" w:hAnsi="宋体"/>
                <w:color w:val="auto"/>
                <w:szCs w:val="21"/>
              </w:rPr>
              <w:t>汇总护理计划</w:t>
            </w:r>
          </w:p>
        </w:tc>
        <w:tc>
          <w:tcPr>
            <w:tcW w:w="6938" w:type="dxa"/>
            <w:gridSpan w:val="2"/>
            <w:noWrap/>
            <w:vAlign w:val="center"/>
          </w:tcPr>
          <w:p w14:paraId="494EC8D5">
            <w:pPr>
              <w:rPr>
                <w:rFonts w:ascii="宋体" w:hAnsi="宋体"/>
                <w:color w:val="auto"/>
                <w:szCs w:val="21"/>
              </w:rPr>
            </w:pPr>
            <w:r>
              <w:rPr>
                <w:rFonts w:hint="eastAsia" w:ascii="宋体" w:hAnsi="宋体"/>
                <w:color w:val="auto"/>
                <w:szCs w:val="21"/>
              </w:rPr>
              <w:t xml:space="preserve"> 自动识别并显示当前病区所有具有“进行中”的护理计划的患者床号，供快速查看和管理。</w:t>
            </w:r>
          </w:p>
        </w:tc>
        <w:tc>
          <w:tcPr>
            <w:tcW w:w="709" w:type="dxa"/>
            <w:vMerge w:val="continue"/>
            <w:noWrap/>
            <w:vAlign w:val="center"/>
          </w:tcPr>
          <w:p w14:paraId="605EDD9E">
            <w:pPr>
              <w:jc w:val="left"/>
              <w:rPr>
                <w:rFonts w:ascii="宋体" w:hAnsi="宋体"/>
                <w:color w:val="auto"/>
                <w:szCs w:val="21"/>
              </w:rPr>
            </w:pPr>
          </w:p>
        </w:tc>
      </w:tr>
      <w:tr w14:paraId="2125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86D798C">
            <w:pPr>
              <w:jc w:val="left"/>
              <w:rPr>
                <w:rFonts w:ascii="宋体" w:hAnsi="宋体"/>
                <w:color w:val="auto"/>
                <w:szCs w:val="21"/>
              </w:rPr>
            </w:pPr>
          </w:p>
        </w:tc>
        <w:tc>
          <w:tcPr>
            <w:tcW w:w="565" w:type="dxa"/>
            <w:gridSpan w:val="2"/>
            <w:vMerge w:val="restart"/>
            <w:noWrap/>
            <w:vAlign w:val="center"/>
          </w:tcPr>
          <w:p w14:paraId="0089AC48">
            <w:pPr>
              <w:jc w:val="center"/>
              <w:rPr>
                <w:rFonts w:ascii="宋体" w:hAnsi="宋体"/>
                <w:color w:val="auto"/>
                <w:szCs w:val="21"/>
              </w:rPr>
            </w:pPr>
            <w:r>
              <w:rPr>
                <w:rFonts w:hint="eastAsia" w:ascii="宋体" w:hAnsi="宋体"/>
                <w:color w:val="auto"/>
                <w:szCs w:val="21"/>
              </w:rPr>
              <w:t>智能提醒</w:t>
            </w:r>
          </w:p>
        </w:tc>
        <w:tc>
          <w:tcPr>
            <w:tcW w:w="697" w:type="dxa"/>
            <w:noWrap/>
            <w:vAlign w:val="center"/>
          </w:tcPr>
          <w:p w14:paraId="4A2CC405">
            <w:pPr>
              <w:jc w:val="center"/>
              <w:rPr>
                <w:rFonts w:ascii="宋体" w:hAnsi="宋体"/>
                <w:color w:val="auto"/>
                <w:szCs w:val="21"/>
              </w:rPr>
            </w:pPr>
            <w:r>
              <w:rPr>
                <w:rFonts w:hint="eastAsia" w:ascii="宋体" w:hAnsi="宋体"/>
                <w:color w:val="auto"/>
                <w:szCs w:val="21"/>
              </w:rPr>
              <w:t>规则配置</w:t>
            </w:r>
          </w:p>
        </w:tc>
        <w:tc>
          <w:tcPr>
            <w:tcW w:w="6938" w:type="dxa"/>
            <w:gridSpan w:val="2"/>
            <w:noWrap/>
            <w:vAlign w:val="center"/>
          </w:tcPr>
          <w:p w14:paraId="08168DB3">
            <w:pPr>
              <w:rPr>
                <w:rFonts w:ascii="宋体" w:hAnsi="宋体"/>
                <w:color w:val="auto"/>
                <w:szCs w:val="21"/>
              </w:rPr>
            </w:pPr>
            <w:r>
              <w:rPr>
                <w:rFonts w:hint="eastAsia" w:ascii="宋体" w:hAnsi="宋体"/>
                <w:color w:val="auto"/>
                <w:szCs w:val="21"/>
              </w:rPr>
              <w:t xml:space="preserve"> 配置智能提醒任务清单的生成规则。如新入院患者连续3天体温每天4次、压疮高危患者每天复评等。</w:t>
            </w:r>
          </w:p>
        </w:tc>
        <w:tc>
          <w:tcPr>
            <w:tcW w:w="709" w:type="dxa"/>
            <w:vMerge w:val="continue"/>
            <w:noWrap/>
            <w:vAlign w:val="center"/>
          </w:tcPr>
          <w:p w14:paraId="10CA83D6">
            <w:pPr>
              <w:jc w:val="left"/>
              <w:rPr>
                <w:rFonts w:ascii="宋体" w:hAnsi="宋体"/>
                <w:color w:val="auto"/>
                <w:szCs w:val="21"/>
              </w:rPr>
            </w:pPr>
          </w:p>
        </w:tc>
      </w:tr>
      <w:tr w14:paraId="6587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C71BB72">
            <w:pPr>
              <w:jc w:val="left"/>
              <w:rPr>
                <w:rFonts w:ascii="宋体" w:hAnsi="宋体"/>
                <w:color w:val="auto"/>
                <w:szCs w:val="21"/>
              </w:rPr>
            </w:pPr>
          </w:p>
        </w:tc>
        <w:tc>
          <w:tcPr>
            <w:tcW w:w="565" w:type="dxa"/>
            <w:gridSpan w:val="2"/>
            <w:vMerge w:val="continue"/>
            <w:noWrap/>
            <w:vAlign w:val="center"/>
          </w:tcPr>
          <w:p w14:paraId="06E9CFE2">
            <w:pPr>
              <w:jc w:val="center"/>
              <w:rPr>
                <w:rFonts w:ascii="宋体" w:hAnsi="宋体"/>
                <w:color w:val="auto"/>
                <w:szCs w:val="21"/>
              </w:rPr>
            </w:pPr>
          </w:p>
        </w:tc>
        <w:tc>
          <w:tcPr>
            <w:tcW w:w="697" w:type="dxa"/>
            <w:vMerge w:val="restart"/>
            <w:noWrap/>
            <w:vAlign w:val="center"/>
          </w:tcPr>
          <w:p w14:paraId="5974C454">
            <w:pPr>
              <w:jc w:val="center"/>
              <w:rPr>
                <w:rFonts w:ascii="宋体" w:hAnsi="宋体"/>
                <w:color w:val="auto"/>
                <w:szCs w:val="21"/>
              </w:rPr>
            </w:pPr>
            <w:r>
              <w:rPr>
                <w:rFonts w:hint="eastAsia" w:ascii="宋体" w:hAnsi="宋体"/>
                <w:color w:val="auto"/>
                <w:szCs w:val="21"/>
              </w:rPr>
              <w:t>任务清单</w:t>
            </w:r>
          </w:p>
        </w:tc>
        <w:tc>
          <w:tcPr>
            <w:tcW w:w="6938" w:type="dxa"/>
            <w:gridSpan w:val="2"/>
            <w:noWrap/>
            <w:vAlign w:val="center"/>
          </w:tcPr>
          <w:p w14:paraId="2B8D5E35">
            <w:pPr>
              <w:rPr>
                <w:rFonts w:ascii="宋体" w:hAnsi="宋体"/>
                <w:color w:val="auto"/>
                <w:szCs w:val="21"/>
              </w:rPr>
            </w:pPr>
            <w:r>
              <w:rPr>
                <w:rFonts w:hint="eastAsia" w:ascii="宋体" w:hAnsi="宋体"/>
                <w:color w:val="auto"/>
                <w:szCs w:val="21"/>
              </w:rPr>
              <w:t xml:space="preserve"> 在任务清单页面，可查看任一天的护理任务情况，包括待执行、已执行、已作废等状态。</w:t>
            </w:r>
          </w:p>
        </w:tc>
        <w:tc>
          <w:tcPr>
            <w:tcW w:w="709" w:type="dxa"/>
            <w:vMerge w:val="continue"/>
            <w:noWrap/>
            <w:vAlign w:val="center"/>
          </w:tcPr>
          <w:p w14:paraId="542A5A5D">
            <w:pPr>
              <w:jc w:val="left"/>
              <w:rPr>
                <w:rFonts w:ascii="宋体" w:hAnsi="宋体"/>
                <w:color w:val="auto"/>
                <w:szCs w:val="21"/>
              </w:rPr>
            </w:pPr>
          </w:p>
        </w:tc>
      </w:tr>
      <w:tr w14:paraId="589C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55E084E">
            <w:pPr>
              <w:jc w:val="left"/>
              <w:rPr>
                <w:rFonts w:ascii="宋体" w:hAnsi="宋体"/>
                <w:color w:val="auto"/>
                <w:szCs w:val="21"/>
              </w:rPr>
            </w:pPr>
          </w:p>
        </w:tc>
        <w:tc>
          <w:tcPr>
            <w:tcW w:w="565" w:type="dxa"/>
            <w:gridSpan w:val="2"/>
            <w:vMerge w:val="continue"/>
            <w:noWrap/>
            <w:vAlign w:val="center"/>
          </w:tcPr>
          <w:p w14:paraId="76202840">
            <w:pPr>
              <w:jc w:val="center"/>
              <w:rPr>
                <w:rFonts w:ascii="宋体" w:hAnsi="宋体"/>
                <w:color w:val="auto"/>
                <w:szCs w:val="21"/>
              </w:rPr>
            </w:pPr>
          </w:p>
        </w:tc>
        <w:tc>
          <w:tcPr>
            <w:tcW w:w="697" w:type="dxa"/>
            <w:vMerge w:val="continue"/>
            <w:noWrap/>
            <w:vAlign w:val="center"/>
          </w:tcPr>
          <w:p w14:paraId="6BF3CA83">
            <w:pPr>
              <w:jc w:val="center"/>
              <w:rPr>
                <w:rFonts w:ascii="宋体" w:hAnsi="宋体"/>
                <w:color w:val="auto"/>
                <w:szCs w:val="21"/>
              </w:rPr>
            </w:pPr>
          </w:p>
        </w:tc>
        <w:tc>
          <w:tcPr>
            <w:tcW w:w="6938" w:type="dxa"/>
            <w:gridSpan w:val="2"/>
            <w:noWrap/>
            <w:vAlign w:val="center"/>
          </w:tcPr>
          <w:p w14:paraId="70650B4A">
            <w:pPr>
              <w:rPr>
                <w:rFonts w:ascii="宋体" w:hAnsi="宋体"/>
                <w:color w:val="auto"/>
                <w:szCs w:val="21"/>
              </w:rPr>
            </w:pPr>
            <w:r>
              <w:rPr>
                <w:rFonts w:hint="eastAsia" w:ascii="宋体" w:hAnsi="宋体"/>
                <w:color w:val="auto"/>
                <w:szCs w:val="21"/>
              </w:rPr>
              <w:t xml:space="preserve"> 在患者详情页面信息栏，可查看该患者当天所有待完成事项及数量。</w:t>
            </w:r>
          </w:p>
        </w:tc>
        <w:tc>
          <w:tcPr>
            <w:tcW w:w="709" w:type="dxa"/>
            <w:vMerge w:val="continue"/>
            <w:noWrap/>
            <w:vAlign w:val="center"/>
          </w:tcPr>
          <w:p w14:paraId="75A33E41">
            <w:pPr>
              <w:jc w:val="left"/>
              <w:rPr>
                <w:rFonts w:ascii="宋体" w:hAnsi="宋体"/>
                <w:color w:val="auto"/>
                <w:szCs w:val="21"/>
              </w:rPr>
            </w:pPr>
          </w:p>
        </w:tc>
      </w:tr>
      <w:tr w14:paraId="40D7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1765187">
            <w:pPr>
              <w:jc w:val="left"/>
              <w:rPr>
                <w:rFonts w:ascii="宋体" w:hAnsi="宋体"/>
                <w:color w:val="auto"/>
                <w:szCs w:val="21"/>
              </w:rPr>
            </w:pPr>
          </w:p>
        </w:tc>
        <w:tc>
          <w:tcPr>
            <w:tcW w:w="565" w:type="dxa"/>
            <w:gridSpan w:val="2"/>
            <w:vMerge w:val="continue"/>
            <w:noWrap/>
            <w:vAlign w:val="center"/>
          </w:tcPr>
          <w:p w14:paraId="00EAF5A1">
            <w:pPr>
              <w:jc w:val="center"/>
              <w:rPr>
                <w:rFonts w:ascii="宋体" w:hAnsi="宋体"/>
                <w:color w:val="auto"/>
                <w:szCs w:val="21"/>
              </w:rPr>
            </w:pPr>
          </w:p>
        </w:tc>
        <w:tc>
          <w:tcPr>
            <w:tcW w:w="697" w:type="dxa"/>
            <w:vMerge w:val="restart"/>
            <w:noWrap/>
            <w:vAlign w:val="center"/>
          </w:tcPr>
          <w:p w14:paraId="1427A9CC">
            <w:pPr>
              <w:jc w:val="center"/>
              <w:rPr>
                <w:rFonts w:ascii="宋体" w:hAnsi="宋体"/>
                <w:color w:val="auto"/>
                <w:szCs w:val="21"/>
              </w:rPr>
            </w:pPr>
            <w:r>
              <w:rPr>
                <w:rFonts w:hint="eastAsia" w:ascii="宋体" w:hAnsi="宋体"/>
                <w:color w:val="auto"/>
                <w:szCs w:val="21"/>
              </w:rPr>
              <w:t>体征测量提醒</w:t>
            </w:r>
          </w:p>
        </w:tc>
        <w:tc>
          <w:tcPr>
            <w:tcW w:w="6938" w:type="dxa"/>
            <w:gridSpan w:val="2"/>
            <w:noWrap/>
            <w:vAlign w:val="center"/>
          </w:tcPr>
          <w:p w14:paraId="3CC40B9E">
            <w:pPr>
              <w:rPr>
                <w:rFonts w:ascii="宋体" w:hAnsi="宋体"/>
                <w:color w:val="auto"/>
                <w:szCs w:val="21"/>
              </w:rPr>
            </w:pPr>
            <w:r>
              <w:rPr>
                <w:rFonts w:hint="eastAsia" w:ascii="宋体" w:hAnsi="宋体"/>
                <w:color w:val="auto"/>
                <w:szCs w:val="21"/>
              </w:rPr>
              <w:t xml:space="preserve"> 体征批量录入界面，待测体征将以特殊颜色标识。</w:t>
            </w:r>
          </w:p>
        </w:tc>
        <w:tc>
          <w:tcPr>
            <w:tcW w:w="709" w:type="dxa"/>
            <w:vMerge w:val="continue"/>
            <w:noWrap/>
            <w:vAlign w:val="center"/>
          </w:tcPr>
          <w:p w14:paraId="28F78FD3">
            <w:pPr>
              <w:jc w:val="left"/>
              <w:rPr>
                <w:rFonts w:ascii="宋体" w:hAnsi="宋体"/>
                <w:color w:val="auto"/>
                <w:szCs w:val="21"/>
              </w:rPr>
            </w:pPr>
          </w:p>
        </w:tc>
      </w:tr>
      <w:tr w14:paraId="49E6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31A1538">
            <w:pPr>
              <w:jc w:val="left"/>
              <w:rPr>
                <w:rFonts w:ascii="宋体" w:hAnsi="宋体"/>
                <w:color w:val="auto"/>
                <w:szCs w:val="21"/>
              </w:rPr>
            </w:pPr>
          </w:p>
        </w:tc>
        <w:tc>
          <w:tcPr>
            <w:tcW w:w="565" w:type="dxa"/>
            <w:gridSpan w:val="2"/>
            <w:vMerge w:val="continue"/>
            <w:noWrap/>
            <w:vAlign w:val="center"/>
          </w:tcPr>
          <w:p w14:paraId="5241A298">
            <w:pPr>
              <w:jc w:val="center"/>
              <w:rPr>
                <w:rFonts w:ascii="宋体" w:hAnsi="宋体"/>
                <w:color w:val="auto"/>
                <w:szCs w:val="21"/>
              </w:rPr>
            </w:pPr>
          </w:p>
        </w:tc>
        <w:tc>
          <w:tcPr>
            <w:tcW w:w="697" w:type="dxa"/>
            <w:vMerge w:val="continue"/>
            <w:noWrap/>
            <w:vAlign w:val="center"/>
          </w:tcPr>
          <w:p w14:paraId="78937643">
            <w:pPr>
              <w:jc w:val="center"/>
              <w:rPr>
                <w:rFonts w:ascii="宋体" w:hAnsi="宋体"/>
                <w:color w:val="auto"/>
                <w:szCs w:val="21"/>
              </w:rPr>
            </w:pPr>
          </w:p>
        </w:tc>
        <w:tc>
          <w:tcPr>
            <w:tcW w:w="6938" w:type="dxa"/>
            <w:gridSpan w:val="2"/>
            <w:noWrap/>
            <w:vAlign w:val="center"/>
          </w:tcPr>
          <w:p w14:paraId="1CD197A6">
            <w:pPr>
              <w:rPr>
                <w:rFonts w:ascii="宋体" w:hAnsi="宋体"/>
                <w:color w:val="auto"/>
                <w:szCs w:val="21"/>
              </w:rPr>
            </w:pPr>
            <w:r>
              <w:rPr>
                <w:rFonts w:hint="eastAsia" w:ascii="宋体" w:hAnsi="宋体"/>
                <w:color w:val="auto"/>
                <w:szCs w:val="21"/>
              </w:rPr>
              <w:t>实现自定义体征测量规则，根据特定事件触发自动提醒。</w:t>
            </w:r>
          </w:p>
        </w:tc>
        <w:tc>
          <w:tcPr>
            <w:tcW w:w="709" w:type="dxa"/>
            <w:vMerge w:val="continue"/>
            <w:noWrap/>
            <w:vAlign w:val="center"/>
          </w:tcPr>
          <w:p w14:paraId="4AD5C057">
            <w:pPr>
              <w:jc w:val="left"/>
              <w:rPr>
                <w:rFonts w:ascii="宋体" w:hAnsi="宋体"/>
                <w:color w:val="auto"/>
                <w:szCs w:val="21"/>
              </w:rPr>
            </w:pPr>
          </w:p>
        </w:tc>
      </w:tr>
      <w:tr w14:paraId="69DE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C456F4E">
            <w:pPr>
              <w:jc w:val="left"/>
              <w:rPr>
                <w:rFonts w:ascii="宋体" w:hAnsi="宋体"/>
                <w:color w:val="auto"/>
                <w:szCs w:val="21"/>
              </w:rPr>
            </w:pPr>
          </w:p>
        </w:tc>
        <w:tc>
          <w:tcPr>
            <w:tcW w:w="565" w:type="dxa"/>
            <w:gridSpan w:val="2"/>
            <w:vMerge w:val="continue"/>
            <w:noWrap/>
            <w:vAlign w:val="center"/>
          </w:tcPr>
          <w:p w14:paraId="45281AB7">
            <w:pPr>
              <w:jc w:val="center"/>
              <w:rPr>
                <w:rFonts w:ascii="宋体" w:hAnsi="宋体"/>
                <w:color w:val="auto"/>
                <w:szCs w:val="21"/>
              </w:rPr>
            </w:pPr>
          </w:p>
        </w:tc>
        <w:tc>
          <w:tcPr>
            <w:tcW w:w="697" w:type="dxa"/>
            <w:noWrap/>
            <w:vAlign w:val="center"/>
          </w:tcPr>
          <w:p w14:paraId="4F2058E8">
            <w:pPr>
              <w:jc w:val="center"/>
              <w:rPr>
                <w:rFonts w:ascii="宋体" w:hAnsi="宋体"/>
                <w:color w:val="auto"/>
                <w:szCs w:val="21"/>
              </w:rPr>
            </w:pPr>
            <w:r>
              <w:rPr>
                <w:rFonts w:hint="eastAsia" w:ascii="宋体" w:hAnsi="宋体"/>
                <w:color w:val="auto"/>
                <w:szCs w:val="21"/>
              </w:rPr>
              <w:t>风险评估提醒</w:t>
            </w:r>
          </w:p>
        </w:tc>
        <w:tc>
          <w:tcPr>
            <w:tcW w:w="6938" w:type="dxa"/>
            <w:gridSpan w:val="2"/>
            <w:noWrap/>
            <w:vAlign w:val="center"/>
          </w:tcPr>
          <w:p w14:paraId="1E05A2B1">
            <w:pPr>
              <w:rPr>
                <w:rFonts w:ascii="宋体" w:hAnsi="宋体"/>
                <w:color w:val="auto"/>
                <w:szCs w:val="21"/>
              </w:rPr>
            </w:pPr>
            <w:r>
              <w:rPr>
                <w:rFonts w:hint="eastAsia" w:ascii="宋体" w:hAnsi="宋体"/>
                <w:color w:val="auto"/>
                <w:szCs w:val="21"/>
              </w:rPr>
              <w:t xml:space="preserve"> 评估批量录入界面，待评表单将以特殊颜色标识，并显示对应的评估日期。</w:t>
            </w:r>
          </w:p>
        </w:tc>
        <w:tc>
          <w:tcPr>
            <w:tcW w:w="709" w:type="dxa"/>
            <w:vMerge w:val="continue"/>
            <w:noWrap/>
            <w:vAlign w:val="center"/>
          </w:tcPr>
          <w:p w14:paraId="0DE1CA22">
            <w:pPr>
              <w:jc w:val="left"/>
              <w:rPr>
                <w:rFonts w:ascii="宋体" w:hAnsi="宋体"/>
                <w:color w:val="auto"/>
                <w:szCs w:val="21"/>
              </w:rPr>
            </w:pPr>
          </w:p>
        </w:tc>
      </w:tr>
      <w:tr w14:paraId="77BA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0290119">
            <w:pPr>
              <w:jc w:val="left"/>
              <w:rPr>
                <w:rFonts w:ascii="宋体" w:hAnsi="宋体"/>
                <w:color w:val="auto"/>
                <w:szCs w:val="21"/>
              </w:rPr>
            </w:pPr>
          </w:p>
        </w:tc>
        <w:tc>
          <w:tcPr>
            <w:tcW w:w="565" w:type="dxa"/>
            <w:gridSpan w:val="2"/>
            <w:vMerge w:val="restart"/>
            <w:noWrap/>
            <w:vAlign w:val="center"/>
          </w:tcPr>
          <w:p w14:paraId="71B4A0AA">
            <w:pPr>
              <w:jc w:val="center"/>
              <w:rPr>
                <w:rFonts w:ascii="宋体" w:hAnsi="宋体"/>
                <w:color w:val="auto"/>
                <w:szCs w:val="21"/>
              </w:rPr>
            </w:pPr>
            <w:r>
              <w:rPr>
                <w:rFonts w:hint="eastAsia" w:ascii="宋体" w:hAnsi="宋体"/>
                <w:color w:val="auto"/>
                <w:szCs w:val="21"/>
              </w:rPr>
              <w:t>护理巡视管理</w:t>
            </w:r>
          </w:p>
        </w:tc>
        <w:tc>
          <w:tcPr>
            <w:tcW w:w="697" w:type="dxa"/>
            <w:vMerge w:val="restart"/>
            <w:noWrap/>
            <w:vAlign w:val="center"/>
          </w:tcPr>
          <w:p w14:paraId="536278D4">
            <w:pPr>
              <w:jc w:val="center"/>
              <w:rPr>
                <w:rFonts w:ascii="宋体" w:hAnsi="宋体"/>
                <w:color w:val="auto"/>
                <w:szCs w:val="21"/>
              </w:rPr>
            </w:pPr>
            <w:r>
              <w:rPr>
                <w:rFonts w:hint="eastAsia" w:ascii="宋体" w:hAnsi="宋体"/>
                <w:color w:val="auto"/>
                <w:szCs w:val="21"/>
              </w:rPr>
              <w:t>病房巡视</w:t>
            </w:r>
          </w:p>
        </w:tc>
        <w:tc>
          <w:tcPr>
            <w:tcW w:w="6938" w:type="dxa"/>
            <w:gridSpan w:val="2"/>
            <w:noWrap/>
            <w:vAlign w:val="center"/>
          </w:tcPr>
          <w:p w14:paraId="3318AC16">
            <w:pPr>
              <w:rPr>
                <w:rFonts w:ascii="宋体" w:hAnsi="宋体"/>
                <w:color w:val="auto"/>
                <w:szCs w:val="21"/>
              </w:rPr>
            </w:pPr>
            <w:r>
              <w:rPr>
                <w:rFonts w:hint="eastAsia" w:ascii="宋体" w:hAnsi="宋体"/>
                <w:color w:val="auto"/>
                <w:szCs w:val="21"/>
              </w:rPr>
              <w:t xml:space="preserve"> 配置各级护理病房巡视的执行要求与具体内容。</w:t>
            </w:r>
          </w:p>
        </w:tc>
        <w:tc>
          <w:tcPr>
            <w:tcW w:w="709" w:type="dxa"/>
            <w:vMerge w:val="continue"/>
            <w:noWrap/>
            <w:vAlign w:val="center"/>
          </w:tcPr>
          <w:p w14:paraId="1442A9D5">
            <w:pPr>
              <w:jc w:val="left"/>
              <w:rPr>
                <w:rFonts w:ascii="宋体" w:hAnsi="宋体"/>
                <w:color w:val="auto"/>
                <w:szCs w:val="21"/>
              </w:rPr>
            </w:pPr>
          </w:p>
        </w:tc>
      </w:tr>
      <w:tr w14:paraId="0740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8FC8A54">
            <w:pPr>
              <w:jc w:val="left"/>
              <w:rPr>
                <w:rFonts w:ascii="宋体" w:hAnsi="宋体"/>
                <w:color w:val="auto"/>
                <w:szCs w:val="21"/>
              </w:rPr>
            </w:pPr>
          </w:p>
        </w:tc>
        <w:tc>
          <w:tcPr>
            <w:tcW w:w="565" w:type="dxa"/>
            <w:gridSpan w:val="2"/>
            <w:vMerge w:val="continue"/>
            <w:noWrap/>
            <w:vAlign w:val="center"/>
          </w:tcPr>
          <w:p w14:paraId="7D966B4A">
            <w:pPr>
              <w:jc w:val="center"/>
              <w:rPr>
                <w:rFonts w:ascii="宋体" w:hAnsi="宋体"/>
                <w:color w:val="auto"/>
                <w:szCs w:val="21"/>
              </w:rPr>
            </w:pPr>
          </w:p>
        </w:tc>
        <w:tc>
          <w:tcPr>
            <w:tcW w:w="697" w:type="dxa"/>
            <w:vMerge w:val="continue"/>
            <w:noWrap/>
            <w:vAlign w:val="center"/>
          </w:tcPr>
          <w:p w14:paraId="4FA82F9A">
            <w:pPr>
              <w:jc w:val="center"/>
              <w:rPr>
                <w:rFonts w:ascii="宋体" w:hAnsi="宋体"/>
                <w:color w:val="auto"/>
                <w:szCs w:val="21"/>
              </w:rPr>
            </w:pPr>
          </w:p>
        </w:tc>
        <w:tc>
          <w:tcPr>
            <w:tcW w:w="6938" w:type="dxa"/>
            <w:gridSpan w:val="2"/>
            <w:noWrap/>
            <w:vAlign w:val="center"/>
          </w:tcPr>
          <w:p w14:paraId="3794ABFA">
            <w:pPr>
              <w:rPr>
                <w:rFonts w:ascii="宋体" w:hAnsi="宋体"/>
                <w:color w:val="auto"/>
                <w:szCs w:val="21"/>
              </w:rPr>
            </w:pPr>
            <w:r>
              <w:rPr>
                <w:rFonts w:hint="eastAsia" w:ascii="宋体" w:hAnsi="宋体"/>
                <w:color w:val="auto"/>
                <w:szCs w:val="21"/>
              </w:rPr>
              <w:t xml:space="preserve"> 查看和打印患者住院过程中护士通过PDA端记录的巡视事项，巡视单信息包括床位、姓名、巡视事项、巡视护士、巡视时间等。</w:t>
            </w:r>
          </w:p>
        </w:tc>
        <w:tc>
          <w:tcPr>
            <w:tcW w:w="709" w:type="dxa"/>
            <w:vMerge w:val="continue"/>
            <w:noWrap/>
            <w:vAlign w:val="center"/>
          </w:tcPr>
          <w:p w14:paraId="43FECFB1">
            <w:pPr>
              <w:jc w:val="left"/>
              <w:rPr>
                <w:rFonts w:ascii="宋体" w:hAnsi="宋体"/>
                <w:color w:val="auto"/>
                <w:szCs w:val="21"/>
              </w:rPr>
            </w:pPr>
          </w:p>
        </w:tc>
      </w:tr>
      <w:tr w14:paraId="766E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598FBEE">
            <w:pPr>
              <w:jc w:val="left"/>
              <w:rPr>
                <w:rFonts w:ascii="宋体" w:hAnsi="宋体"/>
                <w:color w:val="auto"/>
                <w:szCs w:val="21"/>
              </w:rPr>
            </w:pPr>
          </w:p>
        </w:tc>
        <w:tc>
          <w:tcPr>
            <w:tcW w:w="565" w:type="dxa"/>
            <w:gridSpan w:val="2"/>
            <w:vMerge w:val="restart"/>
            <w:noWrap/>
            <w:vAlign w:val="center"/>
          </w:tcPr>
          <w:p w14:paraId="57CFD67D">
            <w:pPr>
              <w:jc w:val="center"/>
              <w:rPr>
                <w:rFonts w:ascii="宋体" w:hAnsi="宋体"/>
                <w:color w:val="auto"/>
                <w:szCs w:val="21"/>
              </w:rPr>
            </w:pPr>
            <w:r>
              <w:rPr>
                <w:rFonts w:hint="eastAsia" w:ascii="宋体" w:hAnsi="宋体"/>
                <w:color w:val="auto"/>
                <w:szCs w:val="21"/>
              </w:rPr>
              <w:t>临床报告</w:t>
            </w:r>
          </w:p>
        </w:tc>
        <w:tc>
          <w:tcPr>
            <w:tcW w:w="697" w:type="dxa"/>
            <w:vMerge w:val="restart"/>
            <w:noWrap/>
            <w:vAlign w:val="center"/>
          </w:tcPr>
          <w:p w14:paraId="60342AC4">
            <w:pPr>
              <w:jc w:val="center"/>
              <w:rPr>
                <w:rFonts w:ascii="宋体" w:hAnsi="宋体"/>
                <w:color w:val="auto"/>
                <w:szCs w:val="21"/>
              </w:rPr>
            </w:pPr>
            <w:r>
              <w:rPr>
                <w:rFonts w:hint="eastAsia" w:ascii="宋体" w:hAnsi="宋体"/>
                <w:color w:val="auto"/>
                <w:szCs w:val="21"/>
              </w:rPr>
              <w:t>检验报告</w:t>
            </w:r>
          </w:p>
        </w:tc>
        <w:tc>
          <w:tcPr>
            <w:tcW w:w="6938" w:type="dxa"/>
            <w:gridSpan w:val="2"/>
            <w:noWrap/>
            <w:vAlign w:val="center"/>
          </w:tcPr>
          <w:p w14:paraId="1674034B">
            <w:pPr>
              <w:rPr>
                <w:rFonts w:ascii="宋体" w:hAnsi="宋体"/>
                <w:color w:val="auto"/>
                <w:szCs w:val="21"/>
              </w:rPr>
            </w:pPr>
            <w:r>
              <w:rPr>
                <w:rFonts w:hint="eastAsia" w:ascii="宋体" w:hAnsi="宋体"/>
                <w:color w:val="auto"/>
                <w:szCs w:val="21"/>
              </w:rPr>
              <w:t xml:space="preserve"> 浏览指定患者当次入院以来的所有检验报告，按时间顺序显示。报告信息包括项目名称、样本类型，样本采集时间、检验结果、参考范围、报告者和报告时间、校对者和校对时间等。</w:t>
            </w:r>
          </w:p>
        </w:tc>
        <w:tc>
          <w:tcPr>
            <w:tcW w:w="709" w:type="dxa"/>
            <w:vMerge w:val="continue"/>
            <w:noWrap/>
            <w:vAlign w:val="center"/>
          </w:tcPr>
          <w:p w14:paraId="0F1554DA">
            <w:pPr>
              <w:jc w:val="left"/>
              <w:rPr>
                <w:rFonts w:ascii="宋体" w:hAnsi="宋体"/>
                <w:color w:val="auto"/>
                <w:szCs w:val="21"/>
              </w:rPr>
            </w:pPr>
          </w:p>
        </w:tc>
      </w:tr>
      <w:tr w14:paraId="30C9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7E9A20E5">
            <w:pPr>
              <w:jc w:val="left"/>
              <w:rPr>
                <w:rFonts w:ascii="宋体" w:hAnsi="宋体"/>
                <w:color w:val="auto"/>
                <w:szCs w:val="21"/>
              </w:rPr>
            </w:pPr>
          </w:p>
        </w:tc>
        <w:tc>
          <w:tcPr>
            <w:tcW w:w="565" w:type="dxa"/>
            <w:gridSpan w:val="2"/>
            <w:vMerge w:val="continue"/>
            <w:noWrap/>
            <w:vAlign w:val="center"/>
          </w:tcPr>
          <w:p w14:paraId="6139DC0E">
            <w:pPr>
              <w:jc w:val="center"/>
              <w:rPr>
                <w:rFonts w:ascii="宋体" w:hAnsi="宋体"/>
                <w:color w:val="auto"/>
                <w:szCs w:val="21"/>
              </w:rPr>
            </w:pPr>
          </w:p>
        </w:tc>
        <w:tc>
          <w:tcPr>
            <w:tcW w:w="697" w:type="dxa"/>
            <w:vMerge w:val="continue"/>
            <w:noWrap/>
            <w:vAlign w:val="center"/>
          </w:tcPr>
          <w:p w14:paraId="4F2E6200">
            <w:pPr>
              <w:jc w:val="center"/>
              <w:rPr>
                <w:rFonts w:ascii="宋体" w:hAnsi="宋体"/>
                <w:color w:val="auto"/>
                <w:szCs w:val="21"/>
              </w:rPr>
            </w:pPr>
          </w:p>
        </w:tc>
        <w:tc>
          <w:tcPr>
            <w:tcW w:w="6938" w:type="dxa"/>
            <w:gridSpan w:val="2"/>
            <w:noWrap/>
            <w:vAlign w:val="center"/>
          </w:tcPr>
          <w:p w14:paraId="077B7E44">
            <w:pPr>
              <w:rPr>
                <w:rFonts w:ascii="宋体" w:hAnsi="宋体"/>
                <w:color w:val="auto"/>
                <w:szCs w:val="21"/>
              </w:rPr>
            </w:pPr>
            <w:r>
              <w:rPr>
                <w:rFonts w:hint="eastAsia" w:ascii="宋体" w:hAnsi="宋体"/>
                <w:color w:val="auto"/>
                <w:szCs w:val="21"/>
              </w:rPr>
              <w:t xml:space="preserve"> 通过特殊颜色的字体和图标标注检验结果是否偏高/偏低。</w:t>
            </w:r>
          </w:p>
        </w:tc>
        <w:tc>
          <w:tcPr>
            <w:tcW w:w="709" w:type="dxa"/>
            <w:vMerge w:val="continue"/>
            <w:noWrap/>
            <w:vAlign w:val="center"/>
          </w:tcPr>
          <w:p w14:paraId="61E77D5A">
            <w:pPr>
              <w:jc w:val="left"/>
              <w:rPr>
                <w:rFonts w:ascii="宋体" w:hAnsi="宋体"/>
                <w:color w:val="auto"/>
                <w:szCs w:val="21"/>
              </w:rPr>
            </w:pPr>
          </w:p>
        </w:tc>
      </w:tr>
      <w:tr w14:paraId="6165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720C9B51">
            <w:pPr>
              <w:jc w:val="left"/>
              <w:rPr>
                <w:rFonts w:ascii="宋体" w:hAnsi="宋体"/>
                <w:color w:val="auto"/>
                <w:szCs w:val="21"/>
              </w:rPr>
            </w:pPr>
          </w:p>
        </w:tc>
        <w:tc>
          <w:tcPr>
            <w:tcW w:w="565" w:type="dxa"/>
            <w:gridSpan w:val="2"/>
            <w:vMerge w:val="continue"/>
            <w:noWrap/>
            <w:vAlign w:val="center"/>
          </w:tcPr>
          <w:p w14:paraId="63EC0368">
            <w:pPr>
              <w:jc w:val="center"/>
              <w:rPr>
                <w:rFonts w:ascii="宋体" w:hAnsi="宋体"/>
                <w:color w:val="auto"/>
                <w:szCs w:val="21"/>
              </w:rPr>
            </w:pPr>
          </w:p>
        </w:tc>
        <w:tc>
          <w:tcPr>
            <w:tcW w:w="697" w:type="dxa"/>
            <w:noWrap/>
            <w:vAlign w:val="center"/>
          </w:tcPr>
          <w:p w14:paraId="2080D5F5">
            <w:pPr>
              <w:jc w:val="center"/>
              <w:rPr>
                <w:rFonts w:ascii="宋体" w:hAnsi="宋体"/>
                <w:color w:val="auto"/>
                <w:szCs w:val="21"/>
              </w:rPr>
            </w:pPr>
            <w:r>
              <w:rPr>
                <w:rFonts w:hint="eastAsia" w:ascii="宋体" w:hAnsi="宋体"/>
                <w:color w:val="auto"/>
                <w:szCs w:val="21"/>
              </w:rPr>
              <w:t>检查报告</w:t>
            </w:r>
          </w:p>
        </w:tc>
        <w:tc>
          <w:tcPr>
            <w:tcW w:w="6938" w:type="dxa"/>
            <w:gridSpan w:val="2"/>
            <w:noWrap/>
            <w:vAlign w:val="center"/>
          </w:tcPr>
          <w:p w14:paraId="44340DE5">
            <w:pPr>
              <w:rPr>
                <w:rFonts w:ascii="宋体" w:hAnsi="宋体"/>
                <w:color w:val="auto"/>
                <w:szCs w:val="21"/>
              </w:rPr>
            </w:pPr>
            <w:r>
              <w:rPr>
                <w:rFonts w:hint="eastAsia" w:ascii="宋体" w:hAnsi="宋体"/>
                <w:color w:val="auto"/>
                <w:szCs w:val="21"/>
              </w:rPr>
              <w:t xml:space="preserve"> 浏览指定患者当次入院以来的所有检查报告，按时间顺序显示。报告信息包括项目名称、检查时间、检查部位、检查所见、检查意见、申请者和申请时间、报告者和报告时间、审核者和审核时间等。</w:t>
            </w:r>
          </w:p>
        </w:tc>
        <w:tc>
          <w:tcPr>
            <w:tcW w:w="709" w:type="dxa"/>
            <w:vMerge w:val="continue"/>
            <w:noWrap/>
            <w:vAlign w:val="center"/>
          </w:tcPr>
          <w:p w14:paraId="010CEBCB">
            <w:pPr>
              <w:jc w:val="left"/>
              <w:rPr>
                <w:rFonts w:ascii="宋体" w:hAnsi="宋体"/>
                <w:color w:val="auto"/>
                <w:szCs w:val="21"/>
              </w:rPr>
            </w:pPr>
          </w:p>
        </w:tc>
      </w:tr>
      <w:tr w14:paraId="13B1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7C5FD1DF">
            <w:pPr>
              <w:jc w:val="left"/>
              <w:rPr>
                <w:rFonts w:ascii="宋体" w:hAnsi="宋体"/>
                <w:color w:val="auto"/>
                <w:szCs w:val="21"/>
              </w:rPr>
            </w:pPr>
          </w:p>
        </w:tc>
        <w:tc>
          <w:tcPr>
            <w:tcW w:w="565" w:type="dxa"/>
            <w:gridSpan w:val="2"/>
            <w:vMerge w:val="restart"/>
            <w:noWrap/>
            <w:vAlign w:val="center"/>
          </w:tcPr>
          <w:p w14:paraId="669FA016">
            <w:pPr>
              <w:jc w:val="center"/>
              <w:rPr>
                <w:rFonts w:ascii="宋体" w:hAnsi="宋体"/>
                <w:color w:val="auto"/>
                <w:szCs w:val="21"/>
              </w:rPr>
            </w:pPr>
            <w:r>
              <w:rPr>
                <w:rFonts w:hint="eastAsia" w:ascii="宋体" w:hAnsi="宋体"/>
                <w:color w:val="auto"/>
                <w:szCs w:val="21"/>
              </w:rPr>
              <w:t>统计报表</w:t>
            </w:r>
          </w:p>
        </w:tc>
        <w:tc>
          <w:tcPr>
            <w:tcW w:w="697" w:type="dxa"/>
            <w:vMerge w:val="restart"/>
            <w:noWrap/>
            <w:vAlign w:val="center"/>
          </w:tcPr>
          <w:p w14:paraId="70D1864B">
            <w:pPr>
              <w:jc w:val="center"/>
              <w:rPr>
                <w:rFonts w:ascii="宋体" w:hAnsi="宋体"/>
                <w:color w:val="auto"/>
                <w:szCs w:val="21"/>
              </w:rPr>
            </w:pPr>
            <w:r>
              <w:rPr>
                <w:rFonts w:hint="eastAsia" w:ascii="宋体" w:hAnsi="宋体"/>
                <w:color w:val="auto"/>
                <w:szCs w:val="21"/>
              </w:rPr>
              <w:t>医嘱执行工作量统计</w:t>
            </w:r>
          </w:p>
        </w:tc>
        <w:tc>
          <w:tcPr>
            <w:tcW w:w="6938" w:type="dxa"/>
            <w:gridSpan w:val="2"/>
            <w:noWrap/>
            <w:vAlign w:val="center"/>
          </w:tcPr>
          <w:p w14:paraId="22465362">
            <w:pPr>
              <w:rPr>
                <w:rFonts w:ascii="宋体" w:hAnsi="宋体"/>
                <w:color w:val="auto"/>
                <w:szCs w:val="21"/>
              </w:rPr>
            </w:pPr>
            <w:r>
              <w:rPr>
                <w:rFonts w:hint="eastAsia" w:ascii="宋体" w:hAnsi="宋体"/>
                <w:color w:val="auto"/>
                <w:szCs w:val="21"/>
              </w:rPr>
              <w:t xml:space="preserve"> 可查看/导出全部/任一病区护士的医嘱执行工作量统计情况。（可根据医院实际配置统计项）</w:t>
            </w:r>
          </w:p>
        </w:tc>
        <w:tc>
          <w:tcPr>
            <w:tcW w:w="709" w:type="dxa"/>
            <w:vMerge w:val="continue"/>
            <w:noWrap/>
            <w:vAlign w:val="center"/>
          </w:tcPr>
          <w:p w14:paraId="72D297DD">
            <w:pPr>
              <w:jc w:val="left"/>
              <w:rPr>
                <w:rFonts w:ascii="宋体" w:hAnsi="宋体"/>
                <w:color w:val="auto"/>
                <w:szCs w:val="21"/>
              </w:rPr>
            </w:pPr>
          </w:p>
        </w:tc>
      </w:tr>
      <w:tr w14:paraId="52D3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78C0DC5">
            <w:pPr>
              <w:jc w:val="left"/>
              <w:rPr>
                <w:rFonts w:ascii="宋体" w:hAnsi="宋体"/>
                <w:color w:val="auto"/>
                <w:szCs w:val="21"/>
              </w:rPr>
            </w:pPr>
          </w:p>
        </w:tc>
        <w:tc>
          <w:tcPr>
            <w:tcW w:w="565" w:type="dxa"/>
            <w:gridSpan w:val="2"/>
            <w:vMerge w:val="continue"/>
            <w:noWrap/>
            <w:vAlign w:val="center"/>
          </w:tcPr>
          <w:p w14:paraId="0CCBEED3">
            <w:pPr>
              <w:jc w:val="center"/>
              <w:rPr>
                <w:rFonts w:ascii="宋体" w:hAnsi="宋体"/>
                <w:color w:val="auto"/>
                <w:szCs w:val="21"/>
              </w:rPr>
            </w:pPr>
          </w:p>
        </w:tc>
        <w:tc>
          <w:tcPr>
            <w:tcW w:w="697" w:type="dxa"/>
            <w:vMerge w:val="continue"/>
            <w:noWrap/>
            <w:vAlign w:val="center"/>
          </w:tcPr>
          <w:p w14:paraId="414E7D48">
            <w:pPr>
              <w:jc w:val="center"/>
              <w:rPr>
                <w:rFonts w:ascii="宋体" w:hAnsi="宋体"/>
                <w:color w:val="auto"/>
                <w:szCs w:val="21"/>
              </w:rPr>
            </w:pPr>
          </w:p>
        </w:tc>
        <w:tc>
          <w:tcPr>
            <w:tcW w:w="6938" w:type="dxa"/>
            <w:gridSpan w:val="2"/>
            <w:noWrap/>
            <w:vAlign w:val="center"/>
          </w:tcPr>
          <w:p w14:paraId="55416F9F">
            <w:pPr>
              <w:rPr>
                <w:rFonts w:ascii="宋体" w:hAnsi="宋体"/>
                <w:color w:val="auto"/>
                <w:szCs w:val="21"/>
              </w:rPr>
            </w:pPr>
            <w:r>
              <w:rPr>
                <w:rFonts w:hint="eastAsia" w:ascii="宋体" w:hAnsi="宋体"/>
                <w:color w:val="auto"/>
                <w:szCs w:val="21"/>
              </w:rPr>
              <w:t xml:space="preserve"> 各病区可按照实际情况从全院统计项中选取适用病区的统计项查看。</w:t>
            </w:r>
          </w:p>
        </w:tc>
        <w:tc>
          <w:tcPr>
            <w:tcW w:w="709" w:type="dxa"/>
            <w:vMerge w:val="continue"/>
            <w:noWrap/>
            <w:vAlign w:val="center"/>
          </w:tcPr>
          <w:p w14:paraId="7497AAA5">
            <w:pPr>
              <w:jc w:val="left"/>
              <w:rPr>
                <w:rFonts w:ascii="宋体" w:hAnsi="宋体"/>
                <w:color w:val="auto"/>
                <w:szCs w:val="21"/>
              </w:rPr>
            </w:pPr>
          </w:p>
        </w:tc>
      </w:tr>
      <w:tr w14:paraId="39A6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18702E5">
            <w:pPr>
              <w:jc w:val="left"/>
              <w:rPr>
                <w:rFonts w:ascii="宋体" w:hAnsi="宋体"/>
                <w:color w:val="auto"/>
                <w:szCs w:val="21"/>
              </w:rPr>
            </w:pPr>
          </w:p>
        </w:tc>
        <w:tc>
          <w:tcPr>
            <w:tcW w:w="565" w:type="dxa"/>
            <w:gridSpan w:val="2"/>
            <w:vMerge w:val="continue"/>
            <w:noWrap/>
            <w:vAlign w:val="center"/>
          </w:tcPr>
          <w:p w14:paraId="4F68578D">
            <w:pPr>
              <w:jc w:val="center"/>
              <w:rPr>
                <w:rFonts w:ascii="宋体" w:hAnsi="宋体"/>
                <w:color w:val="auto"/>
                <w:szCs w:val="21"/>
              </w:rPr>
            </w:pPr>
          </w:p>
        </w:tc>
        <w:tc>
          <w:tcPr>
            <w:tcW w:w="697" w:type="dxa"/>
            <w:vMerge w:val="continue"/>
            <w:noWrap/>
            <w:vAlign w:val="center"/>
          </w:tcPr>
          <w:p w14:paraId="7004B7AF">
            <w:pPr>
              <w:jc w:val="center"/>
              <w:rPr>
                <w:rFonts w:ascii="宋体" w:hAnsi="宋体"/>
                <w:color w:val="auto"/>
                <w:szCs w:val="21"/>
              </w:rPr>
            </w:pPr>
          </w:p>
        </w:tc>
        <w:tc>
          <w:tcPr>
            <w:tcW w:w="6938" w:type="dxa"/>
            <w:gridSpan w:val="2"/>
            <w:noWrap/>
            <w:vAlign w:val="center"/>
          </w:tcPr>
          <w:p w14:paraId="64653BDC">
            <w:pPr>
              <w:rPr>
                <w:rFonts w:ascii="宋体" w:hAnsi="宋体"/>
                <w:color w:val="auto"/>
                <w:szCs w:val="21"/>
              </w:rPr>
            </w:pPr>
            <w:r>
              <w:rPr>
                <w:rFonts w:hint="eastAsia" w:ascii="宋体" w:hAnsi="宋体"/>
                <w:color w:val="auto"/>
                <w:szCs w:val="21"/>
              </w:rPr>
              <w:t xml:space="preserve"> 可通过多种筛选方式查看医嘱工作量统计表。时间范围，默认当日；实现检索护士姓名/工号筛选查询。</w:t>
            </w:r>
          </w:p>
        </w:tc>
        <w:tc>
          <w:tcPr>
            <w:tcW w:w="709" w:type="dxa"/>
            <w:vMerge w:val="continue"/>
            <w:noWrap/>
            <w:vAlign w:val="center"/>
          </w:tcPr>
          <w:p w14:paraId="375BEF0E">
            <w:pPr>
              <w:jc w:val="left"/>
              <w:rPr>
                <w:rFonts w:ascii="宋体" w:hAnsi="宋体"/>
                <w:color w:val="auto"/>
                <w:szCs w:val="21"/>
              </w:rPr>
            </w:pPr>
          </w:p>
        </w:tc>
      </w:tr>
      <w:tr w14:paraId="069B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3697ADC">
            <w:pPr>
              <w:jc w:val="left"/>
              <w:rPr>
                <w:rFonts w:ascii="宋体" w:hAnsi="宋体"/>
                <w:color w:val="auto"/>
                <w:szCs w:val="21"/>
              </w:rPr>
            </w:pPr>
          </w:p>
        </w:tc>
        <w:tc>
          <w:tcPr>
            <w:tcW w:w="565" w:type="dxa"/>
            <w:gridSpan w:val="2"/>
            <w:vMerge w:val="restart"/>
            <w:noWrap/>
            <w:vAlign w:val="center"/>
          </w:tcPr>
          <w:p w14:paraId="19FA1216">
            <w:pPr>
              <w:jc w:val="center"/>
              <w:rPr>
                <w:rFonts w:ascii="宋体" w:hAnsi="宋体"/>
                <w:color w:val="auto"/>
                <w:szCs w:val="21"/>
              </w:rPr>
            </w:pPr>
            <w:r>
              <w:rPr>
                <w:rFonts w:hint="eastAsia" w:ascii="宋体" w:hAnsi="宋体"/>
                <w:color w:val="auto"/>
                <w:szCs w:val="21"/>
              </w:rPr>
              <w:t>患者管理</w:t>
            </w:r>
          </w:p>
        </w:tc>
        <w:tc>
          <w:tcPr>
            <w:tcW w:w="697" w:type="dxa"/>
            <w:noWrap/>
            <w:vAlign w:val="center"/>
          </w:tcPr>
          <w:p w14:paraId="2DDA824E">
            <w:pPr>
              <w:jc w:val="center"/>
              <w:rPr>
                <w:rFonts w:ascii="宋体" w:hAnsi="宋体"/>
                <w:color w:val="auto"/>
                <w:szCs w:val="21"/>
              </w:rPr>
            </w:pPr>
            <w:r>
              <w:rPr>
                <w:rFonts w:hint="eastAsia" w:ascii="宋体" w:hAnsi="宋体"/>
                <w:color w:val="auto"/>
                <w:szCs w:val="21"/>
              </w:rPr>
              <w:t>腕带打印</w:t>
            </w:r>
          </w:p>
        </w:tc>
        <w:tc>
          <w:tcPr>
            <w:tcW w:w="6938" w:type="dxa"/>
            <w:gridSpan w:val="2"/>
            <w:noWrap/>
            <w:vAlign w:val="center"/>
          </w:tcPr>
          <w:p w14:paraId="0F1896C0">
            <w:pPr>
              <w:rPr>
                <w:rFonts w:ascii="宋体" w:hAnsi="宋体"/>
                <w:color w:val="auto"/>
                <w:szCs w:val="21"/>
              </w:rPr>
            </w:pPr>
            <w:r>
              <w:rPr>
                <w:rFonts w:hint="eastAsia" w:ascii="宋体" w:hAnsi="宋体"/>
                <w:color w:val="auto"/>
                <w:szCs w:val="21"/>
              </w:rPr>
              <w:t xml:space="preserve"> 将患者信息生成腕带，绑定腕带打印机后即可打印。具体信息包括床号、姓名</w:t>
            </w:r>
            <w:r>
              <w:rPr>
                <w:rFonts w:hint="eastAsia" w:ascii="宋体" w:hAnsi="宋体"/>
                <w:color w:val="auto"/>
                <w:szCs w:val="21"/>
              </w:rPr>
              <w:t>（加大字号）</w:t>
            </w:r>
            <w:r>
              <w:rPr>
                <w:rFonts w:hint="eastAsia" w:ascii="宋体" w:hAnsi="宋体"/>
                <w:color w:val="auto"/>
                <w:szCs w:val="21"/>
              </w:rPr>
              <w:t>、性别、年龄、住院号、饮食、入院诊断等。可同时打印多人。</w:t>
            </w:r>
          </w:p>
        </w:tc>
        <w:tc>
          <w:tcPr>
            <w:tcW w:w="709" w:type="dxa"/>
            <w:vMerge w:val="continue"/>
            <w:noWrap/>
            <w:vAlign w:val="center"/>
          </w:tcPr>
          <w:p w14:paraId="7DA28C47">
            <w:pPr>
              <w:jc w:val="left"/>
              <w:rPr>
                <w:rFonts w:ascii="宋体" w:hAnsi="宋体"/>
                <w:color w:val="auto"/>
                <w:szCs w:val="21"/>
              </w:rPr>
            </w:pPr>
          </w:p>
        </w:tc>
      </w:tr>
      <w:tr w14:paraId="210A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797D6517">
            <w:pPr>
              <w:jc w:val="left"/>
              <w:rPr>
                <w:rFonts w:ascii="宋体" w:hAnsi="宋体"/>
                <w:color w:val="auto"/>
                <w:szCs w:val="21"/>
              </w:rPr>
            </w:pPr>
          </w:p>
        </w:tc>
        <w:tc>
          <w:tcPr>
            <w:tcW w:w="565" w:type="dxa"/>
            <w:gridSpan w:val="2"/>
            <w:vMerge w:val="continue"/>
            <w:noWrap/>
            <w:vAlign w:val="center"/>
          </w:tcPr>
          <w:p w14:paraId="61A3E666">
            <w:pPr>
              <w:jc w:val="center"/>
              <w:rPr>
                <w:rFonts w:ascii="宋体" w:hAnsi="宋体"/>
                <w:color w:val="auto"/>
                <w:szCs w:val="21"/>
              </w:rPr>
            </w:pPr>
          </w:p>
        </w:tc>
        <w:tc>
          <w:tcPr>
            <w:tcW w:w="697" w:type="dxa"/>
            <w:noWrap/>
            <w:vAlign w:val="center"/>
          </w:tcPr>
          <w:p w14:paraId="2E4CA613">
            <w:pPr>
              <w:jc w:val="center"/>
              <w:rPr>
                <w:rFonts w:ascii="宋体" w:hAnsi="宋体"/>
                <w:color w:val="auto"/>
                <w:szCs w:val="21"/>
              </w:rPr>
            </w:pPr>
            <w:r>
              <w:rPr>
                <w:rFonts w:hint="eastAsia" w:ascii="宋体" w:hAnsi="宋体"/>
                <w:color w:val="auto"/>
                <w:szCs w:val="21"/>
              </w:rPr>
              <w:t>床头卡打印</w:t>
            </w:r>
          </w:p>
        </w:tc>
        <w:tc>
          <w:tcPr>
            <w:tcW w:w="6938" w:type="dxa"/>
            <w:gridSpan w:val="2"/>
            <w:noWrap/>
            <w:vAlign w:val="center"/>
          </w:tcPr>
          <w:p w14:paraId="33DA96A7">
            <w:pPr>
              <w:rPr>
                <w:rFonts w:ascii="宋体" w:hAnsi="宋体"/>
                <w:color w:val="auto"/>
                <w:szCs w:val="21"/>
              </w:rPr>
            </w:pPr>
            <w:r>
              <w:rPr>
                <w:rFonts w:hint="eastAsia" w:ascii="宋体" w:hAnsi="宋体"/>
                <w:color w:val="auto"/>
                <w:szCs w:val="21"/>
              </w:rPr>
              <w:t xml:space="preserve"> 将患者信息生成床头卡，绑定床头卡打印机后即可打印。具体信息包括床号、姓名</w:t>
            </w:r>
            <w:r>
              <w:rPr>
                <w:rFonts w:hint="eastAsia" w:ascii="宋体" w:hAnsi="宋体"/>
                <w:color w:val="auto"/>
                <w:szCs w:val="21"/>
              </w:rPr>
              <w:t>（加大字号）</w:t>
            </w:r>
            <w:r>
              <w:rPr>
                <w:rFonts w:hint="eastAsia" w:ascii="宋体" w:hAnsi="宋体"/>
                <w:color w:val="auto"/>
                <w:szCs w:val="21"/>
              </w:rPr>
              <w:t>、性别、年龄、住院号、饮食、入院诊断等。可同时打印多人。</w:t>
            </w:r>
          </w:p>
        </w:tc>
        <w:tc>
          <w:tcPr>
            <w:tcW w:w="709" w:type="dxa"/>
            <w:vMerge w:val="continue"/>
            <w:noWrap/>
            <w:vAlign w:val="center"/>
          </w:tcPr>
          <w:p w14:paraId="7B4D2910">
            <w:pPr>
              <w:jc w:val="left"/>
              <w:rPr>
                <w:rFonts w:ascii="宋体" w:hAnsi="宋体"/>
                <w:color w:val="auto"/>
                <w:szCs w:val="21"/>
              </w:rPr>
            </w:pPr>
          </w:p>
        </w:tc>
      </w:tr>
      <w:tr w14:paraId="5221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277" w:hRule="atLeast"/>
        </w:trPr>
        <w:tc>
          <w:tcPr>
            <w:tcW w:w="731" w:type="dxa"/>
            <w:vMerge w:val="continue"/>
            <w:noWrap/>
            <w:vAlign w:val="center"/>
          </w:tcPr>
          <w:p w14:paraId="0334007E">
            <w:pPr>
              <w:jc w:val="left"/>
              <w:rPr>
                <w:rFonts w:ascii="宋体" w:hAnsi="宋体"/>
                <w:color w:val="auto"/>
                <w:szCs w:val="21"/>
              </w:rPr>
            </w:pPr>
          </w:p>
        </w:tc>
        <w:tc>
          <w:tcPr>
            <w:tcW w:w="565" w:type="dxa"/>
            <w:gridSpan w:val="2"/>
            <w:vMerge w:val="restart"/>
            <w:noWrap/>
            <w:vAlign w:val="center"/>
          </w:tcPr>
          <w:p w14:paraId="3EA1FBD9">
            <w:pPr>
              <w:jc w:val="center"/>
              <w:rPr>
                <w:rFonts w:ascii="宋体" w:hAnsi="宋体"/>
                <w:color w:val="auto"/>
                <w:szCs w:val="21"/>
              </w:rPr>
            </w:pPr>
            <w:r>
              <w:rPr>
                <w:rFonts w:hint="eastAsia" w:ascii="宋体" w:hAnsi="宋体"/>
                <w:color w:val="auto"/>
                <w:szCs w:val="21"/>
              </w:rPr>
              <w:t>用户管理</w:t>
            </w:r>
          </w:p>
        </w:tc>
        <w:tc>
          <w:tcPr>
            <w:tcW w:w="697" w:type="dxa"/>
            <w:vMerge w:val="restart"/>
            <w:noWrap/>
            <w:vAlign w:val="center"/>
          </w:tcPr>
          <w:p w14:paraId="6DECBC87">
            <w:pPr>
              <w:jc w:val="center"/>
              <w:rPr>
                <w:rFonts w:ascii="宋体" w:hAnsi="宋体"/>
                <w:color w:val="auto"/>
                <w:szCs w:val="21"/>
              </w:rPr>
            </w:pPr>
            <w:r>
              <w:rPr>
                <w:rFonts w:hint="eastAsia" w:ascii="宋体" w:hAnsi="宋体"/>
                <w:color w:val="auto"/>
                <w:szCs w:val="21"/>
              </w:rPr>
              <w:t>用户权限设置</w:t>
            </w:r>
          </w:p>
        </w:tc>
        <w:tc>
          <w:tcPr>
            <w:tcW w:w="6938" w:type="dxa"/>
            <w:gridSpan w:val="2"/>
            <w:noWrap/>
            <w:vAlign w:val="center"/>
          </w:tcPr>
          <w:p w14:paraId="3BA6AF6B">
            <w:pPr>
              <w:rPr>
                <w:rFonts w:ascii="宋体" w:hAnsi="宋体"/>
                <w:color w:val="auto"/>
                <w:szCs w:val="21"/>
              </w:rPr>
            </w:pPr>
            <w:r>
              <w:rPr>
                <w:rFonts w:hint="eastAsia" w:ascii="宋体" w:hAnsi="宋体"/>
                <w:color w:val="auto"/>
                <w:szCs w:val="21"/>
              </w:rPr>
              <w:t xml:space="preserve"> 当一个用户有多个病区权限时，可以切换病区进行相关的护理业务操作。</w:t>
            </w:r>
          </w:p>
        </w:tc>
        <w:tc>
          <w:tcPr>
            <w:tcW w:w="709" w:type="dxa"/>
            <w:vMerge w:val="continue"/>
            <w:noWrap/>
            <w:vAlign w:val="center"/>
          </w:tcPr>
          <w:p w14:paraId="73692B93">
            <w:pPr>
              <w:jc w:val="left"/>
              <w:rPr>
                <w:rFonts w:ascii="宋体" w:hAnsi="宋体"/>
                <w:color w:val="auto"/>
                <w:szCs w:val="21"/>
              </w:rPr>
            </w:pPr>
          </w:p>
        </w:tc>
      </w:tr>
      <w:tr w14:paraId="1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15D7BC2">
            <w:pPr>
              <w:jc w:val="left"/>
              <w:rPr>
                <w:rFonts w:ascii="宋体" w:hAnsi="宋体"/>
                <w:color w:val="auto"/>
                <w:szCs w:val="21"/>
              </w:rPr>
            </w:pPr>
          </w:p>
        </w:tc>
        <w:tc>
          <w:tcPr>
            <w:tcW w:w="565" w:type="dxa"/>
            <w:gridSpan w:val="2"/>
            <w:vMerge w:val="continue"/>
            <w:noWrap/>
            <w:vAlign w:val="center"/>
          </w:tcPr>
          <w:p w14:paraId="2751FEDF">
            <w:pPr>
              <w:jc w:val="center"/>
              <w:rPr>
                <w:rFonts w:ascii="宋体" w:hAnsi="宋体"/>
                <w:color w:val="auto"/>
                <w:szCs w:val="21"/>
              </w:rPr>
            </w:pPr>
          </w:p>
        </w:tc>
        <w:tc>
          <w:tcPr>
            <w:tcW w:w="697" w:type="dxa"/>
            <w:vMerge w:val="continue"/>
            <w:noWrap/>
            <w:vAlign w:val="center"/>
          </w:tcPr>
          <w:p w14:paraId="7862A0F3">
            <w:pPr>
              <w:jc w:val="center"/>
              <w:rPr>
                <w:rFonts w:ascii="宋体" w:hAnsi="宋体"/>
                <w:color w:val="auto"/>
                <w:szCs w:val="21"/>
              </w:rPr>
            </w:pPr>
          </w:p>
        </w:tc>
        <w:tc>
          <w:tcPr>
            <w:tcW w:w="6938" w:type="dxa"/>
            <w:gridSpan w:val="2"/>
            <w:noWrap/>
            <w:vAlign w:val="center"/>
          </w:tcPr>
          <w:p w14:paraId="6261DEEE">
            <w:pPr>
              <w:rPr>
                <w:rFonts w:ascii="宋体" w:hAnsi="宋体"/>
                <w:color w:val="auto"/>
                <w:szCs w:val="21"/>
              </w:rPr>
            </w:pPr>
            <w:r>
              <w:rPr>
                <w:rFonts w:hint="eastAsia" w:ascii="宋体" w:hAnsi="宋体"/>
                <w:color w:val="auto"/>
                <w:szCs w:val="21"/>
              </w:rPr>
              <w:t xml:space="preserve"> 当一个用户有多个角色时，如管理员、病区护士、手术室护士等，由于每个角色能使用的功能（能执行操作的界面）不完全相同，因此可以切换角色以满足不同的工作场景。</w:t>
            </w:r>
          </w:p>
        </w:tc>
        <w:tc>
          <w:tcPr>
            <w:tcW w:w="709" w:type="dxa"/>
            <w:vMerge w:val="continue"/>
            <w:noWrap/>
            <w:vAlign w:val="center"/>
          </w:tcPr>
          <w:p w14:paraId="1861474C">
            <w:pPr>
              <w:jc w:val="left"/>
              <w:rPr>
                <w:rFonts w:ascii="宋体" w:hAnsi="宋体"/>
                <w:color w:val="auto"/>
                <w:szCs w:val="21"/>
              </w:rPr>
            </w:pPr>
          </w:p>
        </w:tc>
      </w:tr>
      <w:tr w14:paraId="565C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293" w:hRule="atLeast"/>
        </w:trPr>
        <w:tc>
          <w:tcPr>
            <w:tcW w:w="731" w:type="dxa"/>
            <w:vMerge w:val="continue"/>
            <w:noWrap/>
            <w:vAlign w:val="center"/>
          </w:tcPr>
          <w:p w14:paraId="3AF57FE3">
            <w:pPr>
              <w:jc w:val="left"/>
              <w:rPr>
                <w:rFonts w:ascii="宋体" w:hAnsi="宋体"/>
                <w:color w:val="auto"/>
                <w:szCs w:val="21"/>
              </w:rPr>
            </w:pPr>
          </w:p>
        </w:tc>
        <w:tc>
          <w:tcPr>
            <w:tcW w:w="565" w:type="dxa"/>
            <w:gridSpan w:val="2"/>
            <w:vMerge w:val="continue"/>
            <w:noWrap/>
            <w:vAlign w:val="center"/>
          </w:tcPr>
          <w:p w14:paraId="2D732E64">
            <w:pPr>
              <w:jc w:val="center"/>
              <w:rPr>
                <w:rFonts w:ascii="宋体" w:hAnsi="宋体"/>
                <w:color w:val="auto"/>
                <w:szCs w:val="21"/>
              </w:rPr>
            </w:pPr>
          </w:p>
        </w:tc>
        <w:tc>
          <w:tcPr>
            <w:tcW w:w="697" w:type="dxa"/>
            <w:vMerge w:val="continue"/>
            <w:noWrap/>
            <w:vAlign w:val="center"/>
          </w:tcPr>
          <w:p w14:paraId="4EC3C718">
            <w:pPr>
              <w:jc w:val="center"/>
              <w:rPr>
                <w:rFonts w:ascii="宋体" w:hAnsi="宋体"/>
                <w:color w:val="auto"/>
                <w:szCs w:val="21"/>
              </w:rPr>
            </w:pPr>
          </w:p>
        </w:tc>
        <w:tc>
          <w:tcPr>
            <w:tcW w:w="6938" w:type="dxa"/>
            <w:gridSpan w:val="2"/>
            <w:noWrap/>
            <w:vAlign w:val="center"/>
          </w:tcPr>
          <w:p w14:paraId="58524C7C">
            <w:pPr>
              <w:rPr>
                <w:rFonts w:ascii="宋体" w:hAnsi="宋体"/>
                <w:color w:val="auto"/>
                <w:szCs w:val="21"/>
              </w:rPr>
            </w:pPr>
            <w:r>
              <w:rPr>
                <w:rFonts w:hint="eastAsia" w:ascii="宋体" w:hAnsi="宋体"/>
                <w:color w:val="auto"/>
                <w:szCs w:val="21"/>
              </w:rPr>
              <w:t xml:space="preserve"> 密码设置、修改。</w:t>
            </w:r>
          </w:p>
        </w:tc>
        <w:tc>
          <w:tcPr>
            <w:tcW w:w="709" w:type="dxa"/>
            <w:vMerge w:val="continue"/>
            <w:noWrap/>
            <w:vAlign w:val="center"/>
          </w:tcPr>
          <w:p w14:paraId="76CD9122">
            <w:pPr>
              <w:jc w:val="left"/>
              <w:rPr>
                <w:rFonts w:ascii="宋体" w:hAnsi="宋体"/>
                <w:color w:val="auto"/>
                <w:szCs w:val="21"/>
              </w:rPr>
            </w:pPr>
          </w:p>
        </w:tc>
      </w:tr>
      <w:tr w14:paraId="5EC7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70B9A163">
            <w:pPr>
              <w:jc w:val="left"/>
              <w:rPr>
                <w:rFonts w:ascii="宋体" w:hAnsi="宋体"/>
                <w:color w:val="auto"/>
                <w:szCs w:val="21"/>
              </w:rPr>
            </w:pPr>
          </w:p>
        </w:tc>
        <w:tc>
          <w:tcPr>
            <w:tcW w:w="565" w:type="dxa"/>
            <w:gridSpan w:val="2"/>
            <w:vMerge w:val="continue"/>
            <w:noWrap/>
            <w:vAlign w:val="center"/>
          </w:tcPr>
          <w:p w14:paraId="05C55ACC">
            <w:pPr>
              <w:jc w:val="center"/>
              <w:rPr>
                <w:rFonts w:ascii="宋体" w:hAnsi="宋体"/>
                <w:color w:val="auto"/>
                <w:szCs w:val="21"/>
              </w:rPr>
            </w:pPr>
          </w:p>
        </w:tc>
        <w:tc>
          <w:tcPr>
            <w:tcW w:w="697" w:type="dxa"/>
            <w:noWrap/>
            <w:vAlign w:val="center"/>
          </w:tcPr>
          <w:p w14:paraId="479CC9FF">
            <w:pPr>
              <w:jc w:val="center"/>
              <w:rPr>
                <w:rFonts w:ascii="宋体" w:hAnsi="宋体"/>
                <w:color w:val="auto"/>
                <w:szCs w:val="21"/>
              </w:rPr>
            </w:pPr>
            <w:r>
              <w:rPr>
                <w:rFonts w:hint="eastAsia" w:ascii="宋体" w:hAnsi="宋体"/>
                <w:color w:val="auto"/>
                <w:szCs w:val="21"/>
              </w:rPr>
              <w:t>当班设置</w:t>
            </w:r>
          </w:p>
        </w:tc>
        <w:tc>
          <w:tcPr>
            <w:tcW w:w="6938" w:type="dxa"/>
            <w:gridSpan w:val="2"/>
            <w:noWrap/>
            <w:vAlign w:val="center"/>
          </w:tcPr>
          <w:p w14:paraId="5CF7EC0F">
            <w:pPr>
              <w:rPr>
                <w:rFonts w:ascii="宋体" w:hAnsi="宋体"/>
                <w:color w:val="auto"/>
                <w:szCs w:val="21"/>
              </w:rPr>
            </w:pPr>
            <w:r>
              <w:rPr>
                <w:rFonts w:hint="eastAsia" w:ascii="宋体" w:hAnsi="宋体"/>
                <w:color w:val="auto"/>
                <w:szCs w:val="21"/>
              </w:rPr>
              <w:t xml:space="preserve"> 设置当前登录用户所属的护理分组，如A1。选定组别后，在首页床位列表查看“本组患者”时，显示的就是对应该组管床范围内的患者。</w:t>
            </w:r>
          </w:p>
        </w:tc>
        <w:tc>
          <w:tcPr>
            <w:tcW w:w="709" w:type="dxa"/>
            <w:vMerge w:val="continue"/>
            <w:noWrap/>
            <w:vAlign w:val="center"/>
          </w:tcPr>
          <w:p w14:paraId="0033CA44">
            <w:pPr>
              <w:jc w:val="left"/>
              <w:rPr>
                <w:rFonts w:ascii="宋体" w:hAnsi="宋体"/>
                <w:color w:val="auto"/>
                <w:szCs w:val="21"/>
              </w:rPr>
            </w:pPr>
          </w:p>
        </w:tc>
      </w:tr>
      <w:tr w14:paraId="1086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20204335">
            <w:pPr>
              <w:jc w:val="left"/>
              <w:rPr>
                <w:rFonts w:ascii="宋体" w:hAnsi="宋体"/>
                <w:color w:val="auto"/>
                <w:szCs w:val="21"/>
              </w:rPr>
            </w:pPr>
          </w:p>
        </w:tc>
        <w:tc>
          <w:tcPr>
            <w:tcW w:w="565" w:type="dxa"/>
            <w:gridSpan w:val="2"/>
            <w:vMerge w:val="restart"/>
            <w:noWrap/>
            <w:vAlign w:val="center"/>
          </w:tcPr>
          <w:p w14:paraId="10291CC4">
            <w:pPr>
              <w:jc w:val="center"/>
              <w:rPr>
                <w:rFonts w:ascii="宋体" w:hAnsi="宋体"/>
                <w:color w:val="auto"/>
                <w:szCs w:val="21"/>
              </w:rPr>
            </w:pPr>
            <w:r>
              <w:rPr>
                <w:rFonts w:hint="eastAsia" w:ascii="宋体" w:hAnsi="宋体"/>
                <w:color w:val="auto"/>
                <w:szCs w:val="21"/>
              </w:rPr>
              <w:t>系统管理</w:t>
            </w:r>
          </w:p>
        </w:tc>
        <w:tc>
          <w:tcPr>
            <w:tcW w:w="697" w:type="dxa"/>
            <w:noWrap/>
            <w:vAlign w:val="center"/>
          </w:tcPr>
          <w:p w14:paraId="312AAEF3">
            <w:pPr>
              <w:jc w:val="center"/>
              <w:rPr>
                <w:rFonts w:ascii="宋体" w:hAnsi="宋体"/>
                <w:color w:val="auto"/>
                <w:szCs w:val="21"/>
              </w:rPr>
            </w:pPr>
            <w:r>
              <w:rPr>
                <w:rFonts w:hint="eastAsia" w:ascii="宋体" w:hAnsi="宋体"/>
                <w:color w:val="auto"/>
                <w:szCs w:val="21"/>
              </w:rPr>
              <w:t>系统时间同步</w:t>
            </w:r>
          </w:p>
        </w:tc>
        <w:tc>
          <w:tcPr>
            <w:tcW w:w="6938" w:type="dxa"/>
            <w:gridSpan w:val="2"/>
            <w:noWrap/>
            <w:vAlign w:val="center"/>
          </w:tcPr>
          <w:p w14:paraId="28DE1E3D">
            <w:pPr>
              <w:rPr>
                <w:rFonts w:ascii="宋体" w:hAnsi="宋体"/>
                <w:color w:val="auto"/>
                <w:szCs w:val="21"/>
              </w:rPr>
            </w:pPr>
            <w:r>
              <w:rPr>
                <w:rFonts w:hint="eastAsia" w:ascii="宋体" w:hAnsi="宋体"/>
                <w:color w:val="auto"/>
                <w:szCs w:val="21"/>
              </w:rPr>
              <w:t xml:space="preserve"> 用户登录时间自动与服务器时间同步。</w:t>
            </w:r>
          </w:p>
        </w:tc>
        <w:tc>
          <w:tcPr>
            <w:tcW w:w="709" w:type="dxa"/>
            <w:vMerge w:val="continue"/>
            <w:noWrap/>
            <w:vAlign w:val="center"/>
          </w:tcPr>
          <w:p w14:paraId="7050C59D">
            <w:pPr>
              <w:jc w:val="left"/>
              <w:rPr>
                <w:rFonts w:ascii="宋体" w:hAnsi="宋体"/>
                <w:color w:val="auto"/>
                <w:szCs w:val="21"/>
              </w:rPr>
            </w:pPr>
          </w:p>
        </w:tc>
      </w:tr>
      <w:tr w14:paraId="4723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B94899C">
            <w:pPr>
              <w:jc w:val="left"/>
              <w:rPr>
                <w:rFonts w:ascii="宋体" w:hAnsi="宋体"/>
                <w:color w:val="auto"/>
                <w:szCs w:val="21"/>
              </w:rPr>
            </w:pPr>
          </w:p>
        </w:tc>
        <w:tc>
          <w:tcPr>
            <w:tcW w:w="565" w:type="dxa"/>
            <w:gridSpan w:val="2"/>
            <w:vMerge w:val="continue"/>
            <w:noWrap/>
            <w:vAlign w:val="center"/>
          </w:tcPr>
          <w:p w14:paraId="62DFB499">
            <w:pPr>
              <w:jc w:val="center"/>
              <w:rPr>
                <w:rFonts w:ascii="宋体" w:hAnsi="宋体"/>
                <w:color w:val="auto"/>
                <w:szCs w:val="21"/>
              </w:rPr>
            </w:pPr>
          </w:p>
        </w:tc>
        <w:tc>
          <w:tcPr>
            <w:tcW w:w="697" w:type="dxa"/>
            <w:noWrap/>
            <w:vAlign w:val="center"/>
          </w:tcPr>
          <w:p w14:paraId="07CB75E0">
            <w:pPr>
              <w:jc w:val="center"/>
              <w:rPr>
                <w:rFonts w:ascii="宋体" w:hAnsi="宋体"/>
                <w:color w:val="auto"/>
                <w:szCs w:val="21"/>
              </w:rPr>
            </w:pPr>
            <w:r>
              <w:rPr>
                <w:rFonts w:hint="eastAsia" w:ascii="宋体" w:hAnsi="宋体"/>
                <w:color w:val="auto"/>
                <w:szCs w:val="21"/>
              </w:rPr>
              <w:t>科室病区设置</w:t>
            </w:r>
          </w:p>
        </w:tc>
        <w:tc>
          <w:tcPr>
            <w:tcW w:w="6938" w:type="dxa"/>
            <w:gridSpan w:val="2"/>
            <w:noWrap/>
            <w:vAlign w:val="center"/>
          </w:tcPr>
          <w:p w14:paraId="6F3830A3">
            <w:pPr>
              <w:rPr>
                <w:rFonts w:ascii="宋体" w:hAnsi="宋体"/>
                <w:color w:val="auto"/>
                <w:szCs w:val="21"/>
              </w:rPr>
            </w:pPr>
            <w:r>
              <w:rPr>
                <w:rFonts w:hint="eastAsia" w:ascii="宋体" w:hAnsi="宋体"/>
                <w:color w:val="auto"/>
                <w:szCs w:val="21"/>
              </w:rPr>
              <w:t xml:space="preserve"> 可添加、删除医院科室、病区。</w:t>
            </w:r>
          </w:p>
        </w:tc>
        <w:tc>
          <w:tcPr>
            <w:tcW w:w="709" w:type="dxa"/>
            <w:vMerge w:val="continue"/>
            <w:noWrap/>
            <w:vAlign w:val="center"/>
          </w:tcPr>
          <w:p w14:paraId="782CF887">
            <w:pPr>
              <w:jc w:val="left"/>
              <w:rPr>
                <w:rFonts w:ascii="宋体" w:hAnsi="宋体"/>
                <w:color w:val="auto"/>
                <w:szCs w:val="21"/>
              </w:rPr>
            </w:pPr>
          </w:p>
        </w:tc>
      </w:tr>
      <w:tr w14:paraId="5275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228E22E">
            <w:pPr>
              <w:jc w:val="left"/>
              <w:rPr>
                <w:rFonts w:ascii="宋体" w:hAnsi="宋体"/>
                <w:color w:val="auto"/>
                <w:szCs w:val="21"/>
              </w:rPr>
            </w:pPr>
          </w:p>
        </w:tc>
        <w:tc>
          <w:tcPr>
            <w:tcW w:w="565" w:type="dxa"/>
            <w:gridSpan w:val="2"/>
            <w:vMerge w:val="continue"/>
            <w:noWrap/>
            <w:vAlign w:val="center"/>
          </w:tcPr>
          <w:p w14:paraId="50FEB980">
            <w:pPr>
              <w:jc w:val="center"/>
              <w:rPr>
                <w:rFonts w:ascii="宋体" w:hAnsi="宋体"/>
                <w:color w:val="auto"/>
                <w:szCs w:val="21"/>
              </w:rPr>
            </w:pPr>
          </w:p>
        </w:tc>
        <w:tc>
          <w:tcPr>
            <w:tcW w:w="697" w:type="dxa"/>
            <w:noWrap/>
            <w:vAlign w:val="center"/>
          </w:tcPr>
          <w:p w14:paraId="7A1E6515">
            <w:pPr>
              <w:jc w:val="center"/>
              <w:rPr>
                <w:rFonts w:ascii="宋体" w:hAnsi="宋体"/>
                <w:color w:val="auto"/>
                <w:szCs w:val="21"/>
              </w:rPr>
            </w:pPr>
            <w:r>
              <w:rPr>
                <w:rFonts w:hint="eastAsia" w:ascii="宋体" w:hAnsi="宋体"/>
                <w:color w:val="auto"/>
                <w:szCs w:val="21"/>
              </w:rPr>
              <w:t>登录病区缓存</w:t>
            </w:r>
          </w:p>
        </w:tc>
        <w:tc>
          <w:tcPr>
            <w:tcW w:w="6938" w:type="dxa"/>
            <w:gridSpan w:val="2"/>
            <w:noWrap/>
            <w:vAlign w:val="center"/>
          </w:tcPr>
          <w:p w14:paraId="4EFB2977">
            <w:pPr>
              <w:rPr>
                <w:rFonts w:ascii="宋体" w:hAnsi="宋体"/>
                <w:color w:val="auto"/>
                <w:szCs w:val="21"/>
              </w:rPr>
            </w:pPr>
            <w:r>
              <w:rPr>
                <w:rFonts w:hint="eastAsia" w:ascii="宋体" w:hAnsi="宋体"/>
                <w:color w:val="auto"/>
                <w:szCs w:val="21"/>
              </w:rPr>
              <w:t xml:space="preserve"> 登录时默认为最近登录的病区，可以切换病区。</w:t>
            </w:r>
          </w:p>
        </w:tc>
        <w:tc>
          <w:tcPr>
            <w:tcW w:w="709" w:type="dxa"/>
            <w:vMerge w:val="continue"/>
            <w:noWrap/>
            <w:vAlign w:val="center"/>
          </w:tcPr>
          <w:p w14:paraId="5171DFF7">
            <w:pPr>
              <w:jc w:val="left"/>
              <w:rPr>
                <w:rFonts w:ascii="宋体" w:hAnsi="宋体"/>
                <w:color w:val="auto"/>
                <w:szCs w:val="21"/>
              </w:rPr>
            </w:pPr>
          </w:p>
        </w:tc>
      </w:tr>
      <w:tr w14:paraId="6FBC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restart"/>
            <w:noWrap/>
            <w:vAlign w:val="center"/>
          </w:tcPr>
          <w:p w14:paraId="6B65F482">
            <w:pPr>
              <w:jc w:val="center"/>
              <w:rPr>
                <w:rFonts w:ascii="宋体" w:hAnsi="宋体"/>
                <w:color w:val="auto"/>
                <w:szCs w:val="21"/>
              </w:rPr>
            </w:pPr>
            <w:r>
              <w:rPr>
                <w:rFonts w:hint="eastAsia" w:ascii="宋体" w:hAnsi="宋体"/>
                <w:color w:val="auto"/>
                <w:szCs w:val="21"/>
              </w:rPr>
              <w:t>PDA端</w:t>
            </w:r>
          </w:p>
        </w:tc>
        <w:tc>
          <w:tcPr>
            <w:tcW w:w="565" w:type="dxa"/>
            <w:gridSpan w:val="2"/>
            <w:vMerge w:val="restart"/>
            <w:noWrap/>
            <w:vAlign w:val="center"/>
          </w:tcPr>
          <w:p w14:paraId="6EEC8453">
            <w:pPr>
              <w:jc w:val="center"/>
              <w:rPr>
                <w:rFonts w:ascii="宋体" w:hAnsi="宋体"/>
                <w:color w:val="auto"/>
                <w:szCs w:val="21"/>
              </w:rPr>
            </w:pPr>
            <w:r>
              <w:rPr>
                <w:rFonts w:hint="eastAsia" w:ascii="宋体" w:hAnsi="宋体"/>
                <w:color w:val="auto"/>
                <w:szCs w:val="21"/>
              </w:rPr>
              <w:t>患者信息管理</w:t>
            </w:r>
          </w:p>
        </w:tc>
        <w:tc>
          <w:tcPr>
            <w:tcW w:w="697" w:type="dxa"/>
            <w:vMerge w:val="restart"/>
            <w:noWrap/>
            <w:vAlign w:val="center"/>
          </w:tcPr>
          <w:p w14:paraId="4E1799D4">
            <w:pPr>
              <w:jc w:val="center"/>
              <w:rPr>
                <w:rFonts w:ascii="宋体" w:hAnsi="宋体"/>
                <w:color w:val="auto"/>
                <w:szCs w:val="21"/>
              </w:rPr>
            </w:pPr>
            <w:r>
              <w:rPr>
                <w:rFonts w:hint="eastAsia" w:ascii="宋体" w:hAnsi="宋体"/>
                <w:color w:val="auto"/>
                <w:szCs w:val="21"/>
              </w:rPr>
              <w:t>在院患者</w:t>
            </w:r>
          </w:p>
        </w:tc>
        <w:tc>
          <w:tcPr>
            <w:tcW w:w="6938" w:type="dxa"/>
            <w:gridSpan w:val="2"/>
            <w:noWrap/>
            <w:vAlign w:val="center"/>
          </w:tcPr>
          <w:p w14:paraId="562272E6">
            <w:pPr>
              <w:rPr>
                <w:rFonts w:ascii="宋体" w:hAnsi="宋体"/>
                <w:color w:val="auto"/>
                <w:szCs w:val="21"/>
              </w:rPr>
            </w:pPr>
            <w:r>
              <w:rPr>
                <w:rFonts w:hint="eastAsia" w:ascii="宋体" w:hAnsi="宋体"/>
                <w:color w:val="auto"/>
                <w:szCs w:val="21"/>
              </w:rPr>
              <w:t xml:space="preserve"> 用卡片的方式显示当前病区所有患者的信息，包括床号、姓名、性别、年龄、住院号、待办事项个数、入院日期等基本信息，护理等级、护理风险评分等护理信息，入院诊断、饮食等临床信息。</w:t>
            </w:r>
          </w:p>
        </w:tc>
        <w:tc>
          <w:tcPr>
            <w:tcW w:w="709" w:type="dxa"/>
            <w:vMerge w:val="continue"/>
            <w:noWrap/>
            <w:vAlign w:val="center"/>
          </w:tcPr>
          <w:p w14:paraId="14E7D99E">
            <w:pPr>
              <w:jc w:val="left"/>
              <w:rPr>
                <w:rFonts w:ascii="宋体" w:hAnsi="宋体"/>
                <w:color w:val="auto"/>
                <w:szCs w:val="21"/>
              </w:rPr>
            </w:pPr>
          </w:p>
        </w:tc>
      </w:tr>
      <w:tr w14:paraId="73F0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A06DD6A">
            <w:pPr>
              <w:jc w:val="left"/>
              <w:rPr>
                <w:rFonts w:ascii="宋体" w:hAnsi="宋体"/>
                <w:color w:val="auto"/>
                <w:szCs w:val="21"/>
              </w:rPr>
            </w:pPr>
          </w:p>
        </w:tc>
        <w:tc>
          <w:tcPr>
            <w:tcW w:w="565" w:type="dxa"/>
            <w:gridSpan w:val="2"/>
            <w:vMerge w:val="continue"/>
            <w:noWrap/>
            <w:vAlign w:val="center"/>
          </w:tcPr>
          <w:p w14:paraId="01E63DAD">
            <w:pPr>
              <w:jc w:val="center"/>
              <w:rPr>
                <w:rFonts w:ascii="宋体" w:hAnsi="宋体"/>
                <w:color w:val="auto"/>
                <w:szCs w:val="21"/>
              </w:rPr>
            </w:pPr>
          </w:p>
        </w:tc>
        <w:tc>
          <w:tcPr>
            <w:tcW w:w="697" w:type="dxa"/>
            <w:vMerge w:val="continue"/>
            <w:noWrap/>
            <w:vAlign w:val="center"/>
          </w:tcPr>
          <w:p w14:paraId="663157CB">
            <w:pPr>
              <w:jc w:val="center"/>
              <w:rPr>
                <w:rFonts w:ascii="宋体" w:hAnsi="宋体"/>
                <w:color w:val="auto"/>
                <w:szCs w:val="21"/>
              </w:rPr>
            </w:pPr>
          </w:p>
        </w:tc>
        <w:tc>
          <w:tcPr>
            <w:tcW w:w="6938" w:type="dxa"/>
            <w:gridSpan w:val="2"/>
            <w:noWrap/>
            <w:vAlign w:val="center"/>
          </w:tcPr>
          <w:p w14:paraId="6E013C3A">
            <w:pPr>
              <w:rPr>
                <w:rFonts w:ascii="宋体" w:hAnsi="宋体"/>
                <w:color w:val="auto"/>
                <w:szCs w:val="21"/>
              </w:rPr>
            </w:pPr>
            <w:r>
              <w:rPr>
                <w:rFonts w:hint="eastAsia" w:ascii="宋体" w:hAnsi="宋体"/>
                <w:color w:val="auto"/>
                <w:szCs w:val="21"/>
              </w:rPr>
              <w:t>实现搜索床号、姓名、住院号等信息来查找患者。</w:t>
            </w:r>
          </w:p>
        </w:tc>
        <w:tc>
          <w:tcPr>
            <w:tcW w:w="709" w:type="dxa"/>
            <w:vMerge w:val="continue"/>
            <w:noWrap/>
            <w:vAlign w:val="center"/>
          </w:tcPr>
          <w:p w14:paraId="1B92D634">
            <w:pPr>
              <w:jc w:val="left"/>
              <w:rPr>
                <w:rFonts w:ascii="宋体" w:hAnsi="宋体"/>
                <w:color w:val="auto"/>
                <w:szCs w:val="21"/>
              </w:rPr>
            </w:pPr>
          </w:p>
        </w:tc>
      </w:tr>
      <w:tr w14:paraId="5660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7903F18">
            <w:pPr>
              <w:jc w:val="left"/>
              <w:rPr>
                <w:rFonts w:ascii="宋体" w:hAnsi="宋体"/>
                <w:color w:val="auto"/>
                <w:szCs w:val="21"/>
              </w:rPr>
            </w:pPr>
          </w:p>
        </w:tc>
        <w:tc>
          <w:tcPr>
            <w:tcW w:w="565" w:type="dxa"/>
            <w:gridSpan w:val="2"/>
            <w:vMerge w:val="continue"/>
            <w:noWrap/>
            <w:vAlign w:val="center"/>
          </w:tcPr>
          <w:p w14:paraId="622B71FC">
            <w:pPr>
              <w:jc w:val="center"/>
              <w:rPr>
                <w:rFonts w:ascii="宋体" w:hAnsi="宋体"/>
                <w:color w:val="auto"/>
                <w:szCs w:val="21"/>
              </w:rPr>
            </w:pPr>
          </w:p>
        </w:tc>
        <w:tc>
          <w:tcPr>
            <w:tcW w:w="697" w:type="dxa"/>
            <w:vMerge w:val="continue"/>
            <w:noWrap/>
            <w:vAlign w:val="center"/>
          </w:tcPr>
          <w:p w14:paraId="2FCC6F19">
            <w:pPr>
              <w:jc w:val="center"/>
              <w:rPr>
                <w:rFonts w:ascii="宋体" w:hAnsi="宋体"/>
                <w:color w:val="auto"/>
                <w:szCs w:val="21"/>
              </w:rPr>
            </w:pPr>
          </w:p>
        </w:tc>
        <w:tc>
          <w:tcPr>
            <w:tcW w:w="6938" w:type="dxa"/>
            <w:gridSpan w:val="2"/>
            <w:noWrap/>
            <w:vAlign w:val="center"/>
          </w:tcPr>
          <w:p w14:paraId="5ED75367">
            <w:pPr>
              <w:rPr>
                <w:rFonts w:ascii="宋体" w:hAnsi="宋体"/>
                <w:color w:val="auto"/>
                <w:szCs w:val="21"/>
              </w:rPr>
            </w:pPr>
            <w:r>
              <w:rPr>
                <w:rFonts w:hint="eastAsia" w:ascii="宋体" w:hAnsi="宋体"/>
                <w:color w:val="auto"/>
                <w:szCs w:val="21"/>
              </w:rPr>
              <w:t xml:space="preserve"> 可根据分组筛选并查看“本责任组患者”，更加快速掌握信息。</w:t>
            </w:r>
          </w:p>
        </w:tc>
        <w:tc>
          <w:tcPr>
            <w:tcW w:w="709" w:type="dxa"/>
            <w:vMerge w:val="continue"/>
            <w:noWrap/>
            <w:vAlign w:val="center"/>
          </w:tcPr>
          <w:p w14:paraId="457F9A4B">
            <w:pPr>
              <w:jc w:val="left"/>
              <w:rPr>
                <w:rFonts w:ascii="宋体" w:hAnsi="宋体"/>
                <w:color w:val="auto"/>
                <w:szCs w:val="21"/>
              </w:rPr>
            </w:pPr>
          </w:p>
        </w:tc>
      </w:tr>
      <w:tr w14:paraId="0074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3E9D1054">
            <w:pPr>
              <w:jc w:val="left"/>
              <w:rPr>
                <w:rFonts w:ascii="宋体" w:hAnsi="宋体"/>
                <w:color w:val="auto"/>
                <w:szCs w:val="21"/>
              </w:rPr>
            </w:pPr>
          </w:p>
        </w:tc>
        <w:tc>
          <w:tcPr>
            <w:tcW w:w="565" w:type="dxa"/>
            <w:gridSpan w:val="2"/>
            <w:vMerge w:val="continue"/>
            <w:noWrap/>
            <w:vAlign w:val="center"/>
          </w:tcPr>
          <w:p w14:paraId="437455B8">
            <w:pPr>
              <w:jc w:val="center"/>
              <w:rPr>
                <w:rFonts w:ascii="宋体" w:hAnsi="宋体"/>
                <w:color w:val="auto"/>
                <w:szCs w:val="21"/>
              </w:rPr>
            </w:pPr>
          </w:p>
        </w:tc>
        <w:tc>
          <w:tcPr>
            <w:tcW w:w="697" w:type="dxa"/>
            <w:vMerge w:val="restart"/>
            <w:noWrap/>
            <w:vAlign w:val="center"/>
          </w:tcPr>
          <w:p w14:paraId="74372FF9">
            <w:pPr>
              <w:jc w:val="center"/>
              <w:rPr>
                <w:rFonts w:ascii="宋体" w:hAnsi="宋体"/>
                <w:color w:val="auto"/>
                <w:szCs w:val="21"/>
              </w:rPr>
            </w:pPr>
            <w:r>
              <w:rPr>
                <w:rFonts w:hint="eastAsia" w:ascii="宋体" w:hAnsi="宋体"/>
                <w:color w:val="auto"/>
                <w:szCs w:val="21"/>
              </w:rPr>
              <w:t>实时统计</w:t>
            </w:r>
          </w:p>
        </w:tc>
        <w:tc>
          <w:tcPr>
            <w:tcW w:w="6938" w:type="dxa"/>
            <w:gridSpan w:val="2"/>
            <w:noWrap/>
            <w:vAlign w:val="center"/>
          </w:tcPr>
          <w:p w14:paraId="11686DE9">
            <w:pPr>
              <w:rPr>
                <w:rFonts w:ascii="宋体" w:hAnsi="宋体"/>
                <w:color w:val="auto"/>
                <w:szCs w:val="21"/>
              </w:rPr>
            </w:pPr>
            <w:r>
              <w:rPr>
                <w:rFonts w:hint="eastAsia" w:ascii="宋体" w:hAnsi="宋体"/>
                <w:color w:val="auto"/>
                <w:szCs w:val="21"/>
              </w:rPr>
              <w:t xml:space="preserve"> 自动统计出当前病区的住院总人数、特/一级护理人数、病危/病重、手术、当日入院、转入、出院、转出人数等。点击项目筛选查看。</w:t>
            </w:r>
          </w:p>
        </w:tc>
        <w:tc>
          <w:tcPr>
            <w:tcW w:w="709" w:type="dxa"/>
            <w:vMerge w:val="continue"/>
            <w:noWrap/>
            <w:vAlign w:val="center"/>
          </w:tcPr>
          <w:p w14:paraId="38D07FE7">
            <w:pPr>
              <w:jc w:val="left"/>
              <w:rPr>
                <w:rFonts w:ascii="宋体" w:hAnsi="宋体"/>
                <w:color w:val="auto"/>
                <w:szCs w:val="21"/>
              </w:rPr>
            </w:pPr>
          </w:p>
        </w:tc>
      </w:tr>
      <w:tr w14:paraId="6557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8092E16">
            <w:pPr>
              <w:jc w:val="left"/>
              <w:rPr>
                <w:rFonts w:ascii="宋体" w:hAnsi="宋体"/>
                <w:color w:val="auto"/>
                <w:szCs w:val="21"/>
              </w:rPr>
            </w:pPr>
          </w:p>
        </w:tc>
        <w:tc>
          <w:tcPr>
            <w:tcW w:w="565" w:type="dxa"/>
            <w:gridSpan w:val="2"/>
            <w:vMerge w:val="continue"/>
            <w:noWrap/>
            <w:vAlign w:val="center"/>
          </w:tcPr>
          <w:p w14:paraId="497BFA65">
            <w:pPr>
              <w:jc w:val="center"/>
              <w:rPr>
                <w:rFonts w:ascii="宋体" w:hAnsi="宋体"/>
                <w:color w:val="auto"/>
                <w:szCs w:val="21"/>
              </w:rPr>
            </w:pPr>
          </w:p>
        </w:tc>
        <w:tc>
          <w:tcPr>
            <w:tcW w:w="697" w:type="dxa"/>
            <w:vMerge w:val="continue"/>
            <w:noWrap/>
            <w:vAlign w:val="center"/>
          </w:tcPr>
          <w:p w14:paraId="14CFBDF3">
            <w:pPr>
              <w:jc w:val="center"/>
              <w:rPr>
                <w:rFonts w:ascii="宋体" w:hAnsi="宋体"/>
                <w:color w:val="auto"/>
                <w:szCs w:val="21"/>
              </w:rPr>
            </w:pPr>
          </w:p>
        </w:tc>
        <w:tc>
          <w:tcPr>
            <w:tcW w:w="6938" w:type="dxa"/>
            <w:gridSpan w:val="2"/>
            <w:noWrap/>
            <w:vAlign w:val="center"/>
          </w:tcPr>
          <w:p w14:paraId="61A8961A">
            <w:pPr>
              <w:rPr>
                <w:rFonts w:ascii="宋体" w:hAnsi="宋体"/>
                <w:color w:val="auto"/>
                <w:szCs w:val="21"/>
              </w:rPr>
            </w:pPr>
            <w:r>
              <w:rPr>
                <w:rFonts w:hint="eastAsia" w:ascii="宋体" w:hAnsi="宋体"/>
                <w:color w:val="auto"/>
                <w:szCs w:val="21"/>
              </w:rPr>
              <w:t xml:space="preserve"> 可根据病区需求配置需要进行统计的具体项目类型。</w:t>
            </w:r>
          </w:p>
        </w:tc>
        <w:tc>
          <w:tcPr>
            <w:tcW w:w="709" w:type="dxa"/>
            <w:vMerge w:val="continue"/>
            <w:noWrap/>
            <w:vAlign w:val="center"/>
          </w:tcPr>
          <w:p w14:paraId="7286D8DC">
            <w:pPr>
              <w:jc w:val="left"/>
              <w:rPr>
                <w:rFonts w:ascii="宋体" w:hAnsi="宋体"/>
                <w:color w:val="auto"/>
                <w:szCs w:val="21"/>
              </w:rPr>
            </w:pPr>
          </w:p>
        </w:tc>
      </w:tr>
      <w:tr w14:paraId="69E2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4B4351E">
            <w:pPr>
              <w:jc w:val="left"/>
              <w:rPr>
                <w:rFonts w:ascii="宋体" w:hAnsi="宋体"/>
                <w:color w:val="auto"/>
                <w:szCs w:val="21"/>
              </w:rPr>
            </w:pPr>
          </w:p>
        </w:tc>
        <w:tc>
          <w:tcPr>
            <w:tcW w:w="565" w:type="dxa"/>
            <w:gridSpan w:val="2"/>
            <w:vMerge w:val="restart"/>
            <w:noWrap/>
            <w:vAlign w:val="center"/>
          </w:tcPr>
          <w:p w14:paraId="52FB6EF5">
            <w:pPr>
              <w:jc w:val="center"/>
              <w:rPr>
                <w:rFonts w:ascii="宋体" w:hAnsi="宋体"/>
                <w:color w:val="auto"/>
                <w:szCs w:val="21"/>
              </w:rPr>
            </w:pPr>
            <w:r>
              <w:rPr>
                <w:rFonts w:hint="eastAsia" w:ascii="宋体" w:hAnsi="宋体"/>
                <w:color w:val="auto"/>
                <w:szCs w:val="21"/>
              </w:rPr>
              <w:t>医嘱管理</w:t>
            </w:r>
          </w:p>
        </w:tc>
        <w:tc>
          <w:tcPr>
            <w:tcW w:w="697" w:type="dxa"/>
            <w:vMerge w:val="restart"/>
            <w:noWrap/>
            <w:vAlign w:val="center"/>
          </w:tcPr>
          <w:p w14:paraId="40D38B12">
            <w:pPr>
              <w:jc w:val="center"/>
              <w:rPr>
                <w:rFonts w:ascii="宋体" w:hAnsi="宋体"/>
                <w:color w:val="auto"/>
                <w:szCs w:val="21"/>
              </w:rPr>
            </w:pPr>
            <w:r>
              <w:rPr>
                <w:rFonts w:hint="eastAsia" w:ascii="宋体" w:hAnsi="宋体"/>
                <w:color w:val="auto"/>
                <w:szCs w:val="21"/>
              </w:rPr>
              <w:t>医嘱查询</w:t>
            </w:r>
          </w:p>
        </w:tc>
        <w:tc>
          <w:tcPr>
            <w:tcW w:w="6938" w:type="dxa"/>
            <w:gridSpan w:val="2"/>
            <w:noWrap/>
            <w:vAlign w:val="center"/>
          </w:tcPr>
          <w:p w14:paraId="0C326B6F">
            <w:pPr>
              <w:rPr>
                <w:rFonts w:ascii="宋体" w:hAnsi="宋体"/>
                <w:color w:val="auto"/>
                <w:szCs w:val="21"/>
              </w:rPr>
            </w:pPr>
            <w:r>
              <w:rPr>
                <w:rFonts w:hint="eastAsia" w:ascii="宋体" w:hAnsi="宋体"/>
                <w:color w:val="auto"/>
                <w:szCs w:val="21"/>
              </w:rPr>
              <w:t xml:space="preserve"> 查看所有患者的医嘱信息，医嘱信息包括开始时间、医嘱内容、计划执行时间、频率、执行情况等。</w:t>
            </w:r>
          </w:p>
        </w:tc>
        <w:tc>
          <w:tcPr>
            <w:tcW w:w="709" w:type="dxa"/>
            <w:vMerge w:val="continue"/>
            <w:noWrap/>
            <w:vAlign w:val="center"/>
          </w:tcPr>
          <w:p w14:paraId="25A7390A">
            <w:pPr>
              <w:jc w:val="left"/>
              <w:rPr>
                <w:rFonts w:ascii="宋体" w:hAnsi="宋体"/>
                <w:color w:val="auto"/>
                <w:szCs w:val="21"/>
              </w:rPr>
            </w:pPr>
          </w:p>
        </w:tc>
      </w:tr>
      <w:tr w14:paraId="5EE7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DAB0285">
            <w:pPr>
              <w:jc w:val="left"/>
              <w:rPr>
                <w:rFonts w:ascii="宋体" w:hAnsi="宋体"/>
                <w:color w:val="auto"/>
                <w:szCs w:val="21"/>
              </w:rPr>
            </w:pPr>
          </w:p>
        </w:tc>
        <w:tc>
          <w:tcPr>
            <w:tcW w:w="565" w:type="dxa"/>
            <w:gridSpan w:val="2"/>
            <w:vMerge w:val="continue"/>
            <w:noWrap/>
            <w:vAlign w:val="center"/>
          </w:tcPr>
          <w:p w14:paraId="1E32AEF5">
            <w:pPr>
              <w:jc w:val="left"/>
              <w:rPr>
                <w:rFonts w:ascii="宋体" w:hAnsi="宋体"/>
                <w:color w:val="auto"/>
                <w:szCs w:val="21"/>
              </w:rPr>
            </w:pPr>
          </w:p>
        </w:tc>
        <w:tc>
          <w:tcPr>
            <w:tcW w:w="697" w:type="dxa"/>
            <w:vMerge w:val="continue"/>
            <w:noWrap/>
            <w:vAlign w:val="center"/>
          </w:tcPr>
          <w:p w14:paraId="30A1E58B">
            <w:pPr>
              <w:jc w:val="left"/>
              <w:rPr>
                <w:rFonts w:ascii="宋体" w:hAnsi="宋体"/>
                <w:color w:val="auto"/>
                <w:szCs w:val="21"/>
              </w:rPr>
            </w:pPr>
          </w:p>
        </w:tc>
        <w:tc>
          <w:tcPr>
            <w:tcW w:w="6938" w:type="dxa"/>
            <w:gridSpan w:val="2"/>
            <w:noWrap/>
            <w:vAlign w:val="center"/>
          </w:tcPr>
          <w:p w14:paraId="3B6A87BF">
            <w:pPr>
              <w:rPr>
                <w:rFonts w:ascii="宋体" w:hAnsi="宋体"/>
                <w:color w:val="auto"/>
                <w:szCs w:val="21"/>
              </w:rPr>
            </w:pPr>
            <w:r>
              <w:rPr>
                <w:rFonts w:hint="eastAsia" w:ascii="宋体" w:hAnsi="宋体"/>
                <w:color w:val="auto"/>
                <w:szCs w:val="21"/>
              </w:rPr>
              <w:t xml:space="preserve"> 根据多种条件筛选医嘱。医嘱类型：长期医嘱和临时医嘱；医嘱状态：未停止和已停止。还可按照医嘱的内容，分别查看输液、注射、口服、雾化吸入、皮试、检验、检查等医嘱单。</w:t>
            </w:r>
          </w:p>
        </w:tc>
        <w:tc>
          <w:tcPr>
            <w:tcW w:w="709" w:type="dxa"/>
            <w:vMerge w:val="continue"/>
            <w:noWrap/>
            <w:vAlign w:val="center"/>
          </w:tcPr>
          <w:p w14:paraId="639A0D4A">
            <w:pPr>
              <w:jc w:val="left"/>
              <w:rPr>
                <w:rFonts w:ascii="宋体" w:hAnsi="宋体"/>
                <w:color w:val="auto"/>
                <w:szCs w:val="21"/>
              </w:rPr>
            </w:pPr>
          </w:p>
        </w:tc>
      </w:tr>
      <w:tr w14:paraId="7D1A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2ED8009">
            <w:pPr>
              <w:jc w:val="left"/>
              <w:rPr>
                <w:rFonts w:ascii="宋体" w:hAnsi="宋体"/>
                <w:color w:val="auto"/>
                <w:szCs w:val="21"/>
              </w:rPr>
            </w:pPr>
          </w:p>
        </w:tc>
        <w:tc>
          <w:tcPr>
            <w:tcW w:w="565" w:type="dxa"/>
            <w:gridSpan w:val="2"/>
            <w:vMerge w:val="continue"/>
            <w:noWrap/>
            <w:vAlign w:val="center"/>
          </w:tcPr>
          <w:p w14:paraId="7380BC1A">
            <w:pPr>
              <w:jc w:val="left"/>
              <w:rPr>
                <w:rFonts w:ascii="宋体" w:hAnsi="宋体"/>
                <w:color w:val="auto"/>
                <w:szCs w:val="21"/>
              </w:rPr>
            </w:pPr>
          </w:p>
        </w:tc>
        <w:tc>
          <w:tcPr>
            <w:tcW w:w="697" w:type="dxa"/>
            <w:vMerge w:val="continue"/>
            <w:noWrap/>
            <w:vAlign w:val="center"/>
          </w:tcPr>
          <w:p w14:paraId="3F69189A">
            <w:pPr>
              <w:jc w:val="left"/>
              <w:rPr>
                <w:rFonts w:ascii="宋体" w:hAnsi="宋体"/>
                <w:color w:val="auto"/>
                <w:szCs w:val="21"/>
              </w:rPr>
            </w:pPr>
          </w:p>
        </w:tc>
        <w:tc>
          <w:tcPr>
            <w:tcW w:w="6938" w:type="dxa"/>
            <w:gridSpan w:val="2"/>
            <w:noWrap/>
            <w:vAlign w:val="center"/>
          </w:tcPr>
          <w:p w14:paraId="35A7B7A5">
            <w:pPr>
              <w:jc w:val="left"/>
              <w:rPr>
                <w:rFonts w:ascii="宋体" w:hAnsi="宋体"/>
                <w:color w:val="auto"/>
                <w:szCs w:val="21"/>
              </w:rPr>
            </w:pPr>
            <w:r>
              <w:rPr>
                <w:rFonts w:hint="eastAsia" w:ascii="宋体" w:hAnsi="宋体"/>
                <w:color w:val="auto"/>
                <w:szCs w:val="21"/>
              </w:rPr>
              <w:t xml:space="preserve"> 点击某一个医嘱单可进入查看医嘱详情，包括患者信息：护理等级、药物过敏、饮食等；医嘱信息：医嘱类型、开立医生和时间；医嘱内容：医嘱类型、具体内容、剂量、频次等。</w:t>
            </w:r>
          </w:p>
        </w:tc>
        <w:tc>
          <w:tcPr>
            <w:tcW w:w="709" w:type="dxa"/>
            <w:vMerge w:val="continue"/>
            <w:noWrap/>
            <w:vAlign w:val="center"/>
          </w:tcPr>
          <w:p w14:paraId="611E941B">
            <w:pPr>
              <w:jc w:val="left"/>
              <w:rPr>
                <w:rFonts w:ascii="宋体" w:hAnsi="宋体"/>
                <w:color w:val="auto"/>
                <w:szCs w:val="21"/>
              </w:rPr>
            </w:pPr>
          </w:p>
        </w:tc>
      </w:tr>
      <w:tr w14:paraId="2DC3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65E684B">
            <w:pPr>
              <w:jc w:val="left"/>
              <w:rPr>
                <w:rFonts w:ascii="宋体" w:hAnsi="宋体"/>
                <w:color w:val="auto"/>
                <w:szCs w:val="21"/>
              </w:rPr>
            </w:pPr>
          </w:p>
        </w:tc>
        <w:tc>
          <w:tcPr>
            <w:tcW w:w="565" w:type="dxa"/>
            <w:gridSpan w:val="2"/>
            <w:vMerge w:val="continue"/>
            <w:noWrap/>
            <w:vAlign w:val="center"/>
          </w:tcPr>
          <w:p w14:paraId="75BC0E08">
            <w:pPr>
              <w:jc w:val="left"/>
              <w:rPr>
                <w:rFonts w:ascii="宋体" w:hAnsi="宋体"/>
                <w:color w:val="auto"/>
                <w:szCs w:val="21"/>
              </w:rPr>
            </w:pPr>
          </w:p>
        </w:tc>
        <w:tc>
          <w:tcPr>
            <w:tcW w:w="697" w:type="dxa"/>
            <w:vMerge w:val="continue"/>
            <w:noWrap/>
            <w:vAlign w:val="center"/>
          </w:tcPr>
          <w:p w14:paraId="3E2C6FA0">
            <w:pPr>
              <w:jc w:val="left"/>
              <w:rPr>
                <w:rFonts w:ascii="宋体" w:hAnsi="宋体"/>
                <w:color w:val="auto"/>
                <w:szCs w:val="21"/>
              </w:rPr>
            </w:pPr>
          </w:p>
        </w:tc>
        <w:tc>
          <w:tcPr>
            <w:tcW w:w="6938" w:type="dxa"/>
            <w:gridSpan w:val="2"/>
            <w:noWrap/>
            <w:vAlign w:val="center"/>
          </w:tcPr>
          <w:p w14:paraId="7D6E260C">
            <w:pPr>
              <w:jc w:val="left"/>
              <w:rPr>
                <w:rFonts w:ascii="宋体" w:hAnsi="宋体"/>
                <w:color w:val="auto"/>
                <w:szCs w:val="21"/>
              </w:rPr>
            </w:pPr>
            <w:r>
              <w:rPr>
                <w:rFonts w:hint="eastAsia" w:ascii="宋体" w:hAnsi="宋体"/>
                <w:color w:val="auto"/>
                <w:szCs w:val="21"/>
              </w:rPr>
              <w:t xml:space="preserve"> 临时医嘱增加延续显示功能。</w:t>
            </w:r>
          </w:p>
        </w:tc>
        <w:tc>
          <w:tcPr>
            <w:tcW w:w="709" w:type="dxa"/>
            <w:vMerge w:val="continue"/>
            <w:noWrap/>
            <w:vAlign w:val="center"/>
          </w:tcPr>
          <w:p w14:paraId="36F7AAE6">
            <w:pPr>
              <w:jc w:val="left"/>
              <w:rPr>
                <w:rFonts w:ascii="宋体" w:hAnsi="宋体"/>
                <w:color w:val="auto"/>
                <w:szCs w:val="21"/>
              </w:rPr>
            </w:pPr>
          </w:p>
        </w:tc>
      </w:tr>
      <w:tr w14:paraId="3899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92179E0">
            <w:pPr>
              <w:jc w:val="left"/>
              <w:rPr>
                <w:rFonts w:ascii="宋体" w:hAnsi="宋体"/>
                <w:color w:val="auto"/>
                <w:szCs w:val="21"/>
              </w:rPr>
            </w:pPr>
          </w:p>
        </w:tc>
        <w:tc>
          <w:tcPr>
            <w:tcW w:w="565" w:type="dxa"/>
            <w:gridSpan w:val="2"/>
            <w:vMerge w:val="restart"/>
            <w:noWrap/>
            <w:vAlign w:val="center"/>
          </w:tcPr>
          <w:p w14:paraId="74CB4EA3">
            <w:pPr>
              <w:jc w:val="left"/>
              <w:rPr>
                <w:rFonts w:ascii="宋体" w:hAnsi="宋体"/>
                <w:color w:val="auto"/>
                <w:szCs w:val="21"/>
              </w:rPr>
            </w:pPr>
            <w:r>
              <w:rPr>
                <w:rFonts w:hint="eastAsia" w:ascii="宋体" w:hAnsi="宋体"/>
                <w:color w:val="auto"/>
                <w:szCs w:val="21"/>
              </w:rPr>
              <w:t>输液医嘱执行闭环</w:t>
            </w:r>
          </w:p>
        </w:tc>
        <w:tc>
          <w:tcPr>
            <w:tcW w:w="697" w:type="dxa"/>
            <w:noWrap/>
            <w:vAlign w:val="center"/>
          </w:tcPr>
          <w:p w14:paraId="437C276D">
            <w:pPr>
              <w:jc w:val="left"/>
              <w:rPr>
                <w:rFonts w:ascii="宋体" w:hAnsi="宋体"/>
                <w:color w:val="auto"/>
                <w:szCs w:val="21"/>
              </w:rPr>
            </w:pPr>
            <w:r>
              <w:rPr>
                <w:rFonts w:hint="eastAsia" w:ascii="宋体" w:hAnsi="宋体"/>
                <w:color w:val="auto"/>
                <w:szCs w:val="21"/>
              </w:rPr>
              <w:t>收药核对</w:t>
            </w:r>
          </w:p>
        </w:tc>
        <w:tc>
          <w:tcPr>
            <w:tcW w:w="6938" w:type="dxa"/>
            <w:gridSpan w:val="2"/>
            <w:noWrap/>
            <w:vAlign w:val="center"/>
          </w:tcPr>
          <w:p w14:paraId="234F0B49">
            <w:pPr>
              <w:jc w:val="left"/>
              <w:rPr>
                <w:rFonts w:ascii="宋体" w:hAnsi="宋体"/>
                <w:color w:val="auto"/>
                <w:szCs w:val="21"/>
              </w:rPr>
            </w:pPr>
            <w:r>
              <w:rPr>
                <w:rFonts w:hint="eastAsia" w:ascii="宋体" w:hAnsi="宋体"/>
                <w:color w:val="auto"/>
                <w:szCs w:val="21"/>
              </w:rPr>
              <w:t xml:space="preserve"> 可对来自静配的输液药品核对并收药。</w:t>
            </w:r>
          </w:p>
        </w:tc>
        <w:tc>
          <w:tcPr>
            <w:tcW w:w="709" w:type="dxa"/>
            <w:vMerge w:val="continue"/>
            <w:noWrap/>
            <w:vAlign w:val="center"/>
          </w:tcPr>
          <w:p w14:paraId="69674379">
            <w:pPr>
              <w:jc w:val="left"/>
              <w:rPr>
                <w:rFonts w:ascii="宋体" w:hAnsi="宋体"/>
                <w:color w:val="auto"/>
                <w:szCs w:val="21"/>
              </w:rPr>
            </w:pPr>
          </w:p>
        </w:tc>
      </w:tr>
      <w:tr w14:paraId="3EC8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61F7748">
            <w:pPr>
              <w:jc w:val="left"/>
              <w:rPr>
                <w:rFonts w:ascii="宋体" w:hAnsi="宋体"/>
                <w:color w:val="auto"/>
                <w:szCs w:val="21"/>
              </w:rPr>
            </w:pPr>
          </w:p>
        </w:tc>
        <w:tc>
          <w:tcPr>
            <w:tcW w:w="565" w:type="dxa"/>
            <w:gridSpan w:val="2"/>
            <w:vMerge w:val="continue"/>
            <w:noWrap/>
            <w:vAlign w:val="center"/>
          </w:tcPr>
          <w:p w14:paraId="0E249F27">
            <w:pPr>
              <w:jc w:val="left"/>
              <w:rPr>
                <w:rFonts w:ascii="宋体" w:hAnsi="宋体"/>
                <w:color w:val="auto"/>
                <w:szCs w:val="21"/>
              </w:rPr>
            </w:pPr>
          </w:p>
        </w:tc>
        <w:tc>
          <w:tcPr>
            <w:tcW w:w="697" w:type="dxa"/>
            <w:noWrap/>
            <w:vAlign w:val="center"/>
          </w:tcPr>
          <w:p w14:paraId="4DF6AA0B">
            <w:pPr>
              <w:jc w:val="left"/>
              <w:rPr>
                <w:rFonts w:ascii="宋体" w:hAnsi="宋体"/>
                <w:color w:val="auto"/>
                <w:szCs w:val="21"/>
              </w:rPr>
            </w:pPr>
            <w:r>
              <w:rPr>
                <w:rFonts w:hint="eastAsia" w:ascii="宋体" w:hAnsi="宋体"/>
                <w:color w:val="auto"/>
                <w:szCs w:val="21"/>
              </w:rPr>
              <w:t>备药扫描</w:t>
            </w:r>
          </w:p>
        </w:tc>
        <w:tc>
          <w:tcPr>
            <w:tcW w:w="6938" w:type="dxa"/>
            <w:gridSpan w:val="2"/>
            <w:noWrap/>
            <w:vAlign w:val="center"/>
          </w:tcPr>
          <w:p w14:paraId="1065E144">
            <w:pPr>
              <w:jc w:val="left"/>
              <w:rPr>
                <w:rFonts w:ascii="宋体" w:hAnsi="宋体"/>
                <w:color w:val="auto"/>
                <w:szCs w:val="21"/>
              </w:rPr>
            </w:pPr>
            <w:r>
              <w:rPr>
                <w:rFonts w:hint="eastAsia" w:ascii="宋体" w:hAnsi="宋体"/>
                <w:color w:val="auto"/>
                <w:szCs w:val="21"/>
              </w:rPr>
              <w:t xml:space="preserve"> 可对自配输液药品进行备药扫描。</w:t>
            </w:r>
          </w:p>
        </w:tc>
        <w:tc>
          <w:tcPr>
            <w:tcW w:w="709" w:type="dxa"/>
            <w:vMerge w:val="continue"/>
            <w:noWrap/>
            <w:vAlign w:val="center"/>
          </w:tcPr>
          <w:p w14:paraId="1625DB3F">
            <w:pPr>
              <w:jc w:val="left"/>
              <w:rPr>
                <w:rFonts w:ascii="宋体" w:hAnsi="宋体"/>
                <w:color w:val="auto"/>
                <w:szCs w:val="21"/>
              </w:rPr>
            </w:pPr>
          </w:p>
        </w:tc>
      </w:tr>
      <w:tr w14:paraId="7041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EC1BB5C">
            <w:pPr>
              <w:jc w:val="left"/>
              <w:rPr>
                <w:rFonts w:ascii="宋体" w:hAnsi="宋体"/>
                <w:color w:val="auto"/>
                <w:szCs w:val="21"/>
              </w:rPr>
            </w:pPr>
          </w:p>
        </w:tc>
        <w:tc>
          <w:tcPr>
            <w:tcW w:w="565" w:type="dxa"/>
            <w:gridSpan w:val="2"/>
            <w:vMerge w:val="continue"/>
            <w:noWrap/>
            <w:vAlign w:val="center"/>
          </w:tcPr>
          <w:p w14:paraId="7F743BCB">
            <w:pPr>
              <w:jc w:val="left"/>
              <w:rPr>
                <w:rFonts w:ascii="宋体" w:hAnsi="宋体"/>
                <w:color w:val="auto"/>
                <w:szCs w:val="21"/>
              </w:rPr>
            </w:pPr>
          </w:p>
        </w:tc>
        <w:tc>
          <w:tcPr>
            <w:tcW w:w="697" w:type="dxa"/>
            <w:noWrap/>
            <w:vAlign w:val="center"/>
          </w:tcPr>
          <w:p w14:paraId="6AB281EE">
            <w:pPr>
              <w:jc w:val="center"/>
              <w:rPr>
                <w:rFonts w:ascii="宋体" w:hAnsi="宋体"/>
                <w:color w:val="auto"/>
                <w:szCs w:val="21"/>
              </w:rPr>
            </w:pPr>
            <w:r>
              <w:rPr>
                <w:rFonts w:hint="eastAsia" w:ascii="宋体" w:hAnsi="宋体"/>
                <w:color w:val="auto"/>
                <w:szCs w:val="21"/>
              </w:rPr>
              <w:t>备药审核</w:t>
            </w:r>
          </w:p>
        </w:tc>
        <w:tc>
          <w:tcPr>
            <w:tcW w:w="6938" w:type="dxa"/>
            <w:gridSpan w:val="2"/>
            <w:noWrap/>
            <w:vAlign w:val="center"/>
          </w:tcPr>
          <w:p w14:paraId="239F722C">
            <w:pPr>
              <w:jc w:val="left"/>
              <w:rPr>
                <w:rFonts w:ascii="宋体" w:hAnsi="宋体"/>
                <w:color w:val="auto"/>
                <w:szCs w:val="21"/>
              </w:rPr>
            </w:pPr>
            <w:r>
              <w:rPr>
                <w:rFonts w:hint="eastAsia" w:ascii="宋体" w:hAnsi="宋体"/>
                <w:color w:val="auto"/>
                <w:szCs w:val="21"/>
              </w:rPr>
              <w:t xml:space="preserve"> 当医院管理中要求双人复核备药，可进行备药药品扫描审核。</w:t>
            </w:r>
          </w:p>
        </w:tc>
        <w:tc>
          <w:tcPr>
            <w:tcW w:w="709" w:type="dxa"/>
            <w:vMerge w:val="continue"/>
            <w:noWrap/>
            <w:vAlign w:val="center"/>
          </w:tcPr>
          <w:p w14:paraId="1A682375">
            <w:pPr>
              <w:jc w:val="left"/>
              <w:rPr>
                <w:rFonts w:ascii="宋体" w:hAnsi="宋体"/>
                <w:color w:val="auto"/>
                <w:szCs w:val="21"/>
              </w:rPr>
            </w:pPr>
          </w:p>
        </w:tc>
      </w:tr>
      <w:tr w14:paraId="7CD3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5E82338">
            <w:pPr>
              <w:jc w:val="left"/>
              <w:rPr>
                <w:rFonts w:ascii="宋体" w:hAnsi="宋体"/>
                <w:color w:val="auto"/>
                <w:szCs w:val="21"/>
              </w:rPr>
            </w:pPr>
          </w:p>
        </w:tc>
        <w:tc>
          <w:tcPr>
            <w:tcW w:w="565" w:type="dxa"/>
            <w:gridSpan w:val="2"/>
            <w:vMerge w:val="continue"/>
            <w:noWrap/>
            <w:vAlign w:val="center"/>
          </w:tcPr>
          <w:p w14:paraId="638A9BA6">
            <w:pPr>
              <w:jc w:val="left"/>
              <w:rPr>
                <w:rFonts w:ascii="宋体" w:hAnsi="宋体"/>
                <w:color w:val="auto"/>
                <w:szCs w:val="21"/>
              </w:rPr>
            </w:pPr>
          </w:p>
        </w:tc>
        <w:tc>
          <w:tcPr>
            <w:tcW w:w="697" w:type="dxa"/>
            <w:noWrap/>
            <w:vAlign w:val="center"/>
          </w:tcPr>
          <w:p w14:paraId="4C9F13F7">
            <w:pPr>
              <w:jc w:val="center"/>
              <w:rPr>
                <w:rFonts w:ascii="宋体" w:hAnsi="宋体"/>
                <w:color w:val="auto"/>
                <w:szCs w:val="21"/>
              </w:rPr>
            </w:pPr>
            <w:r>
              <w:rPr>
                <w:rFonts w:hint="eastAsia" w:ascii="宋体" w:hAnsi="宋体"/>
                <w:color w:val="auto"/>
                <w:szCs w:val="21"/>
              </w:rPr>
              <w:t>配药扫描</w:t>
            </w:r>
          </w:p>
        </w:tc>
        <w:tc>
          <w:tcPr>
            <w:tcW w:w="6938" w:type="dxa"/>
            <w:gridSpan w:val="2"/>
            <w:noWrap/>
            <w:vAlign w:val="center"/>
          </w:tcPr>
          <w:p w14:paraId="4E5A9015">
            <w:pPr>
              <w:jc w:val="left"/>
              <w:rPr>
                <w:rFonts w:ascii="宋体" w:hAnsi="宋体"/>
                <w:color w:val="auto"/>
                <w:szCs w:val="21"/>
              </w:rPr>
            </w:pPr>
            <w:r>
              <w:rPr>
                <w:rFonts w:hint="eastAsia" w:ascii="宋体" w:hAnsi="宋体"/>
                <w:color w:val="auto"/>
                <w:szCs w:val="21"/>
              </w:rPr>
              <w:t xml:space="preserve"> 可对自配输液药品进行配药扫描。</w:t>
            </w:r>
          </w:p>
        </w:tc>
        <w:tc>
          <w:tcPr>
            <w:tcW w:w="709" w:type="dxa"/>
            <w:vMerge w:val="continue"/>
            <w:noWrap/>
            <w:vAlign w:val="center"/>
          </w:tcPr>
          <w:p w14:paraId="280B490D">
            <w:pPr>
              <w:jc w:val="left"/>
              <w:rPr>
                <w:rFonts w:ascii="宋体" w:hAnsi="宋体"/>
                <w:color w:val="auto"/>
                <w:szCs w:val="21"/>
              </w:rPr>
            </w:pPr>
          </w:p>
        </w:tc>
      </w:tr>
      <w:tr w14:paraId="5F4A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18AA7C6">
            <w:pPr>
              <w:jc w:val="left"/>
              <w:rPr>
                <w:rFonts w:ascii="宋体" w:hAnsi="宋体"/>
                <w:color w:val="auto"/>
                <w:szCs w:val="21"/>
              </w:rPr>
            </w:pPr>
          </w:p>
        </w:tc>
        <w:tc>
          <w:tcPr>
            <w:tcW w:w="565" w:type="dxa"/>
            <w:gridSpan w:val="2"/>
            <w:vMerge w:val="continue"/>
            <w:noWrap/>
            <w:vAlign w:val="center"/>
          </w:tcPr>
          <w:p w14:paraId="5AA17441">
            <w:pPr>
              <w:jc w:val="left"/>
              <w:rPr>
                <w:rFonts w:ascii="宋体" w:hAnsi="宋体"/>
                <w:color w:val="auto"/>
                <w:szCs w:val="21"/>
              </w:rPr>
            </w:pPr>
          </w:p>
        </w:tc>
        <w:tc>
          <w:tcPr>
            <w:tcW w:w="697" w:type="dxa"/>
            <w:noWrap/>
            <w:vAlign w:val="center"/>
          </w:tcPr>
          <w:p w14:paraId="19F6D1A7">
            <w:pPr>
              <w:jc w:val="center"/>
              <w:rPr>
                <w:rFonts w:ascii="宋体" w:hAnsi="宋体"/>
                <w:color w:val="auto"/>
                <w:szCs w:val="21"/>
              </w:rPr>
            </w:pPr>
            <w:r>
              <w:rPr>
                <w:rFonts w:hint="eastAsia" w:ascii="宋体" w:hAnsi="宋体"/>
                <w:color w:val="auto"/>
                <w:szCs w:val="21"/>
              </w:rPr>
              <w:t>配药审核</w:t>
            </w:r>
          </w:p>
        </w:tc>
        <w:tc>
          <w:tcPr>
            <w:tcW w:w="6938" w:type="dxa"/>
            <w:gridSpan w:val="2"/>
            <w:noWrap/>
            <w:vAlign w:val="center"/>
          </w:tcPr>
          <w:p w14:paraId="5A4193E0">
            <w:pPr>
              <w:jc w:val="left"/>
              <w:rPr>
                <w:rFonts w:ascii="宋体" w:hAnsi="宋体"/>
                <w:color w:val="auto"/>
                <w:szCs w:val="21"/>
              </w:rPr>
            </w:pPr>
            <w:r>
              <w:rPr>
                <w:rFonts w:hint="eastAsia" w:ascii="宋体" w:hAnsi="宋体"/>
                <w:color w:val="auto"/>
                <w:szCs w:val="21"/>
              </w:rPr>
              <w:t xml:space="preserve"> 当医院管理中要求双人复核配药，可进行配药药品扫描审核。</w:t>
            </w:r>
          </w:p>
        </w:tc>
        <w:tc>
          <w:tcPr>
            <w:tcW w:w="709" w:type="dxa"/>
            <w:vMerge w:val="continue"/>
            <w:noWrap/>
            <w:vAlign w:val="center"/>
          </w:tcPr>
          <w:p w14:paraId="1095317A">
            <w:pPr>
              <w:jc w:val="left"/>
              <w:rPr>
                <w:rFonts w:ascii="宋体" w:hAnsi="宋体"/>
                <w:color w:val="auto"/>
                <w:szCs w:val="21"/>
              </w:rPr>
            </w:pPr>
          </w:p>
        </w:tc>
      </w:tr>
      <w:tr w14:paraId="099E0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271" w:hRule="atLeast"/>
        </w:trPr>
        <w:tc>
          <w:tcPr>
            <w:tcW w:w="731" w:type="dxa"/>
            <w:vMerge w:val="continue"/>
            <w:noWrap/>
            <w:vAlign w:val="center"/>
          </w:tcPr>
          <w:p w14:paraId="53EEFEB9">
            <w:pPr>
              <w:jc w:val="left"/>
              <w:rPr>
                <w:rFonts w:ascii="宋体" w:hAnsi="宋体"/>
                <w:color w:val="auto"/>
                <w:szCs w:val="21"/>
              </w:rPr>
            </w:pPr>
          </w:p>
        </w:tc>
        <w:tc>
          <w:tcPr>
            <w:tcW w:w="565" w:type="dxa"/>
            <w:gridSpan w:val="2"/>
            <w:vMerge w:val="continue"/>
            <w:noWrap/>
            <w:vAlign w:val="center"/>
          </w:tcPr>
          <w:p w14:paraId="0A24337F">
            <w:pPr>
              <w:jc w:val="left"/>
              <w:rPr>
                <w:rFonts w:ascii="宋体" w:hAnsi="宋体"/>
                <w:color w:val="auto"/>
                <w:szCs w:val="21"/>
              </w:rPr>
            </w:pPr>
          </w:p>
        </w:tc>
        <w:tc>
          <w:tcPr>
            <w:tcW w:w="697" w:type="dxa"/>
            <w:noWrap/>
            <w:vAlign w:val="center"/>
          </w:tcPr>
          <w:p w14:paraId="104F7BB3">
            <w:pPr>
              <w:jc w:val="center"/>
              <w:rPr>
                <w:rFonts w:ascii="宋体" w:hAnsi="宋体"/>
                <w:color w:val="auto"/>
                <w:szCs w:val="21"/>
              </w:rPr>
            </w:pPr>
            <w:r>
              <w:rPr>
                <w:rFonts w:hint="eastAsia" w:ascii="宋体" w:hAnsi="宋体"/>
                <w:color w:val="auto"/>
                <w:szCs w:val="21"/>
              </w:rPr>
              <w:t>输液执行</w:t>
            </w:r>
          </w:p>
        </w:tc>
        <w:tc>
          <w:tcPr>
            <w:tcW w:w="6938" w:type="dxa"/>
            <w:gridSpan w:val="2"/>
            <w:noWrap/>
            <w:vAlign w:val="center"/>
          </w:tcPr>
          <w:p w14:paraId="741FBD2E">
            <w:pPr>
              <w:jc w:val="left"/>
              <w:rPr>
                <w:rFonts w:ascii="宋体" w:hAnsi="宋体"/>
                <w:color w:val="auto"/>
                <w:szCs w:val="21"/>
              </w:rPr>
            </w:pPr>
            <w:r>
              <w:rPr>
                <w:rFonts w:hint="eastAsia" w:ascii="宋体" w:hAnsi="宋体"/>
                <w:color w:val="auto"/>
                <w:szCs w:val="21"/>
              </w:rPr>
              <w:t xml:space="preserve"> 扫描药品条码，再扫描患者腕带，匹配成功即可执行对应输液医嘱。若执行高危特殊药品时，实现双人核对。若患者与医嘱不匹配时，界面将会有强提示，避免用药错误。若提早/超过一定时间范围执行医嘱或执行的医嘱已被停止，界面将会有提示。实现执行双路输液、接瓶、拔针操作。对滴速有要求的药品在界面会有提示。</w:t>
            </w:r>
          </w:p>
        </w:tc>
        <w:tc>
          <w:tcPr>
            <w:tcW w:w="709" w:type="dxa"/>
            <w:vMerge w:val="continue"/>
            <w:noWrap/>
            <w:vAlign w:val="center"/>
          </w:tcPr>
          <w:p w14:paraId="533B135C">
            <w:pPr>
              <w:jc w:val="left"/>
              <w:rPr>
                <w:rFonts w:ascii="宋体" w:hAnsi="宋体"/>
                <w:color w:val="auto"/>
                <w:szCs w:val="21"/>
              </w:rPr>
            </w:pPr>
          </w:p>
        </w:tc>
      </w:tr>
      <w:tr w14:paraId="0F69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760" w:hRule="atLeast"/>
        </w:trPr>
        <w:tc>
          <w:tcPr>
            <w:tcW w:w="731" w:type="dxa"/>
            <w:vMerge w:val="continue"/>
            <w:noWrap/>
            <w:vAlign w:val="center"/>
          </w:tcPr>
          <w:p w14:paraId="277E4AD3">
            <w:pPr>
              <w:jc w:val="left"/>
              <w:rPr>
                <w:rFonts w:ascii="宋体" w:hAnsi="宋体"/>
                <w:color w:val="auto"/>
                <w:szCs w:val="21"/>
              </w:rPr>
            </w:pPr>
          </w:p>
        </w:tc>
        <w:tc>
          <w:tcPr>
            <w:tcW w:w="565" w:type="dxa"/>
            <w:gridSpan w:val="2"/>
            <w:vMerge w:val="continue"/>
            <w:noWrap/>
            <w:vAlign w:val="center"/>
          </w:tcPr>
          <w:p w14:paraId="14685E62">
            <w:pPr>
              <w:jc w:val="left"/>
              <w:rPr>
                <w:rFonts w:ascii="宋体" w:hAnsi="宋体"/>
                <w:color w:val="auto"/>
                <w:szCs w:val="21"/>
              </w:rPr>
            </w:pPr>
          </w:p>
        </w:tc>
        <w:tc>
          <w:tcPr>
            <w:tcW w:w="697" w:type="dxa"/>
            <w:noWrap/>
            <w:vAlign w:val="center"/>
          </w:tcPr>
          <w:p w14:paraId="5E7DC8B5">
            <w:pPr>
              <w:jc w:val="center"/>
              <w:rPr>
                <w:rFonts w:ascii="宋体" w:hAnsi="宋体"/>
                <w:color w:val="auto"/>
                <w:szCs w:val="21"/>
              </w:rPr>
            </w:pPr>
            <w:r>
              <w:rPr>
                <w:rFonts w:hint="eastAsia" w:ascii="宋体" w:hAnsi="宋体"/>
                <w:color w:val="auto"/>
                <w:szCs w:val="21"/>
              </w:rPr>
              <w:t>输液巡视</w:t>
            </w:r>
          </w:p>
        </w:tc>
        <w:tc>
          <w:tcPr>
            <w:tcW w:w="6938" w:type="dxa"/>
            <w:gridSpan w:val="2"/>
            <w:noWrap/>
            <w:vAlign w:val="center"/>
          </w:tcPr>
          <w:p w14:paraId="43C5CD87">
            <w:pPr>
              <w:jc w:val="left"/>
              <w:rPr>
                <w:rFonts w:ascii="宋体" w:hAnsi="宋体"/>
                <w:color w:val="auto"/>
                <w:szCs w:val="21"/>
              </w:rPr>
            </w:pPr>
            <w:r>
              <w:rPr>
                <w:rFonts w:hint="eastAsia" w:ascii="宋体" w:hAnsi="宋体"/>
                <w:color w:val="auto"/>
                <w:szCs w:val="21"/>
              </w:rPr>
              <w:t xml:space="preserve"> 可总览查看病区内所有输液中患者的巡视情况，点击任一患者可查看该患者对应输液医嘱的执行及巡视记录。扫描处于输液中的医嘱条码，可自动跳转至输液巡视界面，自动弹出巡视信息填写框。对于输液中出现特殊情况的患者，可暂停或终止其输液流程，并填写原因。（原因可根据医院常出现的情况维护成选项，供护士快速选择）对于暂停的输液流程，可通过再次扫描医嘱条码恢复执行。</w:t>
            </w:r>
          </w:p>
        </w:tc>
        <w:tc>
          <w:tcPr>
            <w:tcW w:w="709" w:type="dxa"/>
            <w:vMerge w:val="continue"/>
            <w:noWrap/>
            <w:vAlign w:val="center"/>
          </w:tcPr>
          <w:p w14:paraId="6DCEE772">
            <w:pPr>
              <w:jc w:val="left"/>
              <w:rPr>
                <w:rFonts w:ascii="宋体" w:hAnsi="宋体"/>
                <w:color w:val="auto"/>
                <w:szCs w:val="21"/>
              </w:rPr>
            </w:pPr>
          </w:p>
        </w:tc>
      </w:tr>
      <w:tr w14:paraId="6F9C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C16BFB0">
            <w:pPr>
              <w:jc w:val="left"/>
              <w:rPr>
                <w:rFonts w:ascii="宋体" w:hAnsi="宋体"/>
                <w:color w:val="auto"/>
                <w:szCs w:val="21"/>
              </w:rPr>
            </w:pPr>
          </w:p>
        </w:tc>
        <w:tc>
          <w:tcPr>
            <w:tcW w:w="565" w:type="dxa"/>
            <w:gridSpan w:val="2"/>
            <w:vMerge w:val="continue"/>
            <w:noWrap/>
            <w:vAlign w:val="center"/>
          </w:tcPr>
          <w:p w14:paraId="2E2B703F">
            <w:pPr>
              <w:jc w:val="left"/>
              <w:rPr>
                <w:rFonts w:ascii="宋体" w:hAnsi="宋体"/>
                <w:color w:val="auto"/>
                <w:szCs w:val="21"/>
              </w:rPr>
            </w:pPr>
          </w:p>
        </w:tc>
        <w:tc>
          <w:tcPr>
            <w:tcW w:w="697" w:type="dxa"/>
            <w:noWrap/>
            <w:vAlign w:val="center"/>
          </w:tcPr>
          <w:p w14:paraId="61CADE6C">
            <w:pPr>
              <w:jc w:val="left"/>
              <w:rPr>
                <w:rFonts w:ascii="宋体" w:hAnsi="宋体"/>
                <w:color w:val="auto"/>
                <w:szCs w:val="21"/>
              </w:rPr>
            </w:pPr>
            <w:r>
              <w:rPr>
                <w:rFonts w:hint="eastAsia" w:ascii="宋体" w:hAnsi="宋体"/>
                <w:color w:val="auto"/>
                <w:szCs w:val="21"/>
              </w:rPr>
              <w:t>输液执行记录查看</w:t>
            </w:r>
          </w:p>
        </w:tc>
        <w:tc>
          <w:tcPr>
            <w:tcW w:w="6938" w:type="dxa"/>
            <w:gridSpan w:val="2"/>
            <w:noWrap/>
            <w:vAlign w:val="center"/>
          </w:tcPr>
          <w:p w14:paraId="61FDA158">
            <w:pPr>
              <w:jc w:val="left"/>
              <w:rPr>
                <w:rFonts w:ascii="宋体" w:hAnsi="宋体"/>
                <w:color w:val="auto"/>
                <w:szCs w:val="21"/>
              </w:rPr>
            </w:pPr>
            <w:r>
              <w:rPr>
                <w:rFonts w:hint="eastAsia" w:ascii="宋体" w:hAnsi="宋体"/>
                <w:color w:val="auto"/>
                <w:szCs w:val="21"/>
              </w:rPr>
              <w:t xml:space="preserve"> 可查看任意时间任一患者的输液医嘱执行全过程记录。</w:t>
            </w:r>
          </w:p>
        </w:tc>
        <w:tc>
          <w:tcPr>
            <w:tcW w:w="709" w:type="dxa"/>
            <w:vMerge w:val="continue"/>
            <w:noWrap/>
            <w:vAlign w:val="center"/>
          </w:tcPr>
          <w:p w14:paraId="79CEE9FB">
            <w:pPr>
              <w:jc w:val="left"/>
              <w:rPr>
                <w:rFonts w:ascii="宋体" w:hAnsi="宋体"/>
                <w:color w:val="auto"/>
                <w:szCs w:val="21"/>
              </w:rPr>
            </w:pPr>
          </w:p>
        </w:tc>
      </w:tr>
      <w:tr w14:paraId="3849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65C675A">
            <w:pPr>
              <w:jc w:val="left"/>
              <w:rPr>
                <w:rFonts w:ascii="宋体" w:hAnsi="宋体"/>
                <w:color w:val="auto"/>
                <w:szCs w:val="21"/>
              </w:rPr>
            </w:pPr>
          </w:p>
        </w:tc>
        <w:tc>
          <w:tcPr>
            <w:tcW w:w="565" w:type="dxa"/>
            <w:gridSpan w:val="2"/>
            <w:vMerge w:val="restart"/>
            <w:noWrap/>
            <w:vAlign w:val="center"/>
          </w:tcPr>
          <w:p w14:paraId="2D60B401">
            <w:pPr>
              <w:jc w:val="left"/>
              <w:rPr>
                <w:rFonts w:ascii="宋体" w:hAnsi="宋体"/>
                <w:color w:val="auto"/>
                <w:szCs w:val="21"/>
              </w:rPr>
            </w:pPr>
            <w:r>
              <w:rPr>
                <w:rFonts w:hint="eastAsia" w:ascii="宋体" w:hAnsi="宋体"/>
                <w:color w:val="auto"/>
                <w:szCs w:val="21"/>
              </w:rPr>
              <w:t>注射医嘱执行闭环</w:t>
            </w:r>
          </w:p>
        </w:tc>
        <w:tc>
          <w:tcPr>
            <w:tcW w:w="697" w:type="dxa"/>
            <w:noWrap/>
            <w:vAlign w:val="center"/>
          </w:tcPr>
          <w:p w14:paraId="5506A2D7">
            <w:pPr>
              <w:jc w:val="left"/>
              <w:rPr>
                <w:rFonts w:ascii="宋体" w:hAnsi="宋体"/>
                <w:color w:val="auto"/>
                <w:szCs w:val="21"/>
              </w:rPr>
            </w:pPr>
            <w:r>
              <w:rPr>
                <w:rFonts w:hint="eastAsia" w:ascii="宋体" w:hAnsi="宋体"/>
                <w:color w:val="auto"/>
                <w:szCs w:val="21"/>
              </w:rPr>
              <w:t>备药扫描</w:t>
            </w:r>
          </w:p>
        </w:tc>
        <w:tc>
          <w:tcPr>
            <w:tcW w:w="6938" w:type="dxa"/>
            <w:gridSpan w:val="2"/>
            <w:noWrap/>
            <w:vAlign w:val="center"/>
          </w:tcPr>
          <w:p w14:paraId="2CDEEF2D">
            <w:pPr>
              <w:jc w:val="left"/>
              <w:rPr>
                <w:rFonts w:ascii="宋体" w:hAnsi="宋体"/>
                <w:color w:val="auto"/>
                <w:szCs w:val="21"/>
              </w:rPr>
            </w:pPr>
            <w:r>
              <w:rPr>
                <w:rFonts w:hint="eastAsia" w:ascii="宋体" w:hAnsi="宋体"/>
                <w:color w:val="auto"/>
                <w:szCs w:val="21"/>
              </w:rPr>
              <w:t xml:space="preserve"> 可对自配注射药品进行备药扫描。</w:t>
            </w:r>
          </w:p>
        </w:tc>
        <w:tc>
          <w:tcPr>
            <w:tcW w:w="709" w:type="dxa"/>
            <w:vMerge w:val="continue"/>
            <w:noWrap/>
            <w:vAlign w:val="center"/>
          </w:tcPr>
          <w:p w14:paraId="128CF711">
            <w:pPr>
              <w:jc w:val="left"/>
              <w:rPr>
                <w:rFonts w:ascii="宋体" w:hAnsi="宋体"/>
                <w:color w:val="auto"/>
                <w:szCs w:val="21"/>
              </w:rPr>
            </w:pPr>
          </w:p>
        </w:tc>
      </w:tr>
      <w:tr w14:paraId="254D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E7F159F">
            <w:pPr>
              <w:jc w:val="left"/>
              <w:rPr>
                <w:rFonts w:ascii="宋体" w:hAnsi="宋体"/>
                <w:color w:val="auto"/>
                <w:szCs w:val="21"/>
              </w:rPr>
            </w:pPr>
          </w:p>
        </w:tc>
        <w:tc>
          <w:tcPr>
            <w:tcW w:w="565" w:type="dxa"/>
            <w:gridSpan w:val="2"/>
            <w:vMerge w:val="continue"/>
            <w:noWrap/>
            <w:vAlign w:val="center"/>
          </w:tcPr>
          <w:p w14:paraId="6DF5D301">
            <w:pPr>
              <w:jc w:val="left"/>
              <w:rPr>
                <w:rFonts w:ascii="宋体" w:hAnsi="宋体"/>
                <w:color w:val="auto"/>
                <w:szCs w:val="21"/>
              </w:rPr>
            </w:pPr>
          </w:p>
        </w:tc>
        <w:tc>
          <w:tcPr>
            <w:tcW w:w="697" w:type="dxa"/>
            <w:noWrap/>
            <w:vAlign w:val="center"/>
          </w:tcPr>
          <w:p w14:paraId="4AA6C097">
            <w:pPr>
              <w:jc w:val="left"/>
              <w:rPr>
                <w:rFonts w:ascii="宋体" w:hAnsi="宋体"/>
                <w:color w:val="auto"/>
                <w:szCs w:val="21"/>
              </w:rPr>
            </w:pPr>
            <w:r>
              <w:rPr>
                <w:rFonts w:hint="eastAsia" w:ascii="宋体" w:hAnsi="宋体"/>
                <w:color w:val="auto"/>
                <w:szCs w:val="21"/>
              </w:rPr>
              <w:t>备药审核</w:t>
            </w:r>
          </w:p>
        </w:tc>
        <w:tc>
          <w:tcPr>
            <w:tcW w:w="6938" w:type="dxa"/>
            <w:gridSpan w:val="2"/>
            <w:noWrap/>
            <w:vAlign w:val="center"/>
          </w:tcPr>
          <w:p w14:paraId="2E653CD0">
            <w:pPr>
              <w:jc w:val="left"/>
              <w:rPr>
                <w:rFonts w:ascii="宋体" w:hAnsi="宋体"/>
                <w:color w:val="auto"/>
                <w:szCs w:val="21"/>
              </w:rPr>
            </w:pPr>
            <w:r>
              <w:rPr>
                <w:rFonts w:hint="eastAsia" w:ascii="宋体" w:hAnsi="宋体"/>
                <w:color w:val="auto"/>
                <w:szCs w:val="21"/>
              </w:rPr>
              <w:t xml:space="preserve"> 当医院管理中要求双人复核备药，可进行备药药品扫描审核。</w:t>
            </w:r>
          </w:p>
        </w:tc>
        <w:tc>
          <w:tcPr>
            <w:tcW w:w="709" w:type="dxa"/>
            <w:vMerge w:val="continue"/>
            <w:noWrap/>
            <w:vAlign w:val="center"/>
          </w:tcPr>
          <w:p w14:paraId="7FA58304">
            <w:pPr>
              <w:jc w:val="left"/>
              <w:rPr>
                <w:rFonts w:ascii="宋体" w:hAnsi="宋体"/>
                <w:color w:val="auto"/>
                <w:szCs w:val="21"/>
              </w:rPr>
            </w:pPr>
          </w:p>
        </w:tc>
      </w:tr>
      <w:tr w14:paraId="2CA7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0565853A">
            <w:pPr>
              <w:jc w:val="left"/>
              <w:rPr>
                <w:rFonts w:ascii="宋体" w:hAnsi="宋体"/>
                <w:color w:val="auto"/>
                <w:szCs w:val="21"/>
              </w:rPr>
            </w:pPr>
          </w:p>
        </w:tc>
        <w:tc>
          <w:tcPr>
            <w:tcW w:w="565" w:type="dxa"/>
            <w:gridSpan w:val="2"/>
            <w:vMerge w:val="continue"/>
            <w:noWrap/>
            <w:vAlign w:val="center"/>
          </w:tcPr>
          <w:p w14:paraId="2A6E005D">
            <w:pPr>
              <w:jc w:val="left"/>
              <w:rPr>
                <w:rFonts w:ascii="宋体" w:hAnsi="宋体"/>
                <w:color w:val="auto"/>
                <w:szCs w:val="21"/>
              </w:rPr>
            </w:pPr>
          </w:p>
        </w:tc>
        <w:tc>
          <w:tcPr>
            <w:tcW w:w="697" w:type="dxa"/>
            <w:noWrap/>
            <w:vAlign w:val="center"/>
          </w:tcPr>
          <w:p w14:paraId="50D0B0B9">
            <w:pPr>
              <w:jc w:val="left"/>
              <w:rPr>
                <w:rFonts w:ascii="宋体" w:hAnsi="宋体"/>
                <w:color w:val="auto"/>
                <w:szCs w:val="21"/>
              </w:rPr>
            </w:pPr>
            <w:r>
              <w:rPr>
                <w:rFonts w:hint="eastAsia" w:ascii="宋体" w:hAnsi="宋体"/>
                <w:color w:val="auto"/>
                <w:szCs w:val="21"/>
              </w:rPr>
              <w:t>配药扫描</w:t>
            </w:r>
          </w:p>
        </w:tc>
        <w:tc>
          <w:tcPr>
            <w:tcW w:w="6938" w:type="dxa"/>
            <w:gridSpan w:val="2"/>
            <w:noWrap/>
            <w:vAlign w:val="center"/>
          </w:tcPr>
          <w:p w14:paraId="086D560C">
            <w:pPr>
              <w:jc w:val="left"/>
              <w:rPr>
                <w:rFonts w:ascii="宋体" w:hAnsi="宋体"/>
                <w:color w:val="auto"/>
                <w:szCs w:val="21"/>
              </w:rPr>
            </w:pPr>
            <w:r>
              <w:rPr>
                <w:rFonts w:hint="eastAsia" w:ascii="宋体" w:hAnsi="宋体"/>
                <w:color w:val="auto"/>
                <w:szCs w:val="21"/>
              </w:rPr>
              <w:t xml:space="preserve"> 可对自配注射药品进行配药扫描。</w:t>
            </w:r>
          </w:p>
        </w:tc>
        <w:tc>
          <w:tcPr>
            <w:tcW w:w="709" w:type="dxa"/>
            <w:vMerge w:val="continue"/>
            <w:noWrap/>
            <w:vAlign w:val="center"/>
          </w:tcPr>
          <w:p w14:paraId="10813152">
            <w:pPr>
              <w:jc w:val="left"/>
              <w:rPr>
                <w:rFonts w:ascii="宋体" w:hAnsi="宋体"/>
                <w:color w:val="auto"/>
                <w:szCs w:val="21"/>
              </w:rPr>
            </w:pPr>
          </w:p>
        </w:tc>
      </w:tr>
      <w:tr w14:paraId="2982E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D7CFA21">
            <w:pPr>
              <w:jc w:val="left"/>
              <w:rPr>
                <w:rFonts w:ascii="宋体" w:hAnsi="宋体"/>
                <w:color w:val="auto"/>
                <w:szCs w:val="21"/>
              </w:rPr>
            </w:pPr>
          </w:p>
        </w:tc>
        <w:tc>
          <w:tcPr>
            <w:tcW w:w="565" w:type="dxa"/>
            <w:gridSpan w:val="2"/>
            <w:vMerge w:val="continue"/>
            <w:noWrap/>
            <w:vAlign w:val="center"/>
          </w:tcPr>
          <w:p w14:paraId="4AF345D4">
            <w:pPr>
              <w:jc w:val="left"/>
              <w:rPr>
                <w:rFonts w:ascii="宋体" w:hAnsi="宋体"/>
                <w:color w:val="auto"/>
                <w:szCs w:val="21"/>
              </w:rPr>
            </w:pPr>
          </w:p>
        </w:tc>
        <w:tc>
          <w:tcPr>
            <w:tcW w:w="697" w:type="dxa"/>
            <w:noWrap/>
            <w:vAlign w:val="center"/>
          </w:tcPr>
          <w:p w14:paraId="2317E89A">
            <w:pPr>
              <w:jc w:val="left"/>
              <w:rPr>
                <w:rFonts w:ascii="宋体" w:hAnsi="宋体"/>
                <w:color w:val="auto"/>
                <w:szCs w:val="21"/>
              </w:rPr>
            </w:pPr>
            <w:r>
              <w:rPr>
                <w:rFonts w:hint="eastAsia" w:ascii="宋体" w:hAnsi="宋体"/>
                <w:color w:val="auto"/>
                <w:szCs w:val="21"/>
              </w:rPr>
              <w:t>配药审核</w:t>
            </w:r>
          </w:p>
        </w:tc>
        <w:tc>
          <w:tcPr>
            <w:tcW w:w="6938" w:type="dxa"/>
            <w:gridSpan w:val="2"/>
            <w:noWrap/>
            <w:vAlign w:val="center"/>
          </w:tcPr>
          <w:p w14:paraId="1D17AA19">
            <w:pPr>
              <w:jc w:val="left"/>
              <w:rPr>
                <w:rFonts w:ascii="宋体" w:hAnsi="宋体"/>
                <w:color w:val="auto"/>
                <w:szCs w:val="21"/>
              </w:rPr>
            </w:pPr>
            <w:r>
              <w:rPr>
                <w:rFonts w:hint="eastAsia" w:ascii="宋体" w:hAnsi="宋体"/>
                <w:color w:val="auto"/>
                <w:szCs w:val="21"/>
              </w:rPr>
              <w:t xml:space="preserve"> 当医院管理中要求双人复核配药，可进行配药药品扫描审核。</w:t>
            </w:r>
          </w:p>
        </w:tc>
        <w:tc>
          <w:tcPr>
            <w:tcW w:w="709" w:type="dxa"/>
            <w:vMerge w:val="continue"/>
            <w:noWrap/>
            <w:vAlign w:val="center"/>
          </w:tcPr>
          <w:p w14:paraId="46FD9F94">
            <w:pPr>
              <w:jc w:val="left"/>
              <w:rPr>
                <w:rFonts w:ascii="宋体" w:hAnsi="宋体"/>
                <w:color w:val="auto"/>
                <w:szCs w:val="21"/>
              </w:rPr>
            </w:pPr>
          </w:p>
        </w:tc>
      </w:tr>
      <w:tr w14:paraId="2853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40EEB039">
            <w:pPr>
              <w:jc w:val="left"/>
              <w:rPr>
                <w:rFonts w:ascii="宋体" w:hAnsi="宋体"/>
                <w:color w:val="auto"/>
                <w:szCs w:val="21"/>
              </w:rPr>
            </w:pPr>
          </w:p>
        </w:tc>
        <w:tc>
          <w:tcPr>
            <w:tcW w:w="565" w:type="dxa"/>
            <w:gridSpan w:val="2"/>
            <w:vMerge w:val="continue"/>
            <w:noWrap/>
            <w:vAlign w:val="center"/>
          </w:tcPr>
          <w:p w14:paraId="33319680">
            <w:pPr>
              <w:jc w:val="left"/>
              <w:rPr>
                <w:rFonts w:ascii="宋体" w:hAnsi="宋体"/>
                <w:color w:val="auto"/>
                <w:szCs w:val="21"/>
              </w:rPr>
            </w:pPr>
          </w:p>
        </w:tc>
        <w:tc>
          <w:tcPr>
            <w:tcW w:w="697" w:type="dxa"/>
            <w:noWrap/>
            <w:vAlign w:val="center"/>
          </w:tcPr>
          <w:p w14:paraId="0D884F68">
            <w:pPr>
              <w:jc w:val="left"/>
              <w:rPr>
                <w:rFonts w:ascii="宋体" w:hAnsi="宋体"/>
                <w:color w:val="auto"/>
                <w:szCs w:val="21"/>
              </w:rPr>
            </w:pPr>
            <w:r>
              <w:rPr>
                <w:rFonts w:hint="eastAsia" w:ascii="宋体" w:hAnsi="宋体"/>
                <w:color w:val="auto"/>
                <w:szCs w:val="21"/>
              </w:rPr>
              <w:t>注射执行</w:t>
            </w:r>
          </w:p>
        </w:tc>
        <w:tc>
          <w:tcPr>
            <w:tcW w:w="6938" w:type="dxa"/>
            <w:gridSpan w:val="2"/>
            <w:noWrap/>
            <w:vAlign w:val="center"/>
          </w:tcPr>
          <w:p w14:paraId="53EFFECE">
            <w:pPr>
              <w:jc w:val="left"/>
              <w:rPr>
                <w:rFonts w:ascii="宋体" w:hAnsi="宋体"/>
                <w:color w:val="auto"/>
                <w:szCs w:val="21"/>
              </w:rPr>
            </w:pPr>
            <w:r>
              <w:rPr>
                <w:rFonts w:hint="eastAsia" w:ascii="宋体" w:hAnsi="宋体"/>
                <w:color w:val="auto"/>
                <w:szCs w:val="21"/>
              </w:rPr>
              <w:t xml:space="preserve"> 扫描药品条码，再扫描患者腕带，匹配成功即可执行对应注射医嘱。若执行高危特殊药品时，实现双人核对。若患者与医嘱不匹配时，界面将会有强提示，避免用药错误。若提早/超过一定时间范围执行医嘱或执行的医嘱已被停止，界面将会有提示。对注射时间有要求的药品在界面会有提示。</w:t>
            </w:r>
          </w:p>
        </w:tc>
        <w:tc>
          <w:tcPr>
            <w:tcW w:w="709" w:type="dxa"/>
            <w:vMerge w:val="continue"/>
            <w:noWrap/>
            <w:vAlign w:val="center"/>
          </w:tcPr>
          <w:p w14:paraId="71D22C06">
            <w:pPr>
              <w:jc w:val="left"/>
              <w:rPr>
                <w:rFonts w:ascii="宋体" w:hAnsi="宋体"/>
                <w:color w:val="auto"/>
                <w:szCs w:val="21"/>
              </w:rPr>
            </w:pPr>
          </w:p>
        </w:tc>
      </w:tr>
      <w:tr w14:paraId="34A9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7B87466">
            <w:pPr>
              <w:jc w:val="left"/>
              <w:rPr>
                <w:rFonts w:ascii="宋体" w:hAnsi="宋体"/>
                <w:color w:val="auto"/>
                <w:szCs w:val="21"/>
              </w:rPr>
            </w:pPr>
          </w:p>
        </w:tc>
        <w:tc>
          <w:tcPr>
            <w:tcW w:w="565" w:type="dxa"/>
            <w:gridSpan w:val="2"/>
            <w:vMerge w:val="continue"/>
            <w:noWrap/>
            <w:vAlign w:val="center"/>
          </w:tcPr>
          <w:p w14:paraId="5F58BCB9">
            <w:pPr>
              <w:jc w:val="left"/>
              <w:rPr>
                <w:rFonts w:ascii="宋体" w:hAnsi="宋体"/>
                <w:color w:val="auto"/>
                <w:szCs w:val="21"/>
              </w:rPr>
            </w:pPr>
          </w:p>
        </w:tc>
        <w:tc>
          <w:tcPr>
            <w:tcW w:w="697" w:type="dxa"/>
            <w:noWrap/>
            <w:vAlign w:val="center"/>
          </w:tcPr>
          <w:p w14:paraId="04FD5010">
            <w:pPr>
              <w:jc w:val="left"/>
              <w:rPr>
                <w:rFonts w:ascii="宋体" w:hAnsi="宋体"/>
                <w:color w:val="auto"/>
                <w:szCs w:val="21"/>
              </w:rPr>
            </w:pPr>
            <w:r>
              <w:rPr>
                <w:rFonts w:hint="eastAsia" w:ascii="宋体" w:hAnsi="宋体"/>
                <w:color w:val="auto"/>
                <w:szCs w:val="21"/>
              </w:rPr>
              <w:t>注射执行记录查看</w:t>
            </w:r>
          </w:p>
        </w:tc>
        <w:tc>
          <w:tcPr>
            <w:tcW w:w="6938" w:type="dxa"/>
            <w:gridSpan w:val="2"/>
            <w:noWrap/>
            <w:vAlign w:val="center"/>
          </w:tcPr>
          <w:p w14:paraId="08842B2D">
            <w:pPr>
              <w:jc w:val="left"/>
              <w:rPr>
                <w:rFonts w:ascii="宋体" w:hAnsi="宋体"/>
                <w:color w:val="auto"/>
                <w:szCs w:val="21"/>
              </w:rPr>
            </w:pPr>
            <w:r>
              <w:rPr>
                <w:rFonts w:hint="eastAsia" w:ascii="宋体" w:hAnsi="宋体"/>
                <w:color w:val="auto"/>
                <w:szCs w:val="21"/>
              </w:rPr>
              <w:t xml:space="preserve"> 可查看任意时间任一患者的注射医嘱执行全过程记录。</w:t>
            </w:r>
          </w:p>
        </w:tc>
        <w:tc>
          <w:tcPr>
            <w:tcW w:w="709" w:type="dxa"/>
            <w:vMerge w:val="continue"/>
            <w:noWrap/>
            <w:vAlign w:val="center"/>
          </w:tcPr>
          <w:p w14:paraId="5238D94D">
            <w:pPr>
              <w:jc w:val="left"/>
              <w:rPr>
                <w:rFonts w:ascii="宋体" w:hAnsi="宋体"/>
                <w:color w:val="auto"/>
                <w:szCs w:val="21"/>
              </w:rPr>
            </w:pPr>
          </w:p>
        </w:tc>
      </w:tr>
      <w:tr w14:paraId="6B13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9E0DA03">
            <w:pPr>
              <w:jc w:val="left"/>
              <w:rPr>
                <w:rFonts w:ascii="宋体" w:hAnsi="宋体"/>
                <w:color w:val="auto"/>
                <w:szCs w:val="21"/>
              </w:rPr>
            </w:pPr>
          </w:p>
        </w:tc>
        <w:tc>
          <w:tcPr>
            <w:tcW w:w="565" w:type="dxa"/>
            <w:gridSpan w:val="2"/>
            <w:vMerge w:val="restart"/>
            <w:noWrap/>
            <w:vAlign w:val="center"/>
          </w:tcPr>
          <w:p w14:paraId="2FA09EDD">
            <w:pPr>
              <w:jc w:val="left"/>
              <w:rPr>
                <w:rFonts w:ascii="宋体" w:hAnsi="宋体"/>
                <w:color w:val="auto"/>
                <w:szCs w:val="21"/>
              </w:rPr>
            </w:pPr>
            <w:r>
              <w:rPr>
                <w:rFonts w:hint="eastAsia" w:ascii="宋体" w:hAnsi="宋体"/>
                <w:color w:val="auto"/>
                <w:szCs w:val="21"/>
              </w:rPr>
              <w:t>口服药医嘱执行闭环</w:t>
            </w:r>
          </w:p>
        </w:tc>
        <w:tc>
          <w:tcPr>
            <w:tcW w:w="697" w:type="dxa"/>
            <w:noWrap/>
            <w:vAlign w:val="center"/>
          </w:tcPr>
          <w:p w14:paraId="18D344A2">
            <w:pPr>
              <w:jc w:val="left"/>
              <w:rPr>
                <w:rFonts w:ascii="宋体" w:hAnsi="宋体"/>
                <w:color w:val="auto"/>
                <w:szCs w:val="21"/>
              </w:rPr>
            </w:pPr>
            <w:r>
              <w:rPr>
                <w:rFonts w:hint="eastAsia" w:ascii="宋体" w:hAnsi="宋体"/>
                <w:color w:val="auto"/>
                <w:szCs w:val="21"/>
              </w:rPr>
              <w:t>收药核对</w:t>
            </w:r>
          </w:p>
        </w:tc>
        <w:tc>
          <w:tcPr>
            <w:tcW w:w="6938" w:type="dxa"/>
            <w:gridSpan w:val="2"/>
            <w:noWrap/>
            <w:vAlign w:val="center"/>
          </w:tcPr>
          <w:p w14:paraId="270C0577">
            <w:pPr>
              <w:jc w:val="left"/>
              <w:rPr>
                <w:rFonts w:ascii="宋体" w:hAnsi="宋体"/>
                <w:color w:val="auto"/>
                <w:szCs w:val="21"/>
              </w:rPr>
            </w:pPr>
            <w:r>
              <w:rPr>
                <w:rFonts w:hint="eastAsia" w:ascii="宋体" w:hAnsi="宋体"/>
                <w:color w:val="auto"/>
                <w:szCs w:val="21"/>
              </w:rPr>
              <w:t xml:space="preserve"> 可对来自包药机的分包药品核对并收药。</w:t>
            </w:r>
          </w:p>
        </w:tc>
        <w:tc>
          <w:tcPr>
            <w:tcW w:w="709" w:type="dxa"/>
            <w:vMerge w:val="continue"/>
            <w:noWrap/>
            <w:vAlign w:val="center"/>
          </w:tcPr>
          <w:p w14:paraId="61F528C9">
            <w:pPr>
              <w:jc w:val="left"/>
              <w:rPr>
                <w:rFonts w:ascii="宋体" w:hAnsi="宋体"/>
                <w:color w:val="auto"/>
                <w:szCs w:val="21"/>
              </w:rPr>
            </w:pPr>
          </w:p>
        </w:tc>
      </w:tr>
      <w:tr w14:paraId="1D19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1F8755CD">
            <w:pPr>
              <w:jc w:val="left"/>
              <w:rPr>
                <w:rFonts w:ascii="宋体" w:hAnsi="宋体"/>
                <w:color w:val="auto"/>
                <w:szCs w:val="21"/>
              </w:rPr>
            </w:pPr>
          </w:p>
        </w:tc>
        <w:tc>
          <w:tcPr>
            <w:tcW w:w="565" w:type="dxa"/>
            <w:gridSpan w:val="2"/>
            <w:vMerge w:val="continue"/>
            <w:noWrap/>
            <w:vAlign w:val="center"/>
          </w:tcPr>
          <w:p w14:paraId="75B1AB31">
            <w:pPr>
              <w:jc w:val="left"/>
              <w:rPr>
                <w:rFonts w:ascii="宋体" w:hAnsi="宋体"/>
                <w:color w:val="auto"/>
                <w:szCs w:val="21"/>
              </w:rPr>
            </w:pPr>
          </w:p>
        </w:tc>
        <w:tc>
          <w:tcPr>
            <w:tcW w:w="697" w:type="dxa"/>
            <w:noWrap/>
            <w:vAlign w:val="center"/>
          </w:tcPr>
          <w:p w14:paraId="547238FF">
            <w:pPr>
              <w:jc w:val="left"/>
              <w:rPr>
                <w:rFonts w:ascii="宋体" w:hAnsi="宋体"/>
                <w:color w:val="auto"/>
                <w:szCs w:val="21"/>
              </w:rPr>
            </w:pPr>
            <w:r>
              <w:rPr>
                <w:rFonts w:hint="eastAsia" w:ascii="宋体" w:hAnsi="宋体"/>
                <w:color w:val="auto"/>
                <w:szCs w:val="21"/>
              </w:rPr>
              <w:t>备药扫描</w:t>
            </w:r>
          </w:p>
        </w:tc>
        <w:tc>
          <w:tcPr>
            <w:tcW w:w="6938" w:type="dxa"/>
            <w:gridSpan w:val="2"/>
            <w:noWrap/>
            <w:vAlign w:val="center"/>
          </w:tcPr>
          <w:p w14:paraId="51A696BE">
            <w:pPr>
              <w:jc w:val="left"/>
              <w:rPr>
                <w:rFonts w:ascii="宋体" w:hAnsi="宋体"/>
                <w:color w:val="auto"/>
                <w:szCs w:val="21"/>
              </w:rPr>
            </w:pPr>
            <w:r>
              <w:rPr>
                <w:rFonts w:hint="eastAsia" w:ascii="宋体" w:hAnsi="宋体"/>
                <w:color w:val="auto"/>
                <w:szCs w:val="21"/>
              </w:rPr>
              <w:t xml:space="preserve"> 可对病区自备的口服药进行备药扫描。</w:t>
            </w:r>
          </w:p>
        </w:tc>
        <w:tc>
          <w:tcPr>
            <w:tcW w:w="709" w:type="dxa"/>
            <w:vMerge w:val="continue"/>
            <w:noWrap/>
            <w:vAlign w:val="center"/>
          </w:tcPr>
          <w:p w14:paraId="72E7C416">
            <w:pPr>
              <w:jc w:val="left"/>
              <w:rPr>
                <w:rFonts w:ascii="宋体" w:hAnsi="宋体"/>
                <w:color w:val="auto"/>
                <w:szCs w:val="21"/>
              </w:rPr>
            </w:pPr>
          </w:p>
        </w:tc>
      </w:tr>
      <w:tr w14:paraId="617A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00275DD">
            <w:pPr>
              <w:jc w:val="left"/>
              <w:rPr>
                <w:rFonts w:ascii="宋体" w:hAnsi="宋体"/>
                <w:color w:val="auto"/>
                <w:szCs w:val="21"/>
              </w:rPr>
            </w:pPr>
          </w:p>
        </w:tc>
        <w:tc>
          <w:tcPr>
            <w:tcW w:w="565" w:type="dxa"/>
            <w:gridSpan w:val="2"/>
            <w:vMerge w:val="continue"/>
            <w:noWrap/>
            <w:vAlign w:val="center"/>
          </w:tcPr>
          <w:p w14:paraId="7B76342C">
            <w:pPr>
              <w:jc w:val="left"/>
              <w:rPr>
                <w:rFonts w:ascii="宋体" w:hAnsi="宋体"/>
                <w:color w:val="auto"/>
                <w:szCs w:val="21"/>
              </w:rPr>
            </w:pPr>
          </w:p>
        </w:tc>
        <w:tc>
          <w:tcPr>
            <w:tcW w:w="697" w:type="dxa"/>
            <w:noWrap/>
            <w:vAlign w:val="center"/>
          </w:tcPr>
          <w:p w14:paraId="2D258B0F">
            <w:pPr>
              <w:jc w:val="left"/>
              <w:rPr>
                <w:rFonts w:ascii="宋体" w:hAnsi="宋体"/>
                <w:color w:val="auto"/>
                <w:szCs w:val="21"/>
              </w:rPr>
            </w:pPr>
            <w:r>
              <w:rPr>
                <w:rFonts w:hint="eastAsia" w:ascii="宋体" w:hAnsi="宋体"/>
                <w:color w:val="auto"/>
                <w:szCs w:val="21"/>
              </w:rPr>
              <w:t>备药审核</w:t>
            </w:r>
          </w:p>
        </w:tc>
        <w:tc>
          <w:tcPr>
            <w:tcW w:w="6938" w:type="dxa"/>
            <w:gridSpan w:val="2"/>
            <w:noWrap/>
            <w:vAlign w:val="center"/>
          </w:tcPr>
          <w:p w14:paraId="51DFC0B7">
            <w:pPr>
              <w:jc w:val="left"/>
              <w:rPr>
                <w:rFonts w:ascii="宋体" w:hAnsi="宋体"/>
                <w:color w:val="auto"/>
                <w:szCs w:val="21"/>
              </w:rPr>
            </w:pPr>
            <w:r>
              <w:rPr>
                <w:rFonts w:hint="eastAsia" w:ascii="宋体" w:hAnsi="宋体"/>
                <w:color w:val="auto"/>
                <w:szCs w:val="21"/>
              </w:rPr>
              <w:t xml:space="preserve"> 当医院管理中要求双人复核备药，可进行备药药品扫描审核。</w:t>
            </w:r>
          </w:p>
        </w:tc>
        <w:tc>
          <w:tcPr>
            <w:tcW w:w="709" w:type="dxa"/>
            <w:vMerge w:val="continue"/>
            <w:noWrap/>
            <w:vAlign w:val="center"/>
          </w:tcPr>
          <w:p w14:paraId="1F609C83">
            <w:pPr>
              <w:jc w:val="left"/>
              <w:rPr>
                <w:rFonts w:ascii="宋体" w:hAnsi="宋体"/>
                <w:color w:val="auto"/>
                <w:szCs w:val="21"/>
              </w:rPr>
            </w:pPr>
          </w:p>
        </w:tc>
      </w:tr>
      <w:tr w14:paraId="1C74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30" w:hRule="atLeast"/>
        </w:trPr>
        <w:tc>
          <w:tcPr>
            <w:tcW w:w="731" w:type="dxa"/>
            <w:vMerge w:val="continue"/>
            <w:noWrap/>
            <w:vAlign w:val="center"/>
          </w:tcPr>
          <w:p w14:paraId="0D7AD099">
            <w:pPr>
              <w:jc w:val="left"/>
              <w:rPr>
                <w:rFonts w:ascii="宋体" w:hAnsi="宋体"/>
                <w:color w:val="auto"/>
                <w:szCs w:val="21"/>
              </w:rPr>
            </w:pPr>
          </w:p>
        </w:tc>
        <w:tc>
          <w:tcPr>
            <w:tcW w:w="565" w:type="dxa"/>
            <w:gridSpan w:val="2"/>
            <w:vMerge w:val="continue"/>
            <w:noWrap/>
            <w:vAlign w:val="center"/>
          </w:tcPr>
          <w:p w14:paraId="3FFCBB49">
            <w:pPr>
              <w:jc w:val="left"/>
              <w:rPr>
                <w:rFonts w:ascii="宋体" w:hAnsi="宋体"/>
                <w:color w:val="auto"/>
                <w:szCs w:val="21"/>
              </w:rPr>
            </w:pPr>
          </w:p>
        </w:tc>
        <w:tc>
          <w:tcPr>
            <w:tcW w:w="697" w:type="dxa"/>
            <w:noWrap/>
            <w:vAlign w:val="center"/>
          </w:tcPr>
          <w:p w14:paraId="10BE8040">
            <w:pPr>
              <w:jc w:val="center"/>
              <w:rPr>
                <w:rFonts w:ascii="宋体" w:hAnsi="宋体"/>
                <w:color w:val="auto"/>
                <w:szCs w:val="21"/>
              </w:rPr>
            </w:pPr>
            <w:r>
              <w:rPr>
                <w:rFonts w:hint="eastAsia" w:ascii="宋体" w:hAnsi="宋体"/>
                <w:color w:val="auto"/>
                <w:szCs w:val="21"/>
              </w:rPr>
              <w:t>用药执行</w:t>
            </w:r>
          </w:p>
        </w:tc>
        <w:tc>
          <w:tcPr>
            <w:tcW w:w="6938" w:type="dxa"/>
            <w:gridSpan w:val="2"/>
            <w:noWrap/>
            <w:vAlign w:val="center"/>
          </w:tcPr>
          <w:p w14:paraId="7195BA8F">
            <w:pPr>
              <w:rPr>
                <w:rFonts w:ascii="宋体" w:hAnsi="宋体"/>
                <w:color w:val="auto"/>
                <w:szCs w:val="21"/>
              </w:rPr>
            </w:pPr>
            <w:r>
              <w:rPr>
                <w:rFonts w:hint="eastAsia" w:ascii="宋体" w:hAnsi="宋体"/>
                <w:color w:val="auto"/>
                <w:szCs w:val="21"/>
              </w:rPr>
              <w:t xml:space="preserve"> 扫描药品条码，再扫描患者腕带，匹配成功即可执行对应口服药医嘱。若执行高危特殊药品时，实现双人核对。若患者与医嘱不匹配时，界面将会有强提示，避免用药错误。若提早/超过一定时间范围执行医嘱或执行的医嘱已被停止，界面将会有提示。</w:t>
            </w:r>
          </w:p>
        </w:tc>
        <w:tc>
          <w:tcPr>
            <w:tcW w:w="709" w:type="dxa"/>
            <w:vMerge w:val="continue"/>
            <w:noWrap/>
            <w:vAlign w:val="center"/>
          </w:tcPr>
          <w:p w14:paraId="27402991">
            <w:pPr>
              <w:jc w:val="left"/>
              <w:rPr>
                <w:rFonts w:ascii="宋体" w:hAnsi="宋体"/>
                <w:color w:val="auto"/>
                <w:szCs w:val="21"/>
              </w:rPr>
            </w:pPr>
          </w:p>
        </w:tc>
      </w:tr>
      <w:tr w14:paraId="5BE4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60FF1905">
            <w:pPr>
              <w:jc w:val="left"/>
              <w:rPr>
                <w:rFonts w:ascii="宋体" w:hAnsi="宋体"/>
                <w:color w:val="auto"/>
                <w:szCs w:val="21"/>
              </w:rPr>
            </w:pPr>
          </w:p>
        </w:tc>
        <w:tc>
          <w:tcPr>
            <w:tcW w:w="565" w:type="dxa"/>
            <w:gridSpan w:val="2"/>
            <w:vMerge w:val="continue"/>
            <w:noWrap/>
            <w:vAlign w:val="center"/>
          </w:tcPr>
          <w:p w14:paraId="2B1AC386">
            <w:pPr>
              <w:jc w:val="left"/>
              <w:rPr>
                <w:rFonts w:ascii="宋体" w:hAnsi="宋体"/>
                <w:color w:val="auto"/>
                <w:szCs w:val="21"/>
              </w:rPr>
            </w:pPr>
          </w:p>
        </w:tc>
        <w:tc>
          <w:tcPr>
            <w:tcW w:w="697" w:type="dxa"/>
            <w:noWrap/>
            <w:vAlign w:val="center"/>
          </w:tcPr>
          <w:p w14:paraId="70CD7A93">
            <w:pPr>
              <w:jc w:val="center"/>
              <w:rPr>
                <w:rFonts w:ascii="宋体" w:hAnsi="宋体"/>
                <w:color w:val="auto"/>
                <w:szCs w:val="21"/>
              </w:rPr>
            </w:pPr>
            <w:r>
              <w:rPr>
                <w:rFonts w:hint="eastAsia" w:ascii="宋体" w:hAnsi="宋体"/>
                <w:color w:val="auto"/>
                <w:szCs w:val="21"/>
              </w:rPr>
              <w:t>口服药执行记录查看</w:t>
            </w:r>
          </w:p>
        </w:tc>
        <w:tc>
          <w:tcPr>
            <w:tcW w:w="6938" w:type="dxa"/>
            <w:gridSpan w:val="2"/>
            <w:noWrap/>
            <w:vAlign w:val="center"/>
          </w:tcPr>
          <w:p w14:paraId="337F5108">
            <w:pPr>
              <w:rPr>
                <w:rFonts w:ascii="宋体" w:hAnsi="宋体"/>
                <w:color w:val="auto"/>
                <w:szCs w:val="21"/>
              </w:rPr>
            </w:pPr>
            <w:r>
              <w:rPr>
                <w:rFonts w:hint="eastAsia" w:ascii="宋体" w:hAnsi="宋体"/>
                <w:color w:val="auto"/>
                <w:szCs w:val="21"/>
              </w:rPr>
              <w:t xml:space="preserve"> 可查看任意时间任一患者的口服药医嘱执行全过程记录。</w:t>
            </w:r>
          </w:p>
        </w:tc>
        <w:tc>
          <w:tcPr>
            <w:tcW w:w="709" w:type="dxa"/>
            <w:vMerge w:val="continue"/>
            <w:noWrap/>
            <w:vAlign w:val="center"/>
          </w:tcPr>
          <w:p w14:paraId="4C140576">
            <w:pPr>
              <w:jc w:val="left"/>
              <w:rPr>
                <w:rFonts w:ascii="宋体" w:hAnsi="宋体"/>
                <w:color w:val="auto"/>
                <w:szCs w:val="21"/>
              </w:rPr>
            </w:pPr>
          </w:p>
        </w:tc>
      </w:tr>
      <w:tr w14:paraId="561C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2E38D05">
            <w:pPr>
              <w:jc w:val="left"/>
              <w:rPr>
                <w:rFonts w:ascii="宋体" w:hAnsi="宋体"/>
                <w:color w:val="auto"/>
                <w:szCs w:val="21"/>
              </w:rPr>
            </w:pPr>
          </w:p>
        </w:tc>
        <w:tc>
          <w:tcPr>
            <w:tcW w:w="565" w:type="dxa"/>
            <w:gridSpan w:val="2"/>
            <w:vMerge w:val="restart"/>
            <w:noWrap/>
            <w:vAlign w:val="center"/>
          </w:tcPr>
          <w:p w14:paraId="0BF69B6C">
            <w:pPr>
              <w:jc w:val="left"/>
              <w:rPr>
                <w:rFonts w:ascii="宋体" w:hAnsi="宋体"/>
                <w:color w:val="auto"/>
                <w:szCs w:val="21"/>
              </w:rPr>
            </w:pPr>
            <w:r>
              <w:rPr>
                <w:rFonts w:hint="eastAsia" w:ascii="宋体" w:hAnsi="宋体"/>
                <w:color w:val="auto"/>
                <w:szCs w:val="21"/>
              </w:rPr>
              <w:t>雾化医嘱执行闭环</w:t>
            </w:r>
          </w:p>
        </w:tc>
        <w:tc>
          <w:tcPr>
            <w:tcW w:w="697" w:type="dxa"/>
            <w:noWrap/>
            <w:vAlign w:val="center"/>
          </w:tcPr>
          <w:p w14:paraId="625A92DB">
            <w:pPr>
              <w:jc w:val="center"/>
              <w:rPr>
                <w:rFonts w:ascii="宋体" w:hAnsi="宋体"/>
                <w:color w:val="auto"/>
                <w:szCs w:val="21"/>
              </w:rPr>
            </w:pPr>
            <w:r>
              <w:rPr>
                <w:rFonts w:hint="eastAsia" w:ascii="宋体" w:hAnsi="宋体"/>
                <w:color w:val="auto"/>
                <w:szCs w:val="21"/>
              </w:rPr>
              <w:t>备药扫描</w:t>
            </w:r>
          </w:p>
        </w:tc>
        <w:tc>
          <w:tcPr>
            <w:tcW w:w="6938" w:type="dxa"/>
            <w:gridSpan w:val="2"/>
            <w:noWrap/>
            <w:vAlign w:val="center"/>
          </w:tcPr>
          <w:p w14:paraId="551168A7">
            <w:pPr>
              <w:rPr>
                <w:rFonts w:ascii="宋体" w:hAnsi="宋体"/>
                <w:color w:val="auto"/>
                <w:szCs w:val="21"/>
              </w:rPr>
            </w:pPr>
            <w:r>
              <w:rPr>
                <w:rFonts w:hint="eastAsia" w:ascii="宋体" w:hAnsi="宋体"/>
                <w:color w:val="auto"/>
                <w:szCs w:val="21"/>
              </w:rPr>
              <w:t xml:space="preserve"> 可对病区自配雾化药品进行备药扫描。</w:t>
            </w:r>
          </w:p>
        </w:tc>
        <w:tc>
          <w:tcPr>
            <w:tcW w:w="709" w:type="dxa"/>
            <w:vMerge w:val="continue"/>
            <w:noWrap/>
            <w:vAlign w:val="center"/>
          </w:tcPr>
          <w:p w14:paraId="29203229">
            <w:pPr>
              <w:jc w:val="left"/>
              <w:rPr>
                <w:rFonts w:ascii="宋体" w:hAnsi="宋体"/>
                <w:color w:val="auto"/>
                <w:szCs w:val="21"/>
              </w:rPr>
            </w:pPr>
          </w:p>
        </w:tc>
      </w:tr>
      <w:tr w14:paraId="09D4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689BAA3E">
            <w:pPr>
              <w:jc w:val="left"/>
              <w:rPr>
                <w:rFonts w:ascii="宋体" w:hAnsi="宋体"/>
                <w:color w:val="auto"/>
                <w:szCs w:val="21"/>
              </w:rPr>
            </w:pPr>
          </w:p>
        </w:tc>
        <w:tc>
          <w:tcPr>
            <w:tcW w:w="565" w:type="dxa"/>
            <w:gridSpan w:val="2"/>
            <w:vMerge w:val="continue"/>
            <w:noWrap/>
            <w:vAlign w:val="center"/>
          </w:tcPr>
          <w:p w14:paraId="3FEF7B21">
            <w:pPr>
              <w:jc w:val="left"/>
              <w:rPr>
                <w:rFonts w:ascii="宋体" w:hAnsi="宋体"/>
                <w:color w:val="auto"/>
                <w:szCs w:val="21"/>
              </w:rPr>
            </w:pPr>
          </w:p>
        </w:tc>
        <w:tc>
          <w:tcPr>
            <w:tcW w:w="697" w:type="dxa"/>
            <w:noWrap/>
            <w:vAlign w:val="center"/>
          </w:tcPr>
          <w:p w14:paraId="73342386">
            <w:pPr>
              <w:jc w:val="center"/>
              <w:rPr>
                <w:rFonts w:ascii="宋体" w:hAnsi="宋体"/>
                <w:color w:val="auto"/>
                <w:szCs w:val="21"/>
              </w:rPr>
            </w:pPr>
            <w:r>
              <w:rPr>
                <w:rFonts w:hint="eastAsia" w:ascii="宋体" w:hAnsi="宋体"/>
                <w:color w:val="auto"/>
                <w:szCs w:val="21"/>
              </w:rPr>
              <w:t>备药审核</w:t>
            </w:r>
          </w:p>
        </w:tc>
        <w:tc>
          <w:tcPr>
            <w:tcW w:w="6938" w:type="dxa"/>
            <w:gridSpan w:val="2"/>
            <w:noWrap/>
            <w:vAlign w:val="center"/>
          </w:tcPr>
          <w:p w14:paraId="1C51D8EA">
            <w:pPr>
              <w:rPr>
                <w:rFonts w:ascii="宋体" w:hAnsi="宋体"/>
                <w:color w:val="auto"/>
                <w:szCs w:val="21"/>
              </w:rPr>
            </w:pPr>
            <w:r>
              <w:rPr>
                <w:rFonts w:hint="eastAsia" w:ascii="宋体" w:hAnsi="宋体"/>
                <w:color w:val="auto"/>
                <w:szCs w:val="21"/>
              </w:rPr>
              <w:t xml:space="preserve"> 当医院管理中要求双人复核备药，可进行备药药品扫描审核。</w:t>
            </w:r>
          </w:p>
        </w:tc>
        <w:tc>
          <w:tcPr>
            <w:tcW w:w="709" w:type="dxa"/>
            <w:vMerge w:val="continue"/>
            <w:noWrap/>
            <w:vAlign w:val="center"/>
          </w:tcPr>
          <w:p w14:paraId="31FE4ACB">
            <w:pPr>
              <w:jc w:val="left"/>
              <w:rPr>
                <w:rFonts w:ascii="宋体" w:hAnsi="宋体"/>
                <w:color w:val="auto"/>
                <w:szCs w:val="21"/>
              </w:rPr>
            </w:pPr>
          </w:p>
        </w:tc>
      </w:tr>
      <w:tr w14:paraId="161D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DE5D337">
            <w:pPr>
              <w:jc w:val="left"/>
              <w:rPr>
                <w:rFonts w:ascii="宋体" w:hAnsi="宋体"/>
                <w:color w:val="auto"/>
                <w:szCs w:val="21"/>
              </w:rPr>
            </w:pPr>
          </w:p>
        </w:tc>
        <w:tc>
          <w:tcPr>
            <w:tcW w:w="565" w:type="dxa"/>
            <w:gridSpan w:val="2"/>
            <w:vMerge w:val="continue"/>
            <w:noWrap/>
            <w:vAlign w:val="center"/>
          </w:tcPr>
          <w:p w14:paraId="68B9F700">
            <w:pPr>
              <w:jc w:val="left"/>
              <w:rPr>
                <w:rFonts w:ascii="宋体" w:hAnsi="宋体"/>
                <w:color w:val="auto"/>
                <w:szCs w:val="21"/>
              </w:rPr>
            </w:pPr>
          </w:p>
        </w:tc>
        <w:tc>
          <w:tcPr>
            <w:tcW w:w="697" w:type="dxa"/>
            <w:noWrap/>
            <w:vAlign w:val="center"/>
          </w:tcPr>
          <w:p w14:paraId="3515B6C7">
            <w:pPr>
              <w:jc w:val="center"/>
              <w:rPr>
                <w:rFonts w:ascii="宋体" w:hAnsi="宋体"/>
                <w:color w:val="auto"/>
                <w:szCs w:val="21"/>
              </w:rPr>
            </w:pPr>
            <w:r>
              <w:rPr>
                <w:rFonts w:hint="eastAsia" w:ascii="宋体" w:hAnsi="宋体"/>
                <w:color w:val="auto"/>
                <w:szCs w:val="21"/>
              </w:rPr>
              <w:t>配药扫描</w:t>
            </w:r>
          </w:p>
        </w:tc>
        <w:tc>
          <w:tcPr>
            <w:tcW w:w="6938" w:type="dxa"/>
            <w:gridSpan w:val="2"/>
            <w:noWrap/>
            <w:vAlign w:val="center"/>
          </w:tcPr>
          <w:p w14:paraId="075931D8">
            <w:pPr>
              <w:rPr>
                <w:rFonts w:ascii="宋体" w:hAnsi="宋体"/>
                <w:color w:val="auto"/>
                <w:szCs w:val="21"/>
              </w:rPr>
            </w:pPr>
            <w:r>
              <w:rPr>
                <w:rFonts w:hint="eastAsia" w:ascii="宋体" w:hAnsi="宋体"/>
                <w:color w:val="auto"/>
                <w:szCs w:val="21"/>
              </w:rPr>
              <w:t xml:space="preserve"> 可对自配雾化药品进行配药扫描。</w:t>
            </w:r>
          </w:p>
        </w:tc>
        <w:tc>
          <w:tcPr>
            <w:tcW w:w="709" w:type="dxa"/>
            <w:vMerge w:val="continue"/>
            <w:noWrap/>
            <w:vAlign w:val="center"/>
          </w:tcPr>
          <w:p w14:paraId="7CB01D2A">
            <w:pPr>
              <w:jc w:val="left"/>
              <w:rPr>
                <w:rFonts w:ascii="宋体" w:hAnsi="宋体"/>
                <w:color w:val="auto"/>
                <w:szCs w:val="21"/>
              </w:rPr>
            </w:pPr>
          </w:p>
        </w:tc>
      </w:tr>
      <w:tr w14:paraId="620C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3D769984">
            <w:pPr>
              <w:jc w:val="left"/>
              <w:rPr>
                <w:rFonts w:ascii="宋体" w:hAnsi="宋体"/>
                <w:color w:val="auto"/>
                <w:szCs w:val="21"/>
              </w:rPr>
            </w:pPr>
          </w:p>
        </w:tc>
        <w:tc>
          <w:tcPr>
            <w:tcW w:w="565" w:type="dxa"/>
            <w:gridSpan w:val="2"/>
            <w:vMerge w:val="continue"/>
            <w:noWrap/>
            <w:vAlign w:val="center"/>
          </w:tcPr>
          <w:p w14:paraId="0C45AF67">
            <w:pPr>
              <w:jc w:val="left"/>
              <w:rPr>
                <w:rFonts w:ascii="宋体" w:hAnsi="宋体"/>
                <w:color w:val="auto"/>
                <w:szCs w:val="21"/>
              </w:rPr>
            </w:pPr>
          </w:p>
        </w:tc>
        <w:tc>
          <w:tcPr>
            <w:tcW w:w="697" w:type="dxa"/>
            <w:noWrap/>
            <w:vAlign w:val="center"/>
          </w:tcPr>
          <w:p w14:paraId="44F539EC">
            <w:pPr>
              <w:jc w:val="center"/>
              <w:rPr>
                <w:rFonts w:ascii="宋体" w:hAnsi="宋体"/>
                <w:color w:val="auto"/>
                <w:szCs w:val="21"/>
              </w:rPr>
            </w:pPr>
            <w:r>
              <w:rPr>
                <w:rFonts w:hint="eastAsia" w:ascii="宋体" w:hAnsi="宋体"/>
                <w:color w:val="auto"/>
                <w:szCs w:val="21"/>
              </w:rPr>
              <w:t>配药审核</w:t>
            </w:r>
          </w:p>
        </w:tc>
        <w:tc>
          <w:tcPr>
            <w:tcW w:w="6938" w:type="dxa"/>
            <w:gridSpan w:val="2"/>
            <w:noWrap/>
            <w:vAlign w:val="center"/>
          </w:tcPr>
          <w:p w14:paraId="4DC19C59">
            <w:pPr>
              <w:rPr>
                <w:rFonts w:ascii="宋体" w:hAnsi="宋体"/>
                <w:color w:val="auto"/>
                <w:szCs w:val="21"/>
              </w:rPr>
            </w:pPr>
            <w:r>
              <w:rPr>
                <w:rFonts w:hint="eastAsia" w:ascii="宋体" w:hAnsi="宋体"/>
                <w:color w:val="auto"/>
                <w:szCs w:val="21"/>
              </w:rPr>
              <w:t xml:space="preserve"> 当医院管理中要求双人复核配药，可进行配药药品扫描审核。</w:t>
            </w:r>
          </w:p>
        </w:tc>
        <w:tc>
          <w:tcPr>
            <w:tcW w:w="709" w:type="dxa"/>
            <w:vMerge w:val="continue"/>
            <w:noWrap/>
            <w:vAlign w:val="center"/>
          </w:tcPr>
          <w:p w14:paraId="0FA27CA2">
            <w:pPr>
              <w:jc w:val="left"/>
              <w:rPr>
                <w:rFonts w:ascii="宋体" w:hAnsi="宋体"/>
                <w:color w:val="auto"/>
                <w:szCs w:val="21"/>
              </w:rPr>
            </w:pPr>
          </w:p>
        </w:tc>
      </w:tr>
      <w:tr w14:paraId="0656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06" w:hRule="atLeast"/>
        </w:trPr>
        <w:tc>
          <w:tcPr>
            <w:tcW w:w="731" w:type="dxa"/>
            <w:vMerge w:val="continue"/>
            <w:noWrap/>
            <w:vAlign w:val="center"/>
          </w:tcPr>
          <w:p w14:paraId="06FD46AC">
            <w:pPr>
              <w:jc w:val="left"/>
              <w:rPr>
                <w:rFonts w:ascii="宋体" w:hAnsi="宋体"/>
                <w:color w:val="auto"/>
                <w:szCs w:val="21"/>
              </w:rPr>
            </w:pPr>
          </w:p>
        </w:tc>
        <w:tc>
          <w:tcPr>
            <w:tcW w:w="565" w:type="dxa"/>
            <w:gridSpan w:val="2"/>
            <w:vMerge w:val="continue"/>
            <w:noWrap/>
            <w:vAlign w:val="center"/>
          </w:tcPr>
          <w:p w14:paraId="7AB035A6">
            <w:pPr>
              <w:jc w:val="left"/>
              <w:rPr>
                <w:rFonts w:ascii="宋体" w:hAnsi="宋体"/>
                <w:color w:val="auto"/>
                <w:szCs w:val="21"/>
              </w:rPr>
            </w:pPr>
          </w:p>
        </w:tc>
        <w:tc>
          <w:tcPr>
            <w:tcW w:w="697" w:type="dxa"/>
            <w:noWrap/>
            <w:vAlign w:val="center"/>
          </w:tcPr>
          <w:p w14:paraId="5E3009A4">
            <w:pPr>
              <w:jc w:val="center"/>
              <w:rPr>
                <w:rFonts w:ascii="宋体" w:hAnsi="宋体"/>
                <w:color w:val="auto"/>
                <w:szCs w:val="21"/>
              </w:rPr>
            </w:pPr>
            <w:r>
              <w:rPr>
                <w:rFonts w:hint="eastAsia" w:ascii="宋体" w:hAnsi="宋体"/>
                <w:color w:val="auto"/>
                <w:szCs w:val="21"/>
              </w:rPr>
              <w:t>雾化执行</w:t>
            </w:r>
          </w:p>
        </w:tc>
        <w:tc>
          <w:tcPr>
            <w:tcW w:w="6938" w:type="dxa"/>
            <w:gridSpan w:val="2"/>
            <w:noWrap/>
            <w:vAlign w:val="center"/>
          </w:tcPr>
          <w:p w14:paraId="4FA52A45">
            <w:pPr>
              <w:rPr>
                <w:rFonts w:ascii="宋体" w:hAnsi="宋体"/>
                <w:color w:val="auto"/>
                <w:szCs w:val="21"/>
              </w:rPr>
            </w:pPr>
            <w:r>
              <w:rPr>
                <w:rFonts w:hint="eastAsia" w:ascii="宋体" w:hAnsi="宋体"/>
                <w:color w:val="auto"/>
                <w:szCs w:val="21"/>
              </w:rPr>
              <w:t xml:space="preserve"> 扫描药品条码，再扫描患者腕带，匹配成功即可执行对应雾化医嘱。若执行高危特殊药品时，实现双人核对。若患者与医嘱不匹配时，界面将会有强提示，避免用药错误。若提早/超过一定时间范围执行医嘱或执行的医嘱已被停止，界面将会有提示。</w:t>
            </w:r>
          </w:p>
        </w:tc>
        <w:tc>
          <w:tcPr>
            <w:tcW w:w="709" w:type="dxa"/>
            <w:vMerge w:val="continue"/>
            <w:noWrap/>
            <w:vAlign w:val="center"/>
          </w:tcPr>
          <w:p w14:paraId="63AFA929">
            <w:pPr>
              <w:jc w:val="left"/>
              <w:rPr>
                <w:rFonts w:ascii="宋体" w:hAnsi="宋体"/>
                <w:color w:val="auto"/>
                <w:szCs w:val="21"/>
              </w:rPr>
            </w:pPr>
          </w:p>
        </w:tc>
      </w:tr>
      <w:tr w14:paraId="7C69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45B9377">
            <w:pPr>
              <w:jc w:val="left"/>
              <w:rPr>
                <w:rFonts w:ascii="宋体" w:hAnsi="宋体"/>
                <w:color w:val="auto"/>
                <w:szCs w:val="21"/>
              </w:rPr>
            </w:pPr>
          </w:p>
        </w:tc>
        <w:tc>
          <w:tcPr>
            <w:tcW w:w="565" w:type="dxa"/>
            <w:gridSpan w:val="2"/>
            <w:vMerge w:val="continue"/>
            <w:noWrap/>
            <w:vAlign w:val="center"/>
          </w:tcPr>
          <w:p w14:paraId="2C37E2FA">
            <w:pPr>
              <w:jc w:val="left"/>
              <w:rPr>
                <w:rFonts w:ascii="宋体" w:hAnsi="宋体"/>
                <w:color w:val="auto"/>
                <w:szCs w:val="21"/>
              </w:rPr>
            </w:pPr>
          </w:p>
        </w:tc>
        <w:tc>
          <w:tcPr>
            <w:tcW w:w="697" w:type="dxa"/>
            <w:noWrap/>
            <w:vAlign w:val="center"/>
          </w:tcPr>
          <w:p w14:paraId="2EA78CDB">
            <w:pPr>
              <w:jc w:val="center"/>
              <w:rPr>
                <w:rFonts w:ascii="宋体" w:hAnsi="宋体"/>
                <w:color w:val="auto"/>
                <w:szCs w:val="21"/>
              </w:rPr>
            </w:pPr>
            <w:r>
              <w:rPr>
                <w:rFonts w:hint="eastAsia" w:ascii="宋体" w:hAnsi="宋体"/>
                <w:color w:val="auto"/>
                <w:szCs w:val="21"/>
              </w:rPr>
              <w:t>雾化执行记录查看</w:t>
            </w:r>
          </w:p>
        </w:tc>
        <w:tc>
          <w:tcPr>
            <w:tcW w:w="6938" w:type="dxa"/>
            <w:gridSpan w:val="2"/>
            <w:noWrap/>
            <w:vAlign w:val="center"/>
          </w:tcPr>
          <w:p w14:paraId="26599D13">
            <w:pPr>
              <w:rPr>
                <w:rFonts w:ascii="宋体" w:hAnsi="宋体"/>
                <w:color w:val="auto"/>
                <w:szCs w:val="21"/>
              </w:rPr>
            </w:pPr>
            <w:r>
              <w:rPr>
                <w:rFonts w:hint="eastAsia" w:ascii="宋体" w:hAnsi="宋体"/>
                <w:color w:val="auto"/>
                <w:szCs w:val="21"/>
              </w:rPr>
              <w:t xml:space="preserve"> 可查看任意时间任一患者的雾化医嘱执行全过程记录。</w:t>
            </w:r>
          </w:p>
        </w:tc>
        <w:tc>
          <w:tcPr>
            <w:tcW w:w="709" w:type="dxa"/>
            <w:vMerge w:val="continue"/>
            <w:noWrap/>
            <w:vAlign w:val="center"/>
          </w:tcPr>
          <w:p w14:paraId="36BF51CA">
            <w:pPr>
              <w:jc w:val="left"/>
              <w:rPr>
                <w:rFonts w:ascii="宋体" w:hAnsi="宋体"/>
                <w:color w:val="auto"/>
                <w:szCs w:val="21"/>
              </w:rPr>
            </w:pPr>
          </w:p>
        </w:tc>
      </w:tr>
      <w:tr w14:paraId="25C2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440E32FD">
            <w:pPr>
              <w:jc w:val="left"/>
              <w:rPr>
                <w:rFonts w:ascii="宋体" w:hAnsi="宋体"/>
                <w:color w:val="auto"/>
                <w:szCs w:val="21"/>
              </w:rPr>
            </w:pPr>
          </w:p>
        </w:tc>
        <w:tc>
          <w:tcPr>
            <w:tcW w:w="565" w:type="dxa"/>
            <w:gridSpan w:val="2"/>
            <w:vMerge w:val="restart"/>
            <w:noWrap/>
            <w:vAlign w:val="center"/>
          </w:tcPr>
          <w:p w14:paraId="4709E402">
            <w:pPr>
              <w:jc w:val="left"/>
              <w:rPr>
                <w:rFonts w:ascii="宋体" w:hAnsi="宋体"/>
                <w:color w:val="auto"/>
                <w:szCs w:val="21"/>
              </w:rPr>
            </w:pPr>
            <w:r>
              <w:rPr>
                <w:rFonts w:hint="eastAsia" w:ascii="宋体" w:hAnsi="宋体"/>
                <w:color w:val="auto"/>
                <w:szCs w:val="21"/>
              </w:rPr>
              <w:t>输血医嘱执行闭环</w:t>
            </w:r>
          </w:p>
        </w:tc>
        <w:tc>
          <w:tcPr>
            <w:tcW w:w="697" w:type="dxa"/>
            <w:noWrap/>
            <w:vAlign w:val="center"/>
          </w:tcPr>
          <w:p w14:paraId="65E2AB65">
            <w:pPr>
              <w:jc w:val="center"/>
              <w:rPr>
                <w:rFonts w:ascii="宋体" w:hAnsi="宋体"/>
                <w:color w:val="auto"/>
                <w:szCs w:val="21"/>
              </w:rPr>
            </w:pPr>
            <w:r>
              <w:rPr>
                <w:rFonts w:hint="eastAsia" w:ascii="宋体" w:hAnsi="宋体"/>
                <w:color w:val="auto"/>
                <w:szCs w:val="21"/>
              </w:rPr>
              <w:t>收取血袋</w:t>
            </w:r>
          </w:p>
        </w:tc>
        <w:tc>
          <w:tcPr>
            <w:tcW w:w="6938" w:type="dxa"/>
            <w:gridSpan w:val="2"/>
            <w:noWrap/>
            <w:vAlign w:val="center"/>
          </w:tcPr>
          <w:p w14:paraId="3D7213FD">
            <w:pPr>
              <w:rPr>
                <w:rFonts w:ascii="宋体" w:hAnsi="宋体"/>
                <w:color w:val="auto"/>
                <w:szCs w:val="21"/>
              </w:rPr>
            </w:pPr>
            <w:r>
              <w:rPr>
                <w:rFonts w:hint="eastAsia" w:ascii="宋体" w:hAnsi="宋体"/>
                <w:color w:val="auto"/>
                <w:szCs w:val="21"/>
              </w:rPr>
              <w:t xml:space="preserve"> 护士或护工到输血科收取血袋，通过扫描血袋条码完成收血操作。若收血过程发现血袋与输血申请单不匹配或出现血袋的异常（外包装破损、血液颜色异常等），可拒绝收血。</w:t>
            </w:r>
          </w:p>
        </w:tc>
        <w:tc>
          <w:tcPr>
            <w:tcW w:w="709" w:type="dxa"/>
            <w:vMerge w:val="continue"/>
            <w:noWrap/>
            <w:vAlign w:val="center"/>
          </w:tcPr>
          <w:p w14:paraId="367D4E55">
            <w:pPr>
              <w:jc w:val="left"/>
              <w:rPr>
                <w:rFonts w:ascii="宋体" w:hAnsi="宋体"/>
                <w:color w:val="auto"/>
                <w:szCs w:val="21"/>
              </w:rPr>
            </w:pPr>
          </w:p>
        </w:tc>
      </w:tr>
      <w:tr w14:paraId="541B1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72ACE8A8">
            <w:pPr>
              <w:jc w:val="left"/>
              <w:rPr>
                <w:rFonts w:ascii="宋体" w:hAnsi="宋体"/>
                <w:color w:val="auto"/>
                <w:szCs w:val="21"/>
              </w:rPr>
            </w:pPr>
          </w:p>
        </w:tc>
        <w:tc>
          <w:tcPr>
            <w:tcW w:w="565" w:type="dxa"/>
            <w:gridSpan w:val="2"/>
            <w:vMerge w:val="continue"/>
            <w:noWrap/>
            <w:vAlign w:val="center"/>
          </w:tcPr>
          <w:p w14:paraId="503C306E">
            <w:pPr>
              <w:jc w:val="left"/>
              <w:rPr>
                <w:rFonts w:ascii="宋体" w:hAnsi="宋体"/>
                <w:color w:val="auto"/>
                <w:szCs w:val="21"/>
              </w:rPr>
            </w:pPr>
          </w:p>
        </w:tc>
        <w:tc>
          <w:tcPr>
            <w:tcW w:w="697" w:type="dxa"/>
            <w:noWrap/>
            <w:vAlign w:val="center"/>
          </w:tcPr>
          <w:p w14:paraId="4BF48DC0">
            <w:pPr>
              <w:jc w:val="center"/>
              <w:rPr>
                <w:rFonts w:ascii="宋体" w:hAnsi="宋体"/>
                <w:color w:val="auto"/>
                <w:szCs w:val="21"/>
              </w:rPr>
            </w:pPr>
            <w:r>
              <w:rPr>
                <w:rFonts w:hint="eastAsia" w:ascii="宋体" w:hAnsi="宋体"/>
                <w:color w:val="auto"/>
                <w:szCs w:val="21"/>
              </w:rPr>
              <w:t>输血前核对</w:t>
            </w:r>
          </w:p>
        </w:tc>
        <w:tc>
          <w:tcPr>
            <w:tcW w:w="6938" w:type="dxa"/>
            <w:gridSpan w:val="2"/>
            <w:noWrap/>
            <w:vAlign w:val="center"/>
          </w:tcPr>
          <w:p w14:paraId="49F1B1FC">
            <w:pPr>
              <w:rPr>
                <w:rFonts w:ascii="宋体" w:hAnsi="宋体"/>
                <w:color w:val="auto"/>
                <w:szCs w:val="21"/>
              </w:rPr>
            </w:pPr>
            <w:r>
              <w:rPr>
                <w:rFonts w:hint="eastAsia" w:ascii="宋体" w:hAnsi="宋体"/>
                <w:color w:val="auto"/>
                <w:szCs w:val="21"/>
              </w:rPr>
              <w:t xml:space="preserve"> 在输血前需双人核对，对血袋信息进行三查十对，核对无误后扫描即可完成输血前核对操作。</w:t>
            </w:r>
          </w:p>
        </w:tc>
        <w:tc>
          <w:tcPr>
            <w:tcW w:w="709" w:type="dxa"/>
            <w:vMerge w:val="continue"/>
            <w:noWrap/>
            <w:vAlign w:val="center"/>
          </w:tcPr>
          <w:p w14:paraId="05221140">
            <w:pPr>
              <w:jc w:val="left"/>
              <w:rPr>
                <w:rFonts w:ascii="宋体" w:hAnsi="宋体"/>
                <w:color w:val="auto"/>
                <w:szCs w:val="21"/>
              </w:rPr>
            </w:pPr>
          </w:p>
        </w:tc>
      </w:tr>
      <w:tr w14:paraId="0255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76581BE1">
            <w:pPr>
              <w:jc w:val="left"/>
              <w:rPr>
                <w:rFonts w:ascii="宋体" w:hAnsi="宋体"/>
                <w:color w:val="auto"/>
                <w:szCs w:val="21"/>
              </w:rPr>
            </w:pPr>
          </w:p>
        </w:tc>
        <w:tc>
          <w:tcPr>
            <w:tcW w:w="565" w:type="dxa"/>
            <w:gridSpan w:val="2"/>
            <w:vMerge w:val="continue"/>
            <w:noWrap/>
            <w:vAlign w:val="center"/>
          </w:tcPr>
          <w:p w14:paraId="1244D3B3">
            <w:pPr>
              <w:jc w:val="left"/>
              <w:rPr>
                <w:rFonts w:ascii="宋体" w:hAnsi="宋体"/>
                <w:color w:val="auto"/>
                <w:szCs w:val="21"/>
              </w:rPr>
            </w:pPr>
          </w:p>
        </w:tc>
        <w:tc>
          <w:tcPr>
            <w:tcW w:w="697" w:type="dxa"/>
            <w:noWrap/>
            <w:vAlign w:val="center"/>
          </w:tcPr>
          <w:p w14:paraId="59736B3F">
            <w:pPr>
              <w:jc w:val="left"/>
              <w:rPr>
                <w:rFonts w:ascii="宋体" w:hAnsi="宋体"/>
                <w:color w:val="auto"/>
                <w:szCs w:val="21"/>
              </w:rPr>
            </w:pPr>
            <w:r>
              <w:rPr>
                <w:rFonts w:hint="eastAsia" w:ascii="宋体" w:hAnsi="宋体"/>
                <w:color w:val="auto"/>
                <w:szCs w:val="21"/>
              </w:rPr>
              <w:t>输血执行</w:t>
            </w:r>
          </w:p>
        </w:tc>
        <w:tc>
          <w:tcPr>
            <w:tcW w:w="6938" w:type="dxa"/>
            <w:gridSpan w:val="2"/>
            <w:noWrap/>
            <w:vAlign w:val="center"/>
          </w:tcPr>
          <w:p w14:paraId="11A75002">
            <w:pPr>
              <w:rPr>
                <w:rFonts w:ascii="宋体" w:hAnsi="宋体"/>
                <w:color w:val="auto"/>
                <w:szCs w:val="21"/>
              </w:rPr>
            </w:pPr>
            <w:r>
              <w:rPr>
                <w:rFonts w:hint="eastAsia" w:ascii="宋体" w:hAnsi="宋体"/>
                <w:color w:val="auto"/>
                <w:szCs w:val="21"/>
              </w:rPr>
              <w:t xml:space="preserve"> 床旁输血执行时，需先扫描查对血袋信息，再扫描患者腕带，双人核对后方可执行。若患者与血袋不匹配时，界面将会有强提示，避免用错血发生输血不良事件。</w:t>
            </w:r>
          </w:p>
        </w:tc>
        <w:tc>
          <w:tcPr>
            <w:tcW w:w="709" w:type="dxa"/>
            <w:vMerge w:val="continue"/>
            <w:noWrap/>
            <w:vAlign w:val="center"/>
          </w:tcPr>
          <w:p w14:paraId="03002B4E">
            <w:pPr>
              <w:jc w:val="left"/>
              <w:rPr>
                <w:rFonts w:ascii="宋体" w:hAnsi="宋体"/>
                <w:color w:val="auto"/>
                <w:szCs w:val="21"/>
              </w:rPr>
            </w:pPr>
          </w:p>
        </w:tc>
      </w:tr>
      <w:tr w14:paraId="7781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614" w:hRule="atLeast"/>
        </w:trPr>
        <w:tc>
          <w:tcPr>
            <w:tcW w:w="731" w:type="dxa"/>
            <w:vMerge w:val="continue"/>
            <w:noWrap/>
            <w:vAlign w:val="center"/>
          </w:tcPr>
          <w:p w14:paraId="753DF2D7">
            <w:pPr>
              <w:jc w:val="left"/>
              <w:rPr>
                <w:rFonts w:ascii="宋体" w:hAnsi="宋体"/>
                <w:color w:val="auto"/>
                <w:szCs w:val="21"/>
              </w:rPr>
            </w:pPr>
          </w:p>
        </w:tc>
        <w:tc>
          <w:tcPr>
            <w:tcW w:w="565" w:type="dxa"/>
            <w:gridSpan w:val="2"/>
            <w:vMerge w:val="continue"/>
            <w:noWrap/>
            <w:vAlign w:val="center"/>
          </w:tcPr>
          <w:p w14:paraId="45FB2419">
            <w:pPr>
              <w:jc w:val="left"/>
              <w:rPr>
                <w:rFonts w:ascii="宋体" w:hAnsi="宋体"/>
                <w:color w:val="auto"/>
                <w:szCs w:val="21"/>
              </w:rPr>
            </w:pPr>
          </w:p>
        </w:tc>
        <w:tc>
          <w:tcPr>
            <w:tcW w:w="697" w:type="dxa"/>
            <w:noWrap/>
            <w:vAlign w:val="center"/>
          </w:tcPr>
          <w:p w14:paraId="06CA4382">
            <w:pPr>
              <w:jc w:val="left"/>
              <w:rPr>
                <w:rFonts w:ascii="宋体" w:hAnsi="宋体"/>
                <w:color w:val="auto"/>
                <w:szCs w:val="21"/>
              </w:rPr>
            </w:pPr>
            <w:r>
              <w:rPr>
                <w:rFonts w:hint="eastAsia" w:ascii="宋体" w:hAnsi="宋体"/>
                <w:color w:val="auto"/>
                <w:szCs w:val="21"/>
              </w:rPr>
              <w:t>输血巡视</w:t>
            </w:r>
          </w:p>
        </w:tc>
        <w:tc>
          <w:tcPr>
            <w:tcW w:w="6938" w:type="dxa"/>
            <w:gridSpan w:val="2"/>
            <w:noWrap/>
            <w:vAlign w:val="center"/>
          </w:tcPr>
          <w:p w14:paraId="43543C16">
            <w:pPr>
              <w:rPr>
                <w:rFonts w:ascii="宋体" w:hAnsi="宋体"/>
                <w:color w:val="auto"/>
                <w:szCs w:val="21"/>
              </w:rPr>
            </w:pPr>
            <w:r>
              <w:rPr>
                <w:rFonts w:hint="eastAsia" w:ascii="宋体" w:hAnsi="宋体"/>
                <w:color w:val="auto"/>
                <w:szCs w:val="21"/>
              </w:rPr>
              <w:t xml:space="preserve"> 可总览查看病区内所有输血中患者的巡视情况，点击任一患者可查看该患者对应输血医嘱的执行及巡视记录。扫描处于输血中的血袋条码，可自动跳转至输血巡视界面，自动弹出巡视信息填写框，实现填写滴速及体征信息。对于输血过程中出现特殊情况的患者，可暂停或终止其输血流程，并填写原因。（原因可根据医院常出现的情况维护成选项，供护士快速选择）对于暂停的输血流程，可通过再次扫描血条条码恢复执行。</w:t>
            </w:r>
          </w:p>
        </w:tc>
        <w:tc>
          <w:tcPr>
            <w:tcW w:w="709" w:type="dxa"/>
            <w:vMerge w:val="continue"/>
            <w:noWrap/>
            <w:vAlign w:val="center"/>
          </w:tcPr>
          <w:p w14:paraId="1168CDA1">
            <w:pPr>
              <w:jc w:val="left"/>
              <w:rPr>
                <w:rFonts w:ascii="宋体" w:hAnsi="宋体"/>
                <w:color w:val="auto"/>
                <w:szCs w:val="21"/>
              </w:rPr>
            </w:pPr>
          </w:p>
        </w:tc>
      </w:tr>
      <w:tr w14:paraId="7712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524D1193">
            <w:pPr>
              <w:jc w:val="left"/>
              <w:rPr>
                <w:rFonts w:ascii="宋体" w:hAnsi="宋体"/>
                <w:color w:val="auto"/>
                <w:szCs w:val="21"/>
              </w:rPr>
            </w:pPr>
          </w:p>
        </w:tc>
        <w:tc>
          <w:tcPr>
            <w:tcW w:w="565" w:type="dxa"/>
            <w:gridSpan w:val="2"/>
            <w:vMerge w:val="continue"/>
            <w:noWrap/>
            <w:vAlign w:val="center"/>
          </w:tcPr>
          <w:p w14:paraId="72FEAE17">
            <w:pPr>
              <w:jc w:val="left"/>
              <w:rPr>
                <w:rFonts w:ascii="宋体" w:hAnsi="宋体"/>
                <w:color w:val="auto"/>
                <w:szCs w:val="21"/>
              </w:rPr>
            </w:pPr>
          </w:p>
        </w:tc>
        <w:tc>
          <w:tcPr>
            <w:tcW w:w="697" w:type="dxa"/>
            <w:noWrap/>
            <w:vAlign w:val="center"/>
          </w:tcPr>
          <w:p w14:paraId="69C7FB6B">
            <w:pPr>
              <w:jc w:val="left"/>
              <w:rPr>
                <w:rFonts w:ascii="宋体" w:hAnsi="宋体"/>
                <w:color w:val="auto"/>
                <w:szCs w:val="21"/>
              </w:rPr>
            </w:pPr>
            <w:r>
              <w:rPr>
                <w:rFonts w:hint="eastAsia" w:ascii="宋体" w:hAnsi="宋体"/>
                <w:color w:val="auto"/>
                <w:szCs w:val="21"/>
              </w:rPr>
              <w:t>回收血袋</w:t>
            </w:r>
          </w:p>
        </w:tc>
        <w:tc>
          <w:tcPr>
            <w:tcW w:w="6938" w:type="dxa"/>
            <w:gridSpan w:val="2"/>
            <w:noWrap/>
            <w:vAlign w:val="center"/>
          </w:tcPr>
          <w:p w14:paraId="6D35349B">
            <w:pPr>
              <w:rPr>
                <w:rFonts w:ascii="宋体" w:hAnsi="宋体"/>
                <w:color w:val="auto"/>
                <w:szCs w:val="21"/>
              </w:rPr>
            </w:pPr>
            <w:r>
              <w:rPr>
                <w:rFonts w:hint="eastAsia" w:ascii="宋体" w:hAnsi="宋体"/>
                <w:color w:val="auto"/>
                <w:szCs w:val="21"/>
              </w:rPr>
              <w:t xml:space="preserve"> 对于输血结束的血袋，提供回收血袋入口，扫描血袋条码后将记录该血袋已进入回收状态；</w:t>
            </w:r>
          </w:p>
        </w:tc>
        <w:tc>
          <w:tcPr>
            <w:tcW w:w="709" w:type="dxa"/>
            <w:vMerge w:val="continue"/>
            <w:noWrap/>
            <w:vAlign w:val="center"/>
          </w:tcPr>
          <w:p w14:paraId="12A7AEEE">
            <w:pPr>
              <w:jc w:val="left"/>
              <w:rPr>
                <w:rFonts w:ascii="宋体" w:hAnsi="宋体"/>
                <w:color w:val="auto"/>
                <w:szCs w:val="21"/>
              </w:rPr>
            </w:pPr>
          </w:p>
        </w:tc>
      </w:tr>
      <w:tr w14:paraId="7E4C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0C7B262D">
            <w:pPr>
              <w:jc w:val="left"/>
              <w:rPr>
                <w:rFonts w:ascii="宋体" w:hAnsi="宋体"/>
                <w:color w:val="auto"/>
                <w:szCs w:val="21"/>
              </w:rPr>
            </w:pPr>
          </w:p>
        </w:tc>
        <w:tc>
          <w:tcPr>
            <w:tcW w:w="565" w:type="dxa"/>
            <w:gridSpan w:val="2"/>
            <w:vMerge w:val="continue"/>
            <w:noWrap/>
            <w:vAlign w:val="center"/>
          </w:tcPr>
          <w:p w14:paraId="37D71E84">
            <w:pPr>
              <w:jc w:val="left"/>
              <w:rPr>
                <w:rFonts w:ascii="宋体" w:hAnsi="宋体"/>
                <w:color w:val="auto"/>
                <w:szCs w:val="21"/>
              </w:rPr>
            </w:pPr>
          </w:p>
        </w:tc>
        <w:tc>
          <w:tcPr>
            <w:tcW w:w="697" w:type="dxa"/>
            <w:noWrap/>
            <w:vAlign w:val="center"/>
          </w:tcPr>
          <w:p w14:paraId="719E5359">
            <w:pPr>
              <w:jc w:val="left"/>
              <w:rPr>
                <w:rFonts w:ascii="宋体" w:hAnsi="宋体"/>
                <w:color w:val="auto"/>
                <w:szCs w:val="21"/>
              </w:rPr>
            </w:pPr>
            <w:r>
              <w:rPr>
                <w:rFonts w:hint="eastAsia" w:ascii="宋体" w:hAnsi="宋体"/>
                <w:color w:val="auto"/>
                <w:szCs w:val="21"/>
              </w:rPr>
              <w:t>输血执行记录查看</w:t>
            </w:r>
          </w:p>
        </w:tc>
        <w:tc>
          <w:tcPr>
            <w:tcW w:w="6938" w:type="dxa"/>
            <w:gridSpan w:val="2"/>
            <w:noWrap/>
            <w:vAlign w:val="center"/>
          </w:tcPr>
          <w:p w14:paraId="6493FE7C">
            <w:pPr>
              <w:rPr>
                <w:rFonts w:ascii="宋体" w:hAnsi="宋体"/>
                <w:color w:val="auto"/>
                <w:szCs w:val="21"/>
              </w:rPr>
            </w:pPr>
            <w:r>
              <w:rPr>
                <w:rFonts w:hint="eastAsia" w:ascii="宋体" w:hAnsi="宋体"/>
                <w:color w:val="auto"/>
                <w:szCs w:val="21"/>
              </w:rPr>
              <w:t xml:space="preserve"> 可查看任意时间任一患者的输血执行全过程记录。</w:t>
            </w:r>
          </w:p>
        </w:tc>
        <w:tc>
          <w:tcPr>
            <w:tcW w:w="709" w:type="dxa"/>
            <w:vMerge w:val="continue"/>
            <w:noWrap/>
            <w:vAlign w:val="center"/>
          </w:tcPr>
          <w:p w14:paraId="45611283">
            <w:pPr>
              <w:jc w:val="left"/>
              <w:rPr>
                <w:rFonts w:ascii="宋体" w:hAnsi="宋体"/>
                <w:color w:val="auto"/>
                <w:szCs w:val="21"/>
              </w:rPr>
            </w:pPr>
          </w:p>
        </w:tc>
      </w:tr>
      <w:tr w14:paraId="0BF4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D3DF219">
            <w:pPr>
              <w:jc w:val="left"/>
              <w:rPr>
                <w:rFonts w:ascii="宋体" w:hAnsi="宋体"/>
                <w:color w:val="auto"/>
                <w:szCs w:val="21"/>
              </w:rPr>
            </w:pPr>
          </w:p>
        </w:tc>
        <w:tc>
          <w:tcPr>
            <w:tcW w:w="565" w:type="dxa"/>
            <w:gridSpan w:val="2"/>
            <w:vMerge w:val="restart"/>
            <w:noWrap/>
            <w:vAlign w:val="center"/>
          </w:tcPr>
          <w:p w14:paraId="1188E12C">
            <w:pPr>
              <w:jc w:val="left"/>
              <w:rPr>
                <w:rFonts w:ascii="宋体" w:hAnsi="宋体"/>
                <w:color w:val="auto"/>
                <w:szCs w:val="21"/>
              </w:rPr>
            </w:pPr>
            <w:r>
              <w:rPr>
                <w:rFonts w:hint="eastAsia" w:ascii="宋体" w:hAnsi="宋体"/>
                <w:color w:val="auto"/>
                <w:szCs w:val="21"/>
              </w:rPr>
              <w:t>检验医嘱执行闭环</w:t>
            </w:r>
          </w:p>
        </w:tc>
        <w:tc>
          <w:tcPr>
            <w:tcW w:w="697" w:type="dxa"/>
            <w:noWrap/>
            <w:vAlign w:val="center"/>
          </w:tcPr>
          <w:p w14:paraId="2E00739E">
            <w:pPr>
              <w:jc w:val="left"/>
              <w:rPr>
                <w:rFonts w:ascii="宋体" w:hAnsi="宋体"/>
                <w:color w:val="auto"/>
                <w:szCs w:val="21"/>
              </w:rPr>
            </w:pPr>
            <w:r>
              <w:rPr>
                <w:rFonts w:hint="eastAsia" w:ascii="宋体" w:hAnsi="宋体"/>
                <w:color w:val="auto"/>
                <w:szCs w:val="21"/>
              </w:rPr>
              <w:t>开始采集</w:t>
            </w:r>
          </w:p>
        </w:tc>
        <w:tc>
          <w:tcPr>
            <w:tcW w:w="6938" w:type="dxa"/>
            <w:gridSpan w:val="2"/>
            <w:noWrap/>
            <w:vAlign w:val="center"/>
          </w:tcPr>
          <w:p w14:paraId="53917686">
            <w:pPr>
              <w:rPr>
                <w:rFonts w:ascii="宋体" w:hAnsi="宋体"/>
                <w:color w:val="auto"/>
                <w:szCs w:val="21"/>
              </w:rPr>
            </w:pPr>
            <w:r>
              <w:rPr>
                <w:rFonts w:hint="eastAsia" w:ascii="宋体" w:hAnsi="宋体"/>
                <w:color w:val="auto"/>
                <w:szCs w:val="21"/>
              </w:rPr>
              <w:t xml:space="preserve"> 扫描试管条码跳转至标本采集界面，再扫描患者腕带，点击“开始采集”即可。实现批量执行同一患者的多个试管采集。</w:t>
            </w:r>
          </w:p>
        </w:tc>
        <w:tc>
          <w:tcPr>
            <w:tcW w:w="709" w:type="dxa"/>
            <w:vMerge w:val="continue"/>
            <w:noWrap/>
            <w:vAlign w:val="center"/>
          </w:tcPr>
          <w:p w14:paraId="45C8E2AD">
            <w:pPr>
              <w:jc w:val="left"/>
              <w:rPr>
                <w:rFonts w:ascii="宋体" w:hAnsi="宋体"/>
                <w:color w:val="auto"/>
                <w:szCs w:val="21"/>
              </w:rPr>
            </w:pPr>
          </w:p>
        </w:tc>
      </w:tr>
      <w:tr w14:paraId="7D7E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92089B5">
            <w:pPr>
              <w:jc w:val="left"/>
              <w:rPr>
                <w:rFonts w:ascii="宋体" w:hAnsi="宋体"/>
                <w:color w:val="auto"/>
                <w:szCs w:val="21"/>
              </w:rPr>
            </w:pPr>
          </w:p>
        </w:tc>
        <w:tc>
          <w:tcPr>
            <w:tcW w:w="565" w:type="dxa"/>
            <w:gridSpan w:val="2"/>
            <w:vMerge w:val="continue"/>
            <w:noWrap/>
            <w:vAlign w:val="center"/>
          </w:tcPr>
          <w:p w14:paraId="5359372B">
            <w:pPr>
              <w:jc w:val="left"/>
              <w:rPr>
                <w:rFonts w:ascii="宋体" w:hAnsi="宋体"/>
                <w:color w:val="auto"/>
                <w:szCs w:val="21"/>
              </w:rPr>
            </w:pPr>
          </w:p>
        </w:tc>
        <w:tc>
          <w:tcPr>
            <w:tcW w:w="697" w:type="dxa"/>
            <w:noWrap/>
            <w:vAlign w:val="center"/>
          </w:tcPr>
          <w:p w14:paraId="653D88E0">
            <w:pPr>
              <w:jc w:val="center"/>
              <w:rPr>
                <w:rFonts w:ascii="宋体" w:hAnsi="宋体"/>
                <w:color w:val="auto"/>
                <w:szCs w:val="21"/>
              </w:rPr>
            </w:pPr>
            <w:r>
              <w:rPr>
                <w:rFonts w:hint="eastAsia" w:ascii="宋体" w:hAnsi="宋体"/>
                <w:color w:val="auto"/>
                <w:szCs w:val="21"/>
              </w:rPr>
              <w:t>采集中查询</w:t>
            </w:r>
          </w:p>
        </w:tc>
        <w:tc>
          <w:tcPr>
            <w:tcW w:w="6938" w:type="dxa"/>
            <w:gridSpan w:val="2"/>
            <w:noWrap/>
            <w:vAlign w:val="center"/>
          </w:tcPr>
          <w:p w14:paraId="5F79229C">
            <w:pPr>
              <w:rPr>
                <w:rFonts w:ascii="宋体" w:hAnsi="宋体"/>
                <w:color w:val="auto"/>
                <w:szCs w:val="21"/>
              </w:rPr>
            </w:pPr>
            <w:r>
              <w:rPr>
                <w:rFonts w:hint="eastAsia" w:ascii="宋体" w:hAnsi="宋体"/>
                <w:color w:val="auto"/>
                <w:szCs w:val="21"/>
              </w:rPr>
              <w:t xml:space="preserve"> 可查看病区内处于采集中状态的所有患者的所有试管。</w:t>
            </w:r>
          </w:p>
        </w:tc>
        <w:tc>
          <w:tcPr>
            <w:tcW w:w="709" w:type="dxa"/>
            <w:vMerge w:val="continue"/>
            <w:noWrap/>
            <w:vAlign w:val="center"/>
          </w:tcPr>
          <w:p w14:paraId="0293A80C">
            <w:pPr>
              <w:jc w:val="left"/>
              <w:rPr>
                <w:rFonts w:ascii="宋体" w:hAnsi="宋体"/>
                <w:color w:val="auto"/>
                <w:szCs w:val="21"/>
              </w:rPr>
            </w:pPr>
          </w:p>
        </w:tc>
      </w:tr>
      <w:tr w14:paraId="02F65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643DB49F">
            <w:pPr>
              <w:jc w:val="left"/>
              <w:rPr>
                <w:rFonts w:ascii="宋体" w:hAnsi="宋体"/>
                <w:color w:val="auto"/>
                <w:szCs w:val="21"/>
              </w:rPr>
            </w:pPr>
          </w:p>
        </w:tc>
        <w:tc>
          <w:tcPr>
            <w:tcW w:w="565" w:type="dxa"/>
            <w:gridSpan w:val="2"/>
            <w:vMerge w:val="continue"/>
            <w:noWrap/>
            <w:vAlign w:val="center"/>
          </w:tcPr>
          <w:p w14:paraId="40947385">
            <w:pPr>
              <w:jc w:val="left"/>
              <w:rPr>
                <w:rFonts w:ascii="宋体" w:hAnsi="宋体"/>
                <w:color w:val="auto"/>
                <w:szCs w:val="21"/>
              </w:rPr>
            </w:pPr>
          </w:p>
        </w:tc>
        <w:tc>
          <w:tcPr>
            <w:tcW w:w="697" w:type="dxa"/>
            <w:noWrap/>
            <w:vAlign w:val="center"/>
          </w:tcPr>
          <w:p w14:paraId="65DAE7A9">
            <w:pPr>
              <w:jc w:val="center"/>
              <w:rPr>
                <w:rFonts w:ascii="宋体" w:hAnsi="宋体"/>
                <w:color w:val="auto"/>
                <w:szCs w:val="21"/>
              </w:rPr>
            </w:pPr>
            <w:r>
              <w:rPr>
                <w:rFonts w:hint="eastAsia" w:ascii="宋体" w:hAnsi="宋体"/>
                <w:color w:val="auto"/>
                <w:szCs w:val="21"/>
              </w:rPr>
              <w:t>结束采集</w:t>
            </w:r>
          </w:p>
        </w:tc>
        <w:tc>
          <w:tcPr>
            <w:tcW w:w="6938" w:type="dxa"/>
            <w:gridSpan w:val="2"/>
            <w:noWrap/>
            <w:vAlign w:val="center"/>
          </w:tcPr>
          <w:p w14:paraId="41A1F115">
            <w:pPr>
              <w:rPr>
                <w:rFonts w:ascii="宋体" w:hAnsi="宋体"/>
                <w:color w:val="auto"/>
                <w:szCs w:val="21"/>
              </w:rPr>
            </w:pPr>
            <w:r>
              <w:rPr>
                <w:rFonts w:hint="eastAsia" w:ascii="宋体" w:hAnsi="宋体"/>
                <w:color w:val="auto"/>
                <w:szCs w:val="21"/>
              </w:rPr>
              <w:t xml:space="preserve"> 扫描采集中的试管条码跳转至标本采集界面，再扫描患者腕带，点击“结束采集”即可。实现批量执行同一患者的多个试管采集。</w:t>
            </w:r>
          </w:p>
        </w:tc>
        <w:tc>
          <w:tcPr>
            <w:tcW w:w="709" w:type="dxa"/>
            <w:vMerge w:val="continue"/>
            <w:noWrap/>
            <w:vAlign w:val="center"/>
          </w:tcPr>
          <w:p w14:paraId="2507125D">
            <w:pPr>
              <w:jc w:val="left"/>
              <w:rPr>
                <w:rFonts w:ascii="宋体" w:hAnsi="宋体"/>
                <w:color w:val="auto"/>
                <w:szCs w:val="21"/>
              </w:rPr>
            </w:pPr>
          </w:p>
        </w:tc>
      </w:tr>
      <w:tr w14:paraId="2301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692CC49">
            <w:pPr>
              <w:jc w:val="left"/>
              <w:rPr>
                <w:rFonts w:ascii="宋体" w:hAnsi="宋体"/>
                <w:color w:val="auto"/>
                <w:szCs w:val="21"/>
              </w:rPr>
            </w:pPr>
          </w:p>
        </w:tc>
        <w:tc>
          <w:tcPr>
            <w:tcW w:w="565" w:type="dxa"/>
            <w:gridSpan w:val="2"/>
            <w:vMerge w:val="continue"/>
            <w:noWrap/>
            <w:vAlign w:val="center"/>
          </w:tcPr>
          <w:p w14:paraId="34545FF2">
            <w:pPr>
              <w:jc w:val="left"/>
              <w:rPr>
                <w:rFonts w:ascii="宋体" w:hAnsi="宋体"/>
                <w:color w:val="auto"/>
                <w:szCs w:val="21"/>
              </w:rPr>
            </w:pPr>
          </w:p>
        </w:tc>
        <w:tc>
          <w:tcPr>
            <w:tcW w:w="697" w:type="dxa"/>
            <w:noWrap/>
            <w:vAlign w:val="center"/>
          </w:tcPr>
          <w:p w14:paraId="3E567588">
            <w:pPr>
              <w:jc w:val="center"/>
              <w:rPr>
                <w:rFonts w:ascii="宋体" w:hAnsi="宋体"/>
                <w:color w:val="auto"/>
                <w:szCs w:val="21"/>
              </w:rPr>
            </w:pPr>
            <w:r>
              <w:rPr>
                <w:rFonts w:hint="eastAsia" w:ascii="宋体" w:hAnsi="宋体"/>
                <w:color w:val="auto"/>
                <w:szCs w:val="21"/>
              </w:rPr>
              <w:t>送检</w:t>
            </w:r>
          </w:p>
        </w:tc>
        <w:tc>
          <w:tcPr>
            <w:tcW w:w="6938" w:type="dxa"/>
            <w:gridSpan w:val="2"/>
            <w:noWrap/>
            <w:vAlign w:val="center"/>
          </w:tcPr>
          <w:p w14:paraId="612A3883">
            <w:pPr>
              <w:rPr>
                <w:rFonts w:ascii="宋体" w:hAnsi="宋体"/>
                <w:color w:val="auto"/>
                <w:szCs w:val="21"/>
              </w:rPr>
            </w:pPr>
            <w:r>
              <w:rPr>
                <w:rFonts w:hint="eastAsia" w:ascii="宋体" w:hAnsi="宋体"/>
                <w:color w:val="auto"/>
                <w:szCs w:val="21"/>
              </w:rPr>
              <w:t xml:space="preserve"> 查看标本信息和送检情况，并通过扫描送检试管的二维码记录送检信息。 在待送检页面，可查看多个患者待送检标本对应的检验名称、检验次数、采集人和采集时间等。 在已送检页面，可查看多个患者已送检标本对应的检验名称、检验次数、采集人和采集时间、送检人和送检时间等。</w:t>
            </w:r>
          </w:p>
        </w:tc>
        <w:tc>
          <w:tcPr>
            <w:tcW w:w="709" w:type="dxa"/>
            <w:vMerge w:val="continue"/>
            <w:noWrap/>
            <w:vAlign w:val="center"/>
          </w:tcPr>
          <w:p w14:paraId="517104F8">
            <w:pPr>
              <w:jc w:val="left"/>
              <w:rPr>
                <w:rFonts w:ascii="宋体" w:hAnsi="宋体"/>
                <w:color w:val="auto"/>
                <w:szCs w:val="21"/>
              </w:rPr>
            </w:pPr>
          </w:p>
        </w:tc>
      </w:tr>
      <w:tr w14:paraId="4CF9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2E4CB0FA">
            <w:pPr>
              <w:jc w:val="left"/>
              <w:rPr>
                <w:rFonts w:ascii="宋体" w:hAnsi="宋体"/>
                <w:color w:val="auto"/>
                <w:szCs w:val="21"/>
              </w:rPr>
            </w:pPr>
          </w:p>
        </w:tc>
        <w:tc>
          <w:tcPr>
            <w:tcW w:w="565" w:type="dxa"/>
            <w:gridSpan w:val="2"/>
            <w:vMerge w:val="continue"/>
            <w:noWrap/>
            <w:vAlign w:val="center"/>
          </w:tcPr>
          <w:p w14:paraId="0031B3B9">
            <w:pPr>
              <w:jc w:val="left"/>
              <w:rPr>
                <w:rFonts w:ascii="宋体" w:hAnsi="宋体"/>
                <w:color w:val="auto"/>
                <w:szCs w:val="21"/>
              </w:rPr>
            </w:pPr>
          </w:p>
        </w:tc>
        <w:tc>
          <w:tcPr>
            <w:tcW w:w="697" w:type="dxa"/>
            <w:noWrap/>
            <w:vAlign w:val="center"/>
          </w:tcPr>
          <w:p w14:paraId="53BE9F10">
            <w:pPr>
              <w:jc w:val="left"/>
              <w:rPr>
                <w:rFonts w:ascii="宋体" w:hAnsi="宋体"/>
                <w:color w:val="auto"/>
                <w:szCs w:val="21"/>
              </w:rPr>
            </w:pPr>
            <w:r>
              <w:rPr>
                <w:rFonts w:hint="eastAsia" w:ascii="宋体" w:hAnsi="宋体"/>
                <w:color w:val="auto"/>
                <w:szCs w:val="21"/>
              </w:rPr>
              <w:t>检验执行记录查看</w:t>
            </w:r>
          </w:p>
        </w:tc>
        <w:tc>
          <w:tcPr>
            <w:tcW w:w="6938" w:type="dxa"/>
            <w:gridSpan w:val="2"/>
            <w:noWrap/>
            <w:vAlign w:val="center"/>
          </w:tcPr>
          <w:p w14:paraId="7DACF60E">
            <w:pPr>
              <w:rPr>
                <w:rFonts w:ascii="宋体" w:hAnsi="宋体"/>
                <w:color w:val="auto"/>
                <w:szCs w:val="21"/>
              </w:rPr>
            </w:pPr>
            <w:r>
              <w:rPr>
                <w:rFonts w:hint="eastAsia" w:ascii="宋体" w:hAnsi="宋体"/>
                <w:color w:val="auto"/>
                <w:szCs w:val="21"/>
              </w:rPr>
              <w:t xml:space="preserve"> 可查看任意时间任一患者的检验执行全过程记录。</w:t>
            </w:r>
          </w:p>
        </w:tc>
        <w:tc>
          <w:tcPr>
            <w:tcW w:w="709" w:type="dxa"/>
            <w:vMerge w:val="continue"/>
            <w:noWrap/>
            <w:vAlign w:val="center"/>
          </w:tcPr>
          <w:p w14:paraId="0F88CE73">
            <w:pPr>
              <w:jc w:val="left"/>
              <w:rPr>
                <w:rFonts w:ascii="宋体" w:hAnsi="宋体"/>
                <w:color w:val="auto"/>
                <w:szCs w:val="21"/>
              </w:rPr>
            </w:pPr>
          </w:p>
        </w:tc>
      </w:tr>
      <w:tr w14:paraId="0277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393" w:hRule="atLeast"/>
        </w:trPr>
        <w:tc>
          <w:tcPr>
            <w:tcW w:w="731" w:type="dxa"/>
            <w:vMerge w:val="continue"/>
            <w:noWrap/>
            <w:vAlign w:val="center"/>
          </w:tcPr>
          <w:p w14:paraId="2A879AE8">
            <w:pPr>
              <w:jc w:val="left"/>
              <w:rPr>
                <w:rFonts w:ascii="宋体" w:hAnsi="宋体"/>
                <w:color w:val="auto"/>
                <w:szCs w:val="21"/>
              </w:rPr>
            </w:pPr>
          </w:p>
        </w:tc>
        <w:tc>
          <w:tcPr>
            <w:tcW w:w="565" w:type="dxa"/>
            <w:gridSpan w:val="2"/>
            <w:vMerge w:val="restart"/>
            <w:noWrap/>
            <w:vAlign w:val="center"/>
          </w:tcPr>
          <w:p w14:paraId="1FB3B658">
            <w:pPr>
              <w:jc w:val="left"/>
              <w:rPr>
                <w:rFonts w:ascii="宋体" w:hAnsi="宋体"/>
                <w:color w:val="auto"/>
                <w:szCs w:val="21"/>
              </w:rPr>
            </w:pPr>
            <w:r>
              <w:rPr>
                <w:rFonts w:hint="eastAsia" w:ascii="宋体" w:hAnsi="宋体"/>
                <w:color w:val="auto"/>
                <w:szCs w:val="21"/>
              </w:rPr>
              <w:t>皮试医嘱执行闭环</w:t>
            </w:r>
          </w:p>
        </w:tc>
        <w:tc>
          <w:tcPr>
            <w:tcW w:w="697" w:type="dxa"/>
            <w:noWrap/>
            <w:vAlign w:val="center"/>
          </w:tcPr>
          <w:p w14:paraId="208950C2">
            <w:pPr>
              <w:jc w:val="left"/>
              <w:rPr>
                <w:rFonts w:ascii="宋体" w:hAnsi="宋体"/>
                <w:color w:val="auto"/>
                <w:szCs w:val="21"/>
              </w:rPr>
            </w:pPr>
            <w:r>
              <w:rPr>
                <w:rFonts w:hint="eastAsia" w:ascii="宋体" w:hAnsi="宋体"/>
                <w:color w:val="auto"/>
                <w:szCs w:val="21"/>
              </w:rPr>
              <w:t>皮试执行</w:t>
            </w:r>
          </w:p>
        </w:tc>
        <w:tc>
          <w:tcPr>
            <w:tcW w:w="6938" w:type="dxa"/>
            <w:gridSpan w:val="2"/>
            <w:noWrap/>
            <w:vAlign w:val="center"/>
          </w:tcPr>
          <w:p w14:paraId="407B3F15">
            <w:pPr>
              <w:rPr>
                <w:rFonts w:ascii="宋体" w:hAnsi="宋体"/>
                <w:color w:val="auto"/>
                <w:szCs w:val="21"/>
              </w:rPr>
            </w:pPr>
            <w:r>
              <w:rPr>
                <w:rFonts w:hint="eastAsia" w:ascii="宋体" w:hAnsi="宋体"/>
                <w:color w:val="auto"/>
                <w:szCs w:val="21"/>
              </w:rPr>
              <w:t xml:space="preserve"> 扫描皮试医嘱条码，再扫描患者腕带，匹配成功即可执行对应皮试医嘱。实现皮试前对皮试部位拍照留记录。 进行皮试操作时可设置皮试提醒时间，以推送消息通知方式进行提醒；收到提醒后可直接点击通知进入皮试界面进行录入。若患者与医嘱不匹配时，界面将会有强提示，避免用药错误。</w:t>
            </w:r>
          </w:p>
        </w:tc>
        <w:tc>
          <w:tcPr>
            <w:tcW w:w="709" w:type="dxa"/>
            <w:vMerge w:val="continue"/>
            <w:noWrap/>
            <w:vAlign w:val="center"/>
          </w:tcPr>
          <w:p w14:paraId="1215AD10">
            <w:pPr>
              <w:jc w:val="left"/>
              <w:rPr>
                <w:rFonts w:ascii="宋体" w:hAnsi="宋体"/>
                <w:color w:val="auto"/>
                <w:szCs w:val="21"/>
              </w:rPr>
            </w:pPr>
          </w:p>
        </w:tc>
      </w:tr>
      <w:tr w14:paraId="31B3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70" w:hRule="atLeast"/>
        </w:trPr>
        <w:tc>
          <w:tcPr>
            <w:tcW w:w="731" w:type="dxa"/>
            <w:vMerge w:val="continue"/>
            <w:noWrap/>
            <w:vAlign w:val="center"/>
          </w:tcPr>
          <w:p w14:paraId="018BB3B6">
            <w:pPr>
              <w:jc w:val="left"/>
              <w:rPr>
                <w:rFonts w:ascii="宋体" w:hAnsi="宋体"/>
                <w:color w:val="auto"/>
                <w:szCs w:val="21"/>
              </w:rPr>
            </w:pPr>
          </w:p>
        </w:tc>
        <w:tc>
          <w:tcPr>
            <w:tcW w:w="565" w:type="dxa"/>
            <w:gridSpan w:val="2"/>
            <w:vMerge w:val="continue"/>
            <w:noWrap/>
            <w:vAlign w:val="center"/>
          </w:tcPr>
          <w:p w14:paraId="7B695D41">
            <w:pPr>
              <w:jc w:val="left"/>
              <w:rPr>
                <w:rFonts w:ascii="宋体" w:hAnsi="宋体"/>
                <w:color w:val="auto"/>
                <w:szCs w:val="21"/>
              </w:rPr>
            </w:pPr>
          </w:p>
        </w:tc>
        <w:tc>
          <w:tcPr>
            <w:tcW w:w="697" w:type="dxa"/>
            <w:noWrap/>
            <w:vAlign w:val="center"/>
          </w:tcPr>
          <w:p w14:paraId="04E2AA7A">
            <w:pPr>
              <w:jc w:val="left"/>
              <w:rPr>
                <w:rFonts w:ascii="宋体" w:hAnsi="宋体"/>
                <w:color w:val="auto"/>
                <w:szCs w:val="21"/>
              </w:rPr>
            </w:pPr>
            <w:r>
              <w:rPr>
                <w:rFonts w:hint="eastAsia" w:ascii="宋体" w:hAnsi="宋体"/>
                <w:color w:val="auto"/>
                <w:szCs w:val="21"/>
              </w:rPr>
              <w:t>皮试结果录入</w:t>
            </w:r>
          </w:p>
        </w:tc>
        <w:tc>
          <w:tcPr>
            <w:tcW w:w="6938" w:type="dxa"/>
            <w:gridSpan w:val="2"/>
            <w:noWrap/>
            <w:vAlign w:val="center"/>
          </w:tcPr>
          <w:p w14:paraId="2DFEC49C">
            <w:pPr>
              <w:rPr>
                <w:rFonts w:ascii="宋体" w:hAnsi="宋体"/>
                <w:color w:val="auto"/>
                <w:szCs w:val="21"/>
              </w:rPr>
            </w:pPr>
            <w:r>
              <w:rPr>
                <w:rFonts w:hint="eastAsia" w:ascii="宋体" w:hAnsi="宋体"/>
                <w:color w:val="auto"/>
                <w:szCs w:val="21"/>
              </w:rPr>
              <w:t xml:space="preserve"> 扫描皮试执行中的医嘱条码，或从菜单皮试结果录入中，都可进入皮试结果录入界面。实现双人核对确认皮试药物批号及类型、皮试结果及有效期。 实现皮试后对皮试部位拍照留记录。 体温单自动显示皮试结果，免转抄。</w:t>
            </w:r>
            <w:r>
              <w:rPr>
                <w:rFonts w:hint="eastAsia"/>
                <w:color w:val="auto"/>
              </w:rPr>
              <w:t>投标文件中提供以上功能截图并加盖投标人公章。</w:t>
            </w:r>
          </w:p>
        </w:tc>
        <w:tc>
          <w:tcPr>
            <w:tcW w:w="709" w:type="dxa"/>
            <w:vMerge w:val="continue"/>
            <w:noWrap/>
            <w:vAlign w:val="center"/>
          </w:tcPr>
          <w:p w14:paraId="5A396408">
            <w:pPr>
              <w:jc w:val="left"/>
              <w:rPr>
                <w:rFonts w:ascii="宋体" w:hAnsi="宋体"/>
                <w:color w:val="auto"/>
                <w:szCs w:val="21"/>
              </w:rPr>
            </w:pPr>
          </w:p>
        </w:tc>
      </w:tr>
      <w:tr w14:paraId="7AEF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F65CDED">
            <w:pPr>
              <w:jc w:val="left"/>
              <w:rPr>
                <w:rFonts w:ascii="宋体" w:hAnsi="宋体"/>
                <w:color w:val="auto"/>
                <w:szCs w:val="21"/>
              </w:rPr>
            </w:pPr>
          </w:p>
        </w:tc>
        <w:tc>
          <w:tcPr>
            <w:tcW w:w="565" w:type="dxa"/>
            <w:gridSpan w:val="2"/>
            <w:vMerge w:val="continue"/>
            <w:noWrap/>
            <w:vAlign w:val="center"/>
          </w:tcPr>
          <w:p w14:paraId="32D18CB7">
            <w:pPr>
              <w:jc w:val="left"/>
              <w:rPr>
                <w:rFonts w:ascii="宋体" w:hAnsi="宋体"/>
                <w:color w:val="auto"/>
                <w:szCs w:val="21"/>
              </w:rPr>
            </w:pPr>
          </w:p>
        </w:tc>
        <w:tc>
          <w:tcPr>
            <w:tcW w:w="697" w:type="dxa"/>
            <w:noWrap/>
            <w:vAlign w:val="center"/>
          </w:tcPr>
          <w:p w14:paraId="402A51D8">
            <w:pPr>
              <w:jc w:val="left"/>
              <w:rPr>
                <w:rFonts w:ascii="宋体" w:hAnsi="宋体"/>
                <w:color w:val="auto"/>
                <w:szCs w:val="21"/>
              </w:rPr>
            </w:pPr>
            <w:r>
              <w:rPr>
                <w:rFonts w:hint="eastAsia" w:ascii="宋体" w:hAnsi="宋体"/>
                <w:color w:val="auto"/>
                <w:szCs w:val="21"/>
              </w:rPr>
              <w:t>皮试执行记录查看</w:t>
            </w:r>
          </w:p>
        </w:tc>
        <w:tc>
          <w:tcPr>
            <w:tcW w:w="6938" w:type="dxa"/>
            <w:gridSpan w:val="2"/>
            <w:noWrap/>
            <w:vAlign w:val="center"/>
          </w:tcPr>
          <w:p w14:paraId="42498141">
            <w:pPr>
              <w:rPr>
                <w:rFonts w:ascii="宋体" w:hAnsi="宋体"/>
                <w:color w:val="auto"/>
                <w:szCs w:val="21"/>
              </w:rPr>
            </w:pPr>
            <w:r>
              <w:rPr>
                <w:rFonts w:hint="eastAsia" w:ascii="宋体" w:hAnsi="宋体"/>
                <w:color w:val="auto"/>
                <w:szCs w:val="21"/>
              </w:rPr>
              <w:t xml:space="preserve"> 可查看任意时间任一患者的皮试执行全过程记录。</w:t>
            </w:r>
          </w:p>
        </w:tc>
        <w:tc>
          <w:tcPr>
            <w:tcW w:w="709" w:type="dxa"/>
            <w:vMerge w:val="continue"/>
            <w:noWrap/>
            <w:vAlign w:val="center"/>
          </w:tcPr>
          <w:p w14:paraId="2BF4BD58">
            <w:pPr>
              <w:jc w:val="left"/>
              <w:rPr>
                <w:rFonts w:ascii="宋体" w:hAnsi="宋体"/>
                <w:color w:val="auto"/>
                <w:szCs w:val="21"/>
              </w:rPr>
            </w:pPr>
          </w:p>
        </w:tc>
      </w:tr>
      <w:tr w14:paraId="38B9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42C03389">
            <w:pPr>
              <w:jc w:val="left"/>
              <w:rPr>
                <w:rFonts w:ascii="宋体" w:hAnsi="宋体"/>
                <w:color w:val="auto"/>
                <w:szCs w:val="21"/>
              </w:rPr>
            </w:pPr>
          </w:p>
        </w:tc>
        <w:tc>
          <w:tcPr>
            <w:tcW w:w="565" w:type="dxa"/>
            <w:gridSpan w:val="2"/>
            <w:vMerge w:val="restart"/>
            <w:noWrap/>
            <w:vAlign w:val="center"/>
          </w:tcPr>
          <w:p w14:paraId="7813DEB5">
            <w:pPr>
              <w:jc w:val="left"/>
              <w:rPr>
                <w:rFonts w:ascii="宋体" w:hAnsi="宋体"/>
                <w:color w:val="auto"/>
                <w:szCs w:val="21"/>
              </w:rPr>
            </w:pPr>
            <w:r>
              <w:rPr>
                <w:rFonts w:hint="eastAsia" w:ascii="宋体" w:hAnsi="宋体"/>
                <w:color w:val="auto"/>
                <w:szCs w:val="21"/>
              </w:rPr>
              <w:t>护理治疗闭环</w:t>
            </w:r>
          </w:p>
        </w:tc>
        <w:tc>
          <w:tcPr>
            <w:tcW w:w="697" w:type="dxa"/>
            <w:noWrap/>
            <w:vAlign w:val="center"/>
          </w:tcPr>
          <w:p w14:paraId="6A566E97">
            <w:pPr>
              <w:jc w:val="left"/>
              <w:rPr>
                <w:rFonts w:ascii="宋体" w:hAnsi="宋体"/>
                <w:color w:val="auto"/>
                <w:szCs w:val="21"/>
              </w:rPr>
            </w:pPr>
            <w:r>
              <w:rPr>
                <w:rFonts w:hint="eastAsia" w:ascii="宋体" w:hAnsi="宋体"/>
                <w:color w:val="auto"/>
                <w:szCs w:val="21"/>
              </w:rPr>
              <w:t>护理治疗执行</w:t>
            </w:r>
          </w:p>
        </w:tc>
        <w:tc>
          <w:tcPr>
            <w:tcW w:w="6938" w:type="dxa"/>
            <w:gridSpan w:val="2"/>
            <w:noWrap/>
            <w:vAlign w:val="center"/>
          </w:tcPr>
          <w:p w14:paraId="7DA88A74">
            <w:pPr>
              <w:jc w:val="left"/>
              <w:rPr>
                <w:rFonts w:ascii="宋体" w:hAnsi="宋体"/>
                <w:color w:val="auto"/>
                <w:szCs w:val="21"/>
              </w:rPr>
            </w:pPr>
            <w:r>
              <w:rPr>
                <w:rFonts w:hint="eastAsia" w:ascii="宋体" w:hAnsi="宋体"/>
                <w:color w:val="auto"/>
                <w:szCs w:val="21"/>
              </w:rPr>
              <w:t xml:space="preserve"> 在护理治疗</w:t>
            </w:r>
            <w:r>
              <w:rPr>
                <w:rFonts w:hint="eastAsia" w:ascii="宋体" w:hAnsi="宋体"/>
                <w:color w:val="auto"/>
                <w:szCs w:val="21"/>
              </w:rPr>
              <w:t>（口护、血糖监测等）</w:t>
            </w:r>
            <w:r>
              <w:rPr>
                <w:rFonts w:hint="eastAsia" w:ascii="宋体" w:hAnsi="宋体"/>
                <w:color w:val="auto"/>
                <w:szCs w:val="21"/>
              </w:rPr>
              <w:t>执行界面扫描患者腕带，出现对应患者待执行护理医嘱，勾选后执行。</w:t>
            </w:r>
          </w:p>
        </w:tc>
        <w:tc>
          <w:tcPr>
            <w:tcW w:w="709" w:type="dxa"/>
            <w:vMerge w:val="continue"/>
            <w:noWrap/>
            <w:vAlign w:val="center"/>
          </w:tcPr>
          <w:p w14:paraId="27577AC0">
            <w:pPr>
              <w:jc w:val="left"/>
              <w:rPr>
                <w:rFonts w:ascii="宋体" w:hAnsi="宋体"/>
                <w:color w:val="auto"/>
                <w:szCs w:val="21"/>
              </w:rPr>
            </w:pPr>
          </w:p>
        </w:tc>
      </w:tr>
      <w:tr w14:paraId="0770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6A4A580F">
            <w:pPr>
              <w:jc w:val="left"/>
              <w:rPr>
                <w:rFonts w:ascii="宋体" w:hAnsi="宋体"/>
                <w:color w:val="auto"/>
                <w:szCs w:val="21"/>
              </w:rPr>
            </w:pPr>
          </w:p>
        </w:tc>
        <w:tc>
          <w:tcPr>
            <w:tcW w:w="565" w:type="dxa"/>
            <w:gridSpan w:val="2"/>
            <w:vMerge w:val="continue"/>
            <w:noWrap/>
            <w:vAlign w:val="center"/>
          </w:tcPr>
          <w:p w14:paraId="0613569D">
            <w:pPr>
              <w:jc w:val="left"/>
              <w:rPr>
                <w:rFonts w:ascii="宋体" w:hAnsi="宋体"/>
                <w:color w:val="auto"/>
                <w:szCs w:val="21"/>
              </w:rPr>
            </w:pPr>
          </w:p>
        </w:tc>
        <w:tc>
          <w:tcPr>
            <w:tcW w:w="697" w:type="dxa"/>
            <w:noWrap/>
            <w:vAlign w:val="center"/>
          </w:tcPr>
          <w:p w14:paraId="04AF6FDB">
            <w:pPr>
              <w:jc w:val="left"/>
              <w:rPr>
                <w:rFonts w:ascii="宋体" w:hAnsi="宋体"/>
                <w:color w:val="auto"/>
                <w:szCs w:val="21"/>
              </w:rPr>
            </w:pPr>
            <w:r>
              <w:rPr>
                <w:rFonts w:hint="eastAsia" w:ascii="宋体" w:hAnsi="宋体"/>
                <w:color w:val="auto"/>
                <w:szCs w:val="21"/>
              </w:rPr>
              <w:t>护理治疗执行记录查看</w:t>
            </w:r>
          </w:p>
        </w:tc>
        <w:tc>
          <w:tcPr>
            <w:tcW w:w="6938" w:type="dxa"/>
            <w:gridSpan w:val="2"/>
            <w:noWrap/>
            <w:vAlign w:val="center"/>
          </w:tcPr>
          <w:p w14:paraId="099DF77F">
            <w:pPr>
              <w:rPr>
                <w:rFonts w:ascii="宋体" w:hAnsi="宋体"/>
                <w:color w:val="auto"/>
                <w:szCs w:val="21"/>
              </w:rPr>
            </w:pPr>
            <w:r>
              <w:rPr>
                <w:rFonts w:hint="eastAsia" w:ascii="宋体" w:hAnsi="宋体"/>
                <w:color w:val="auto"/>
                <w:szCs w:val="21"/>
              </w:rPr>
              <w:t xml:space="preserve"> 可查看任意时间任一患者的护理治疗执行全过程记录。</w:t>
            </w:r>
          </w:p>
        </w:tc>
        <w:tc>
          <w:tcPr>
            <w:tcW w:w="709" w:type="dxa"/>
            <w:vMerge w:val="continue"/>
            <w:noWrap/>
            <w:vAlign w:val="center"/>
          </w:tcPr>
          <w:p w14:paraId="086319B4">
            <w:pPr>
              <w:jc w:val="left"/>
              <w:rPr>
                <w:rFonts w:ascii="宋体" w:hAnsi="宋体"/>
                <w:color w:val="auto"/>
                <w:szCs w:val="21"/>
              </w:rPr>
            </w:pPr>
          </w:p>
        </w:tc>
      </w:tr>
      <w:tr w14:paraId="5BB1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4A3B6FDC">
            <w:pPr>
              <w:jc w:val="left"/>
              <w:rPr>
                <w:rFonts w:ascii="宋体" w:hAnsi="宋体"/>
                <w:color w:val="auto"/>
                <w:szCs w:val="21"/>
              </w:rPr>
            </w:pPr>
          </w:p>
        </w:tc>
        <w:tc>
          <w:tcPr>
            <w:tcW w:w="565" w:type="dxa"/>
            <w:gridSpan w:val="2"/>
            <w:vMerge w:val="restart"/>
            <w:noWrap/>
            <w:vAlign w:val="center"/>
          </w:tcPr>
          <w:p w14:paraId="1D17A006">
            <w:pPr>
              <w:jc w:val="left"/>
              <w:rPr>
                <w:rFonts w:ascii="宋体" w:hAnsi="宋体"/>
                <w:color w:val="auto"/>
                <w:szCs w:val="21"/>
              </w:rPr>
            </w:pPr>
            <w:r>
              <w:rPr>
                <w:rFonts w:hint="eastAsia" w:ascii="宋体" w:hAnsi="宋体"/>
                <w:color w:val="auto"/>
                <w:szCs w:val="21"/>
              </w:rPr>
              <w:t>体征管理</w:t>
            </w:r>
          </w:p>
        </w:tc>
        <w:tc>
          <w:tcPr>
            <w:tcW w:w="697" w:type="dxa"/>
            <w:vMerge w:val="restart"/>
            <w:noWrap/>
            <w:vAlign w:val="center"/>
          </w:tcPr>
          <w:p w14:paraId="42BB1A63">
            <w:pPr>
              <w:jc w:val="left"/>
              <w:rPr>
                <w:rFonts w:ascii="宋体" w:hAnsi="宋体"/>
                <w:color w:val="auto"/>
                <w:szCs w:val="21"/>
              </w:rPr>
            </w:pPr>
            <w:r>
              <w:rPr>
                <w:rFonts w:hint="eastAsia" w:ascii="宋体" w:hAnsi="宋体"/>
                <w:color w:val="auto"/>
                <w:szCs w:val="21"/>
              </w:rPr>
              <w:t>批量采集模式</w:t>
            </w:r>
          </w:p>
        </w:tc>
        <w:tc>
          <w:tcPr>
            <w:tcW w:w="6938" w:type="dxa"/>
            <w:gridSpan w:val="2"/>
            <w:noWrap/>
            <w:vAlign w:val="center"/>
          </w:tcPr>
          <w:p w14:paraId="11454CC0">
            <w:pPr>
              <w:rPr>
                <w:rFonts w:ascii="宋体" w:hAnsi="宋体"/>
                <w:color w:val="auto"/>
                <w:szCs w:val="21"/>
              </w:rPr>
            </w:pPr>
            <w:r>
              <w:rPr>
                <w:rFonts w:hint="eastAsia" w:ascii="宋体" w:hAnsi="宋体"/>
                <w:color w:val="auto"/>
                <w:szCs w:val="21"/>
              </w:rPr>
              <w:t>实现在同一页面完成病区多个患者的体征数据录入和查询。</w:t>
            </w:r>
          </w:p>
        </w:tc>
        <w:tc>
          <w:tcPr>
            <w:tcW w:w="709" w:type="dxa"/>
            <w:vMerge w:val="continue"/>
            <w:noWrap/>
            <w:vAlign w:val="center"/>
          </w:tcPr>
          <w:p w14:paraId="1164FCF0">
            <w:pPr>
              <w:jc w:val="left"/>
              <w:rPr>
                <w:rFonts w:ascii="宋体" w:hAnsi="宋体"/>
                <w:color w:val="auto"/>
                <w:szCs w:val="21"/>
              </w:rPr>
            </w:pPr>
          </w:p>
        </w:tc>
      </w:tr>
      <w:tr w14:paraId="0632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2271D15">
            <w:pPr>
              <w:jc w:val="left"/>
              <w:rPr>
                <w:rFonts w:ascii="宋体" w:hAnsi="宋体"/>
                <w:color w:val="auto"/>
                <w:szCs w:val="21"/>
              </w:rPr>
            </w:pPr>
          </w:p>
        </w:tc>
        <w:tc>
          <w:tcPr>
            <w:tcW w:w="565" w:type="dxa"/>
            <w:gridSpan w:val="2"/>
            <w:vMerge w:val="continue"/>
            <w:noWrap/>
            <w:vAlign w:val="center"/>
          </w:tcPr>
          <w:p w14:paraId="355EEAE0">
            <w:pPr>
              <w:jc w:val="left"/>
              <w:rPr>
                <w:rFonts w:ascii="宋体" w:hAnsi="宋体"/>
                <w:color w:val="auto"/>
                <w:szCs w:val="21"/>
              </w:rPr>
            </w:pPr>
          </w:p>
        </w:tc>
        <w:tc>
          <w:tcPr>
            <w:tcW w:w="697" w:type="dxa"/>
            <w:vMerge w:val="continue"/>
            <w:noWrap/>
            <w:vAlign w:val="center"/>
          </w:tcPr>
          <w:p w14:paraId="3530AB56">
            <w:pPr>
              <w:jc w:val="left"/>
              <w:rPr>
                <w:rFonts w:ascii="宋体" w:hAnsi="宋体"/>
                <w:color w:val="auto"/>
                <w:szCs w:val="21"/>
              </w:rPr>
            </w:pPr>
          </w:p>
        </w:tc>
        <w:tc>
          <w:tcPr>
            <w:tcW w:w="6938" w:type="dxa"/>
            <w:gridSpan w:val="2"/>
            <w:noWrap/>
            <w:vAlign w:val="center"/>
          </w:tcPr>
          <w:p w14:paraId="55C43424">
            <w:pPr>
              <w:rPr>
                <w:rFonts w:ascii="宋体" w:hAnsi="宋体"/>
                <w:color w:val="auto"/>
                <w:szCs w:val="21"/>
              </w:rPr>
            </w:pPr>
            <w:r>
              <w:rPr>
                <w:rFonts w:hint="eastAsia" w:ascii="宋体" w:hAnsi="宋体"/>
                <w:color w:val="auto"/>
                <w:szCs w:val="21"/>
              </w:rPr>
              <w:t xml:space="preserve"> 体征项目根据需要配置，包括但不限于体温、脉搏、呼吸、血压、心率、血氧、大便、体重等。</w:t>
            </w:r>
          </w:p>
        </w:tc>
        <w:tc>
          <w:tcPr>
            <w:tcW w:w="709" w:type="dxa"/>
            <w:vMerge w:val="continue"/>
            <w:noWrap/>
            <w:vAlign w:val="center"/>
          </w:tcPr>
          <w:p w14:paraId="472979EC">
            <w:pPr>
              <w:jc w:val="left"/>
              <w:rPr>
                <w:rFonts w:ascii="宋体" w:hAnsi="宋体"/>
                <w:color w:val="auto"/>
                <w:szCs w:val="21"/>
              </w:rPr>
            </w:pPr>
          </w:p>
        </w:tc>
      </w:tr>
      <w:tr w14:paraId="5951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3CA0337">
            <w:pPr>
              <w:jc w:val="left"/>
              <w:rPr>
                <w:rFonts w:ascii="宋体" w:hAnsi="宋体"/>
                <w:color w:val="auto"/>
                <w:szCs w:val="21"/>
              </w:rPr>
            </w:pPr>
          </w:p>
        </w:tc>
        <w:tc>
          <w:tcPr>
            <w:tcW w:w="565" w:type="dxa"/>
            <w:gridSpan w:val="2"/>
            <w:vMerge w:val="continue"/>
            <w:noWrap/>
            <w:vAlign w:val="center"/>
          </w:tcPr>
          <w:p w14:paraId="78BF02D3">
            <w:pPr>
              <w:jc w:val="left"/>
              <w:rPr>
                <w:rFonts w:ascii="宋体" w:hAnsi="宋体"/>
                <w:color w:val="auto"/>
                <w:szCs w:val="21"/>
              </w:rPr>
            </w:pPr>
          </w:p>
        </w:tc>
        <w:tc>
          <w:tcPr>
            <w:tcW w:w="697" w:type="dxa"/>
            <w:vMerge w:val="continue"/>
            <w:noWrap/>
            <w:vAlign w:val="center"/>
          </w:tcPr>
          <w:p w14:paraId="7FA987AC">
            <w:pPr>
              <w:jc w:val="left"/>
              <w:rPr>
                <w:rFonts w:ascii="宋体" w:hAnsi="宋体"/>
                <w:color w:val="auto"/>
                <w:szCs w:val="21"/>
              </w:rPr>
            </w:pPr>
          </w:p>
        </w:tc>
        <w:tc>
          <w:tcPr>
            <w:tcW w:w="6938" w:type="dxa"/>
            <w:gridSpan w:val="2"/>
            <w:noWrap/>
            <w:vAlign w:val="center"/>
          </w:tcPr>
          <w:p w14:paraId="35B407DB">
            <w:pPr>
              <w:rPr>
                <w:rFonts w:ascii="宋体" w:hAnsi="宋体"/>
                <w:color w:val="auto"/>
                <w:szCs w:val="21"/>
              </w:rPr>
            </w:pPr>
            <w:r>
              <w:rPr>
                <w:rFonts w:hint="eastAsia" w:ascii="宋体" w:hAnsi="宋体"/>
                <w:color w:val="auto"/>
                <w:szCs w:val="21"/>
              </w:rPr>
              <w:t xml:space="preserve"> 根据智能提醒规则，可筛选出待测患者，且待测体征项目都有颜色标识。</w:t>
            </w:r>
          </w:p>
        </w:tc>
        <w:tc>
          <w:tcPr>
            <w:tcW w:w="709" w:type="dxa"/>
            <w:vMerge w:val="continue"/>
            <w:noWrap/>
            <w:vAlign w:val="center"/>
          </w:tcPr>
          <w:p w14:paraId="737EE002">
            <w:pPr>
              <w:jc w:val="left"/>
              <w:rPr>
                <w:rFonts w:ascii="宋体" w:hAnsi="宋体"/>
                <w:color w:val="auto"/>
                <w:szCs w:val="21"/>
              </w:rPr>
            </w:pPr>
          </w:p>
        </w:tc>
      </w:tr>
      <w:tr w14:paraId="61F1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1A18273">
            <w:pPr>
              <w:jc w:val="left"/>
              <w:rPr>
                <w:rFonts w:ascii="宋体" w:hAnsi="宋体"/>
                <w:color w:val="auto"/>
                <w:szCs w:val="21"/>
              </w:rPr>
            </w:pPr>
          </w:p>
        </w:tc>
        <w:tc>
          <w:tcPr>
            <w:tcW w:w="565" w:type="dxa"/>
            <w:gridSpan w:val="2"/>
            <w:vMerge w:val="continue"/>
            <w:noWrap/>
            <w:vAlign w:val="center"/>
          </w:tcPr>
          <w:p w14:paraId="0D62F23C">
            <w:pPr>
              <w:jc w:val="left"/>
              <w:rPr>
                <w:rFonts w:ascii="宋体" w:hAnsi="宋体"/>
                <w:color w:val="auto"/>
                <w:szCs w:val="21"/>
              </w:rPr>
            </w:pPr>
          </w:p>
        </w:tc>
        <w:tc>
          <w:tcPr>
            <w:tcW w:w="697" w:type="dxa"/>
            <w:vMerge w:val="continue"/>
            <w:noWrap/>
            <w:vAlign w:val="center"/>
          </w:tcPr>
          <w:p w14:paraId="45714C51">
            <w:pPr>
              <w:jc w:val="left"/>
              <w:rPr>
                <w:rFonts w:ascii="宋体" w:hAnsi="宋体"/>
                <w:color w:val="auto"/>
                <w:szCs w:val="21"/>
              </w:rPr>
            </w:pPr>
          </w:p>
        </w:tc>
        <w:tc>
          <w:tcPr>
            <w:tcW w:w="6938" w:type="dxa"/>
            <w:gridSpan w:val="2"/>
            <w:noWrap/>
            <w:vAlign w:val="center"/>
          </w:tcPr>
          <w:p w14:paraId="1A6AFDED">
            <w:pPr>
              <w:rPr>
                <w:rFonts w:ascii="宋体" w:hAnsi="宋体"/>
                <w:color w:val="auto"/>
                <w:szCs w:val="21"/>
              </w:rPr>
            </w:pPr>
            <w:r>
              <w:rPr>
                <w:rFonts w:hint="eastAsia" w:ascii="宋体" w:hAnsi="宋体"/>
                <w:color w:val="auto"/>
                <w:szCs w:val="21"/>
              </w:rPr>
              <w:t xml:space="preserve"> 日期默认当天，可自行切换；可根据需要调整一天的起始时间；时间点按照护理常规要求分为六个整时点（如2/6/10/14/18/22），默认选中距离当前最近的时间点，可自行切换。</w:t>
            </w:r>
          </w:p>
        </w:tc>
        <w:tc>
          <w:tcPr>
            <w:tcW w:w="709" w:type="dxa"/>
            <w:vMerge w:val="continue"/>
            <w:noWrap/>
            <w:vAlign w:val="center"/>
          </w:tcPr>
          <w:p w14:paraId="2249EAEA">
            <w:pPr>
              <w:jc w:val="left"/>
              <w:rPr>
                <w:rFonts w:ascii="宋体" w:hAnsi="宋体"/>
                <w:color w:val="auto"/>
                <w:szCs w:val="21"/>
              </w:rPr>
            </w:pPr>
          </w:p>
        </w:tc>
      </w:tr>
      <w:tr w14:paraId="26D4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7075CF8">
            <w:pPr>
              <w:jc w:val="left"/>
              <w:rPr>
                <w:rFonts w:ascii="宋体" w:hAnsi="宋体"/>
                <w:color w:val="auto"/>
                <w:szCs w:val="21"/>
              </w:rPr>
            </w:pPr>
          </w:p>
        </w:tc>
        <w:tc>
          <w:tcPr>
            <w:tcW w:w="565" w:type="dxa"/>
            <w:gridSpan w:val="2"/>
            <w:vMerge w:val="continue"/>
            <w:noWrap/>
            <w:vAlign w:val="center"/>
          </w:tcPr>
          <w:p w14:paraId="104872A3">
            <w:pPr>
              <w:jc w:val="left"/>
              <w:rPr>
                <w:rFonts w:ascii="宋体" w:hAnsi="宋体"/>
                <w:color w:val="auto"/>
                <w:szCs w:val="21"/>
              </w:rPr>
            </w:pPr>
          </w:p>
        </w:tc>
        <w:tc>
          <w:tcPr>
            <w:tcW w:w="697" w:type="dxa"/>
            <w:vMerge w:val="continue"/>
            <w:noWrap/>
            <w:vAlign w:val="center"/>
          </w:tcPr>
          <w:p w14:paraId="40577FA1">
            <w:pPr>
              <w:jc w:val="left"/>
              <w:rPr>
                <w:rFonts w:ascii="宋体" w:hAnsi="宋体"/>
                <w:color w:val="auto"/>
                <w:szCs w:val="21"/>
              </w:rPr>
            </w:pPr>
          </w:p>
        </w:tc>
        <w:tc>
          <w:tcPr>
            <w:tcW w:w="6938" w:type="dxa"/>
            <w:gridSpan w:val="2"/>
            <w:noWrap/>
            <w:vAlign w:val="center"/>
          </w:tcPr>
          <w:p w14:paraId="36619EC6">
            <w:pPr>
              <w:rPr>
                <w:rFonts w:ascii="宋体" w:hAnsi="宋体"/>
                <w:color w:val="auto"/>
                <w:szCs w:val="21"/>
              </w:rPr>
            </w:pPr>
            <w:r>
              <w:rPr>
                <w:rFonts w:hint="eastAsia" w:ascii="宋体" w:hAnsi="宋体"/>
                <w:color w:val="auto"/>
                <w:szCs w:val="21"/>
              </w:rPr>
              <w:t xml:space="preserve"> 自带体征输入法，键盘数字与选项根据不同体征的特点设计，实现快捷输入。</w:t>
            </w:r>
          </w:p>
        </w:tc>
        <w:tc>
          <w:tcPr>
            <w:tcW w:w="709" w:type="dxa"/>
            <w:vMerge w:val="continue"/>
            <w:noWrap/>
            <w:vAlign w:val="center"/>
          </w:tcPr>
          <w:p w14:paraId="6623D91D">
            <w:pPr>
              <w:jc w:val="left"/>
              <w:rPr>
                <w:rFonts w:ascii="宋体" w:hAnsi="宋体"/>
                <w:color w:val="auto"/>
                <w:szCs w:val="21"/>
              </w:rPr>
            </w:pPr>
          </w:p>
        </w:tc>
      </w:tr>
      <w:tr w14:paraId="1727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1AE9424D">
            <w:pPr>
              <w:jc w:val="left"/>
              <w:rPr>
                <w:rFonts w:ascii="宋体" w:hAnsi="宋体"/>
                <w:color w:val="auto"/>
                <w:szCs w:val="21"/>
              </w:rPr>
            </w:pPr>
          </w:p>
        </w:tc>
        <w:tc>
          <w:tcPr>
            <w:tcW w:w="565" w:type="dxa"/>
            <w:gridSpan w:val="2"/>
            <w:vMerge w:val="continue"/>
            <w:noWrap/>
            <w:vAlign w:val="center"/>
          </w:tcPr>
          <w:p w14:paraId="75BF81DB">
            <w:pPr>
              <w:jc w:val="left"/>
              <w:rPr>
                <w:rFonts w:ascii="宋体" w:hAnsi="宋体"/>
                <w:color w:val="auto"/>
                <w:szCs w:val="21"/>
              </w:rPr>
            </w:pPr>
          </w:p>
        </w:tc>
        <w:tc>
          <w:tcPr>
            <w:tcW w:w="697" w:type="dxa"/>
            <w:vMerge w:val="continue"/>
            <w:noWrap/>
            <w:vAlign w:val="center"/>
          </w:tcPr>
          <w:p w14:paraId="791D0628">
            <w:pPr>
              <w:jc w:val="left"/>
              <w:rPr>
                <w:rFonts w:ascii="宋体" w:hAnsi="宋体"/>
                <w:color w:val="auto"/>
                <w:szCs w:val="21"/>
              </w:rPr>
            </w:pPr>
          </w:p>
        </w:tc>
        <w:tc>
          <w:tcPr>
            <w:tcW w:w="6938" w:type="dxa"/>
            <w:gridSpan w:val="2"/>
            <w:noWrap/>
            <w:vAlign w:val="center"/>
          </w:tcPr>
          <w:p w14:paraId="4EA17BFA">
            <w:pPr>
              <w:rPr>
                <w:rFonts w:ascii="宋体" w:hAnsi="宋体"/>
                <w:color w:val="auto"/>
                <w:szCs w:val="21"/>
              </w:rPr>
            </w:pPr>
            <w:r>
              <w:rPr>
                <w:rFonts w:hint="eastAsia" w:ascii="宋体" w:hAnsi="宋体"/>
                <w:color w:val="auto"/>
                <w:szCs w:val="21"/>
              </w:rPr>
              <w:t xml:space="preserve"> 每格录入后自动保存，避免大量数据丢失。</w:t>
            </w:r>
          </w:p>
        </w:tc>
        <w:tc>
          <w:tcPr>
            <w:tcW w:w="709" w:type="dxa"/>
            <w:vMerge w:val="continue"/>
            <w:noWrap/>
            <w:vAlign w:val="center"/>
          </w:tcPr>
          <w:p w14:paraId="0A8B35DD">
            <w:pPr>
              <w:jc w:val="left"/>
              <w:rPr>
                <w:rFonts w:ascii="宋体" w:hAnsi="宋体"/>
                <w:color w:val="auto"/>
                <w:szCs w:val="21"/>
              </w:rPr>
            </w:pPr>
          </w:p>
        </w:tc>
      </w:tr>
      <w:tr w14:paraId="64B7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81629DB">
            <w:pPr>
              <w:jc w:val="left"/>
              <w:rPr>
                <w:rFonts w:ascii="宋体" w:hAnsi="宋体"/>
                <w:color w:val="auto"/>
                <w:szCs w:val="21"/>
              </w:rPr>
            </w:pPr>
          </w:p>
        </w:tc>
        <w:tc>
          <w:tcPr>
            <w:tcW w:w="565" w:type="dxa"/>
            <w:gridSpan w:val="2"/>
            <w:vMerge w:val="continue"/>
            <w:noWrap/>
            <w:vAlign w:val="center"/>
          </w:tcPr>
          <w:p w14:paraId="485C563F">
            <w:pPr>
              <w:jc w:val="left"/>
              <w:rPr>
                <w:rFonts w:ascii="宋体" w:hAnsi="宋体"/>
                <w:color w:val="auto"/>
                <w:szCs w:val="21"/>
              </w:rPr>
            </w:pPr>
          </w:p>
        </w:tc>
        <w:tc>
          <w:tcPr>
            <w:tcW w:w="697" w:type="dxa"/>
            <w:vMerge w:val="continue"/>
            <w:noWrap/>
            <w:vAlign w:val="center"/>
          </w:tcPr>
          <w:p w14:paraId="54C548B4">
            <w:pPr>
              <w:jc w:val="left"/>
              <w:rPr>
                <w:rFonts w:ascii="宋体" w:hAnsi="宋体"/>
                <w:color w:val="auto"/>
                <w:szCs w:val="21"/>
              </w:rPr>
            </w:pPr>
          </w:p>
        </w:tc>
        <w:tc>
          <w:tcPr>
            <w:tcW w:w="6938" w:type="dxa"/>
            <w:gridSpan w:val="2"/>
            <w:noWrap/>
            <w:vAlign w:val="center"/>
          </w:tcPr>
          <w:p w14:paraId="4FA710D1">
            <w:pPr>
              <w:rPr>
                <w:rFonts w:ascii="宋体" w:hAnsi="宋体"/>
                <w:color w:val="auto"/>
                <w:szCs w:val="21"/>
              </w:rPr>
            </w:pPr>
            <w:r>
              <w:rPr>
                <w:rFonts w:hint="eastAsia" w:ascii="宋体" w:hAnsi="宋体"/>
                <w:color w:val="auto"/>
                <w:szCs w:val="21"/>
              </w:rPr>
              <w:t xml:space="preserve"> 数据自动同步到PDA端的单人采集页面、PC端的批量体征录入页面和患者体温单。</w:t>
            </w:r>
          </w:p>
        </w:tc>
        <w:tc>
          <w:tcPr>
            <w:tcW w:w="709" w:type="dxa"/>
            <w:vMerge w:val="continue"/>
            <w:noWrap/>
            <w:vAlign w:val="center"/>
          </w:tcPr>
          <w:p w14:paraId="0C42FC8D">
            <w:pPr>
              <w:jc w:val="left"/>
              <w:rPr>
                <w:rFonts w:ascii="宋体" w:hAnsi="宋体"/>
                <w:color w:val="auto"/>
                <w:szCs w:val="21"/>
              </w:rPr>
            </w:pPr>
          </w:p>
        </w:tc>
      </w:tr>
      <w:tr w14:paraId="5BC3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29F6CEA4">
            <w:pPr>
              <w:jc w:val="left"/>
              <w:rPr>
                <w:rFonts w:ascii="宋体" w:hAnsi="宋体"/>
                <w:color w:val="auto"/>
                <w:szCs w:val="21"/>
              </w:rPr>
            </w:pPr>
          </w:p>
        </w:tc>
        <w:tc>
          <w:tcPr>
            <w:tcW w:w="565" w:type="dxa"/>
            <w:gridSpan w:val="2"/>
            <w:vMerge w:val="continue"/>
            <w:noWrap/>
            <w:vAlign w:val="center"/>
          </w:tcPr>
          <w:p w14:paraId="05F9B163">
            <w:pPr>
              <w:jc w:val="left"/>
              <w:rPr>
                <w:rFonts w:ascii="宋体" w:hAnsi="宋体"/>
                <w:color w:val="auto"/>
                <w:szCs w:val="21"/>
              </w:rPr>
            </w:pPr>
          </w:p>
        </w:tc>
        <w:tc>
          <w:tcPr>
            <w:tcW w:w="697" w:type="dxa"/>
            <w:vMerge w:val="restart"/>
            <w:noWrap/>
            <w:vAlign w:val="center"/>
          </w:tcPr>
          <w:p w14:paraId="0B760E50">
            <w:pPr>
              <w:jc w:val="left"/>
              <w:rPr>
                <w:rFonts w:ascii="宋体" w:hAnsi="宋体"/>
                <w:color w:val="auto"/>
                <w:szCs w:val="21"/>
              </w:rPr>
            </w:pPr>
            <w:r>
              <w:rPr>
                <w:rFonts w:hint="eastAsia" w:ascii="宋体" w:hAnsi="宋体"/>
                <w:color w:val="auto"/>
                <w:szCs w:val="21"/>
              </w:rPr>
              <w:t>单人采集模式</w:t>
            </w:r>
          </w:p>
        </w:tc>
        <w:tc>
          <w:tcPr>
            <w:tcW w:w="6938" w:type="dxa"/>
            <w:gridSpan w:val="2"/>
            <w:noWrap/>
            <w:vAlign w:val="center"/>
          </w:tcPr>
          <w:p w14:paraId="4C4AD467">
            <w:pPr>
              <w:rPr>
                <w:rFonts w:ascii="宋体" w:hAnsi="宋体"/>
                <w:color w:val="auto"/>
                <w:szCs w:val="21"/>
              </w:rPr>
            </w:pPr>
            <w:r>
              <w:rPr>
                <w:rFonts w:hint="eastAsia" w:ascii="宋体" w:hAnsi="宋体"/>
                <w:color w:val="auto"/>
                <w:szCs w:val="21"/>
              </w:rPr>
              <w:t xml:space="preserve"> 可扫描患者腕带条码快速切换患者，或在页面点击选择。</w:t>
            </w:r>
          </w:p>
        </w:tc>
        <w:tc>
          <w:tcPr>
            <w:tcW w:w="709" w:type="dxa"/>
            <w:vMerge w:val="continue"/>
            <w:noWrap/>
            <w:vAlign w:val="center"/>
          </w:tcPr>
          <w:p w14:paraId="10DB8BDB">
            <w:pPr>
              <w:jc w:val="left"/>
              <w:rPr>
                <w:rFonts w:ascii="宋体" w:hAnsi="宋体"/>
                <w:color w:val="auto"/>
                <w:szCs w:val="21"/>
              </w:rPr>
            </w:pPr>
          </w:p>
        </w:tc>
      </w:tr>
      <w:tr w14:paraId="6AEF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67FF637F">
            <w:pPr>
              <w:jc w:val="left"/>
              <w:rPr>
                <w:rFonts w:ascii="宋体" w:hAnsi="宋体"/>
                <w:color w:val="auto"/>
                <w:szCs w:val="21"/>
              </w:rPr>
            </w:pPr>
          </w:p>
        </w:tc>
        <w:tc>
          <w:tcPr>
            <w:tcW w:w="565" w:type="dxa"/>
            <w:gridSpan w:val="2"/>
            <w:vMerge w:val="continue"/>
            <w:noWrap/>
            <w:vAlign w:val="center"/>
          </w:tcPr>
          <w:p w14:paraId="5DF6B775">
            <w:pPr>
              <w:jc w:val="left"/>
              <w:rPr>
                <w:rFonts w:ascii="宋体" w:hAnsi="宋体"/>
                <w:color w:val="auto"/>
                <w:szCs w:val="21"/>
              </w:rPr>
            </w:pPr>
          </w:p>
        </w:tc>
        <w:tc>
          <w:tcPr>
            <w:tcW w:w="697" w:type="dxa"/>
            <w:vMerge w:val="continue"/>
            <w:noWrap/>
            <w:vAlign w:val="center"/>
          </w:tcPr>
          <w:p w14:paraId="53FC5EEF">
            <w:pPr>
              <w:jc w:val="left"/>
              <w:rPr>
                <w:rFonts w:ascii="宋体" w:hAnsi="宋体"/>
                <w:color w:val="auto"/>
                <w:szCs w:val="21"/>
              </w:rPr>
            </w:pPr>
          </w:p>
        </w:tc>
        <w:tc>
          <w:tcPr>
            <w:tcW w:w="6938" w:type="dxa"/>
            <w:gridSpan w:val="2"/>
            <w:noWrap/>
            <w:vAlign w:val="center"/>
          </w:tcPr>
          <w:p w14:paraId="6F947E49">
            <w:pPr>
              <w:rPr>
                <w:rFonts w:ascii="宋体" w:hAnsi="宋体"/>
                <w:color w:val="auto"/>
                <w:szCs w:val="21"/>
              </w:rPr>
            </w:pPr>
            <w:r>
              <w:rPr>
                <w:rFonts w:hint="eastAsia" w:ascii="宋体" w:hAnsi="宋体"/>
                <w:color w:val="auto"/>
                <w:szCs w:val="21"/>
              </w:rPr>
              <w:t xml:space="preserve"> 体征项目包括体温（可选是否降温后体温）、脉搏、呼吸、心率、血压、意识、大便等。</w:t>
            </w:r>
          </w:p>
        </w:tc>
        <w:tc>
          <w:tcPr>
            <w:tcW w:w="709" w:type="dxa"/>
            <w:vMerge w:val="continue"/>
            <w:noWrap/>
            <w:vAlign w:val="center"/>
          </w:tcPr>
          <w:p w14:paraId="41F7A7F4">
            <w:pPr>
              <w:jc w:val="left"/>
              <w:rPr>
                <w:rFonts w:ascii="宋体" w:hAnsi="宋体"/>
                <w:color w:val="auto"/>
                <w:szCs w:val="21"/>
              </w:rPr>
            </w:pPr>
          </w:p>
        </w:tc>
      </w:tr>
      <w:tr w14:paraId="6635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0FEEB572">
            <w:pPr>
              <w:jc w:val="left"/>
              <w:rPr>
                <w:rFonts w:ascii="宋体" w:hAnsi="宋体"/>
                <w:color w:val="auto"/>
                <w:szCs w:val="21"/>
              </w:rPr>
            </w:pPr>
          </w:p>
        </w:tc>
        <w:tc>
          <w:tcPr>
            <w:tcW w:w="565" w:type="dxa"/>
            <w:gridSpan w:val="2"/>
            <w:vMerge w:val="continue"/>
            <w:noWrap/>
            <w:vAlign w:val="center"/>
          </w:tcPr>
          <w:p w14:paraId="3BCF6085">
            <w:pPr>
              <w:jc w:val="left"/>
              <w:rPr>
                <w:rFonts w:ascii="宋体" w:hAnsi="宋体"/>
                <w:color w:val="auto"/>
                <w:szCs w:val="21"/>
              </w:rPr>
            </w:pPr>
          </w:p>
        </w:tc>
        <w:tc>
          <w:tcPr>
            <w:tcW w:w="697" w:type="dxa"/>
            <w:vMerge w:val="continue"/>
            <w:noWrap/>
            <w:vAlign w:val="center"/>
          </w:tcPr>
          <w:p w14:paraId="761D2944">
            <w:pPr>
              <w:jc w:val="left"/>
              <w:rPr>
                <w:rFonts w:ascii="宋体" w:hAnsi="宋体"/>
                <w:color w:val="auto"/>
                <w:szCs w:val="21"/>
              </w:rPr>
            </w:pPr>
          </w:p>
        </w:tc>
        <w:tc>
          <w:tcPr>
            <w:tcW w:w="6938" w:type="dxa"/>
            <w:gridSpan w:val="2"/>
            <w:noWrap/>
            <w:vAlign w:val="center"/>
          </w:tcPr>
          <w:p w14:paraId="7E35A02F">
            <w:pPr>
              <w:rPr>
                <w:rFonts w:ascii="宋体" w:hAnsi="宋体"/>
                <w:color w:val="auto"/>
                <w:szCs w:val="21"/>
              </w:rPr>
            </w:pPr>
            <w:r>
              <w:rPr>
                <w:rFonts w:hint="eastAsia" w:ascii="宋体" w:hAnsi="宋体"/>
                <w:color w:val="auto"/>
                <w:szCs w:val="21"/>
              </w:rPr>
              <w:t xml:space="preserve"> 日期默认当天，默认选中距离当前最近的时间点，可自行切换，也可设为“临时采集”模式，则按照当前实际时间保存体征数据。</w:t>
            </w:r>
          </w:p>
        </w:tc>
        <w:tc>
          <w:tcPr>
            <w:tcW w:w="709" w:type="dxa"/>
            <w:vMerge w:val="continue"/>
            <w:noWrap/>
            <w:vAlign w:val="center"/>
          </w:tcPr>
          <w:p w14:paraId="6305A828">
            <w:pPr>
              <w:jc w:val="left"/>
              <w:rPr>
                <w:rFonts w:ascii="宋体" w:hAnsi="宋体"/>
                <w:color w:val="auto"/>
                <w:szCs w:val="21"/>
              </w:rPr>
            </w:pPr>
          </w:p>
        </w:tc>
      </w:tr>
      <w:tr w14:paraId="7D8D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454" w:hRule="atLeast"/>
        </w:trPr>
        <w:tc>
          <w:tcPr>
            <w:tcW w:w="731" w:type="dxa"/>
            <w:vMerge w:val="continue"/>
            <w:noWrap/>
            <w:vAlign w:val="center"/>
          </w:tcPr>
          <w:p w14:paraId="5EC6A33C">
            <w:pPr>
              <w:jc w:val="left"/>
              <w:rPr>
                <w:rFonts w:ascii="宋体" w:hAnsi="宋体"/>
                <w:color w:val="auto"/>
                <w:szCs w:val="21"/>
              </w:rPr>
            </w:pPr>
          </w:p>
        </w:tc>
        <w:tc>
          <w:tcPr>
            <w:tcW w:w="565" w:type="dxa"/>
            <w:gridSpan w:val="2"/>
            <w:vMerge w:val="continue"/>
            <w:noWrap/>
            <w:vAlign w:val="center"/>
          </w:tcPr>
          <w:p w14:paraId="68E0D310">
            <w:pPr>
              <w:jc w:val="left"/>
              <w:rPr>
                <w:rFonts w:ascii="宋体" w:hAnsi="宋体"/>
                <w:color w:val="auto"/>
                <w:szCs w:val="21"/>
              </w:rPr>
            </w:pPr>
          </w:p>
        </w:tc>
        <w:tc>
          <w:tcPr>
            <w:tcW w:w="697" w:type="dxa"/>
            <w:vMerge w:val="continue"/>
            <w:noWrap/>
            <w:vAlign w:val="center"/>
          </w:tcPr>
          <w:p w14:paraId="2B6B86B9">
            <w:pPr>
              <w:jc w:val="left"/>
              <w:rPr>
                <w:rFonts w:ascii="宋体" w:hAnsi="宋体"/>
                <w:color w:val="auto"/>
                <w:szCs w:val="21"/>
              </w:rPr>
            </w:pPr>
          </w:p>
        </w:tc>
        <w:tc>
          <w:tcPr>
            <w:tcW w:w="6938" w:type="dxa"/>
            <w:gridSpan w:val="2"/>
            <w:noWrap/>
            <w:vAlign w:val="center"/>
          </w:tcPr>
          <w:p w14:paraId="26D7BA5A">
            <w:pPr>
              <w:rPr>
                <w:rFonts w:ascii="宋体" w:hAnsi="宋体"/>
                <w:color w:val="auto"/>
                <w:szCs w:val="21"/>
              </w:rPr>
            </w:pPr>
            <w:r>
              <w:rPr>
                <w:rFonts w:hint="eastAsia" w:ascii="宋体" w:hAnsi="宋体"/>
                <w:color w:val="auto"/>
                <w:szCs w:val="21"/>
              </w:rPr>
              <w:t xml:space="preserve"> 测量时数据自动上传，保存后自动同步到PDA端的批量体征录入页面、PC端的批量体征录入页面和患者体温单。</w:t>
            </w:r>
          </w:p>
        </w:tc>
        <w:tc>
          <w:tcPr>
            <w:tcW w:w="709" w:type="dxa"/>
            <w:vMerge w:val="continue"/>
            <w:noWrap/>
            <w:vAlign w:val="center"/>
          </w:tcPr>
          <w:p w14:paraId="23B8B54C">
            <w:pPr>
              <w:jc w:val="left"/>
              <w:rPr>
                <w:rFonts w:ascii="宋体" w:hAnsi="宋体"/>
                <w:color w:val="auto"/>
                <w:szCs w:val="21"/>
              </w:rPr>
            </w:pPr>
          </w:p>
        </w:tc>
      </w:tr>
      <w:tr w14:paraId="5E6F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1F80D1A0">
            <w:pPr>
              <w:jc w:val="left"/>
              <w:rPr>
                <w:rFonts w:ascii="宋体" w:hAnsi="宋体"/>
                <w:color w:val="auto"/>
                <w:szCs w:val="21"/>
              </w:rPr>
            </w:pPr>
          </w:p>
        </w:tc>
        <w:tc>
          <w:tcPr>
            <w:tcW w:w="565" w:type="dxa"/>
            <w:gridSpan w:val="2"/>
            <w:vMerge w:val="restart"/>
            <w:noWrap/>
            <w:vAlign w:val="center"/>
          </w:tcPr>
          <w:p w14:paraId="1600192B">
            <w:pPr>
              <w:jc w:val="center"/>
              <w:rPr>
                <w:rFonts w:ascii="宋体" w:hAnsi="宋体"/>
                <w:color w:val="auto"/>
                <w:szCs w:val="21"/>
              </w:rPr>
            </w:pPr>
            <w:r>
              <w:rPr>
                <w:rFonts w:hint="eastAsia" w:ascii="宋体" w:hAnsi="宋体"/>
                <w:color w:val="auto"/>
                <w:szCs w:val="21"/>
              </w:rPr>
              <w:t>文书管理</w:t>
            </w:r>
          </w:p>
        </w:tc>
        <w:tc>
          <w:tcPr>
            <w:tcW w:w="697" w:type="dxa"/>
            <w:noWrap/>
            <w:vAlign w:val="center"/>
          </w:tcPr>
          <w:p w14:paraId="3B8CDA60">
            <w:pPr>
              <w:jc w:val="center"/>
              <w:rPr>
                <w:rFonts w:ascii="宋体" w:hAnsi="宋体"/>
                <w:color w:val="auto"/>
                <w:szCs w:val="21"/>
              </w:rPr>
            </w:pPr>
            <w:r>
              <w:rPr>
                <w:rFonts w:hint="eastAsia" w:ascii="宋体" w:hAnsi="宋体"/>
                <w:color w:val="auto"/>
                <w:szCs w:val="21"/>
              </w:rPr>
              <w:t>各类护理记录单</w:t>
            </w:r>
          </w:p>
        </w:tc>
        <w:tc>
          <w:tcPr>
            <w:tcW w:w="6938" w:type="dxa"/>
            <w:gridSpan w:val="2"/>
            <w:noWrap/>
            <w:vAlign w:val="center"/>
          </w:tcPr>
          <w:p w14:paraId="4C194E62">
            <w:pPr>
              <w:rPr>
                <w:rFonts w:ascii="宋体" w:hAnsi="宋体"/>
                <w:color w:val="auto"/>
                <w:szCs w:val="21"/>
              </w:rPr>
            </w:pPr>
            <w:r>
              <w:rPr>
                <w:rFonts w:hint="eastAsia" w:ascii="宋体" w:hAnsi="宋体"/>
                <w:color w:val="auto"/>
                <w:szCs w:val="21"/>
              </w:rPr>
              <w:t>实现新建、修改、浏览、审签各类护理记录单，包括但不限于：一般护理记录单、病危护理记录单、管道留置护理单、静脉导管置入术后维护单、深静脉血栓护理记录单、糖尿病治疗记录单、手术安全核查表等。</w:t>
            </w:r>
          </w:p>
        </w:tc>
        <w:tc>
          <w:tcPr>
            <w:tcW w:w="709" w:type="dxa"/>
            <w:vMerge w:val="continue"/>
            <w:noWrap/>
            <w:vAlign w:val="center"/>
          </w:tcPr>
          <w:p w14:paraId="1F09D1AE">
            <w:pPr>
              <w:jc w:val="left"/>
              <w:rPr>
                <w:rFonts w:ascii="宋体" w:hAnsi="宋体"/>
                <w:color w:val="auto"/>
                <w:szCs w:val="21"/>
              </w:rPr>
            </w:pPr>
          </w:p>
        </w:tc>
      </w:tr>
      <w:tr w14:paraId="4042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362" w:hRule="atLeast"/>
        </w:trPr>
        <w:tc>
          <w:tcPr>
            <w:tcW w:w="731" w:type="dxa"/>
            <w:vMerge w:val="continue"/>
            <w:noWrap/>
            <w:vAlign w:val="center"/>
          </w:tcPr>
          <w:p w14:paraId="793395D2">
            <w:pPr>
              <w:jc w:val="left"/>
              <w:rPr>
                <w:rFonts w:ascii="宋体" w:hAnsi="宋体"/>
                <w:color w:val="auto"/>
                <w:szCs w:val="21"/>
              </w:rPr>
            </w:pPr>
          </w:p>
        </w:tc>
        <w:tc>
          <w:tcPr>
            <w:tcW w:w="565" w:type="dxa"/>
            <w:gridSpan w:val="2"/>
            <w:vMerge w:val="continue"/>
            <w:noWrap/>
            <w:vAlign w:val="center"/>
          </w:tcPr>
          <w:p w14:paraId="20428CCD">
            <w:pPr>
              <w:jc w:val="left"/>
              <w:rPr>
                <w:rFonts w:ascii="宋体" w:hAnsi="宋体"/>
                <w:color w:val="auto"/>
                <w:szCs w:val="21"/>
              </w:rPr>
            </w:pPr>
          </w:p>
        </w:tc>
        <w:tc>
          <w:tcPr>
            <w:tcW w:w="697" w:type="dxa"/>
            <w:noWrap/>
            <w:vAlign w:val="center"/>
          </w:tcPr>
          <w:p w14:paraId="0190A6E6">
            <w:pPr>
              <w:jc w:val="center"/>
              <w:rPr>
                <w:rFonts w:ascii="宋体" w:hAnsi="宋体"/>
                <w:color w:val="auto"/>
                <w:szCs w:val="21"/>
              </w:rPr>
            </w:pPr>
            <w:r>
              <w:rPr>
                <w:rFonts w:hint="eastAsia" w:ascii="宋体" w:hAnsi="宋体"/>
                <w:color w:val="auto"/>
                <w:szCs w:val="21"/>
              </w:rPr>
              <w:t>各类评估单</w:t>
            </w:r>
          </w:p>
        </w:tc>
        <w:tc>
          <w:tcPr>
            <w:tcW w:w="6938" w:type="dxa"/>
            <w:gridSpan w:val="2"/>
            <w:noWrap/>
            <w:vAlign w:val="center"/>
          </w:tcPr>
          <w:p w14:paraId="4D123E3F">
            <w:pPr>
              <w:rPr>
                <w:rFonts w:ascii="宋体" w:hAnsi="宋体"/>
                <w:color w:val="auto"/>
                <w:szCs w:val="21"/>
              </w:rPr>
            </w:pPr>
            <w:r>
              <w:rPr>
                <w:rFonts w:hint="eastAsia" w:ascii="宋体" w:hAnsi="宋体"/>
                <w:color w:val="auto"/>
                <w:szCs w:val="21"/>
              </w:rPr>
              <w:t>实现新建、修改、浏览、审签各类评估单，包括但不限于：首次护理评估单、基本生活活动能力（BADL）量表、跌倒/坠床风险因素评估表、Waterlow压疮风险护理单、压疮风险预警报告表、深静脉血栓危险因素评估及护理措施记录单（Autar评分表）、洼田饮水实验、GCS意识评估单、NRS2002营养风险筛查表、护理会诊单等。</w:t>
            </w:r>
          </w:p>
        </w:tc>
        <w:tc>
          <w:tcPr>
            <w:tcW w:w="709" w:type="dxa"/>
            <w:vMerge w:val="continue"/>
            <w:noWrap/>
            <w:vAlign w:val="center"/>
          </w:tcPr>
          <w:p w14:paraId="4921E015">
            <w:pPr>
              <w:jc w:val="left"/>
              <w:rPr>
                <w:rFonts w:ascii="宋体" w:hAnsi="宋体"/>
                <w:color w:val="auto"/>
                <w:szCs w:val="21"/>
              </w:rPr>
            </w:pPr>
          </w:p>
        </w:tc>
      </w:tr>
      <w:tr w14:paraId="7ED8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486" w:hRule="atLeast"/>
        </w:trPr>
        <w:tc>
          <w:tcPr>
            <w:tcW w:w="731" w:type="dxa"/>
            <w:vMerge w:val="continue"/>
            <w:noWrap/>
            <w:vAlign w:val="center"/>
          </w:tcPr>
          <w:p w14:paraId="57C23F49">
            <w:pPr>
              <w:jc w:val="left"/>
              <w:rPr>
                <w:rFonts w:ascii="宋体" w:hAnsi="宋体"/>
                <w:color w:val="auto"/>
                <w:szCs w:val="21"/>
              </w:rPr>
            </w:pPr>
          </w:p>
        </w:tc>
        <w:tc>
          <w:tcPr>
            <w:tcW w:w="565" w:type="dxa"/>
            <w:gridSpan w:val="2"/>
            <w:vMerge w:val="continue"/>
            <w:noWrap/>
            <w:vAlign w:val="center"/>
          </w:tcPr>
          <w:p w14:paraId="42BDAC4F">
            <w:pPr>
              <w:jc w:val="left"/>
              <w:rPr>
                <w:rFonts w:ascii="宋体" w:hAnsi="宋体"/>
                <w:color w:val="auto"/>
                <w:szCs w:val="21"/>
              </w:rPr>
            </w:pPr>
          </w:p>
        </w:tc>
        <w:tc>
          <w:tcPr>
            <w:tcW w:w="697" w:type="dxa"/>
            <w:noWrap/>
            <w:vAlign w:val="center"/>
          </w:tcPr>
          <w:p w14:paraId="72F4D9FB">
            <w:pPr>
              <w:jc w:val="center"/>
              <w:rPr>
                <w:rFonts w:ascii="宋体" w:hAnsi="宋体"/>
                <w:color w:val="auto"/>
                <w:szCs w:val="21"/>
              </w:rPr>
            </w:pPr>
            <w:r>
              <w:rPr>
                <w:rFonts w:hint="eastAsia" w:ascii="宋体" w:hAnsi="宋体"/>
                <w:color w:val="auto"/>
                <w:szCs w:val="21"/>
              </w:rPr>
              <w:t>其他文书类型</w:t>
            </w:r>
          </w:p>
        </w:tc>
        <w:tc>
          <w:tcPr>
            <w:tcW w:w="6938" w:type="dxa"/>
            <w:gridSpan w:val="2"/>
            <w:noWrap/>
            <w:vAlign w:val="center"/>
          </w:tcPr>
          <w:p w14:paraId="17E60FA5">
            <w:pPr>
              <w:rPr>
                <w:rFonts w:ascii="宋体" w:hAnsi="宋体"/>
                <w:color w:val="auto"/>
                <w:szCs w:val="21"/>
              </w:rPr>
            </w:pPr>
            <w:r>
              <w:rPr>
                <w:rFonts w:hint="eastAsia" w:ascii="宋体" w:hAnsi="宋体"/>
                <w:color w:val="auto"/>
                <w:szCs w:val="21"/>
              </w:rPr>
              <w:t>实现新建、修改、浏览其他类文书，包括但不限于：知情告知类文书：留陪告知书、使用约束带知情同意书、侵入性护理操作技术知情同意书等；健康宣教类文书：PICC置入术患者健康教育单、输液港置入术患者健康教育单等。</w:t>
            </w:r>
          </w:p>
        </w:tc>
        <w:tc>
          <w:tcPr>
            <w:tcW w:w="709" w:type="dxa"/>
            <w:vMerge w:val="continue"/>
            <w:noWrap/>
            <w:vAlign w:val="center"/>
          </w:tcPr>
          <w:p w14:paraId="498B112B">
            <w:pPr>
              <w:jc w:val="left"/>
              <w:rPr>
                <w:rFonts w:ascii="宋体" w:hAnsi="宋体"/>
                <w:color w:val="auto"/>
                <w:szCs w:val="21"/>
              </w:rPr>
            </w:pPr>
          </w:p>
        </w:tc>
      </w:tr>
      <w:tr w14:paraId="0CAA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2106D166">
            <w:pPr>
              <w:jc w:val="left"/>
              <w:rPr>
                <w:rFonts w:ascii="宋体" w:hAnsi="宋体"/>
                <w:color w:val="auto"/>
                <w:szCs w:val="21"/>
              </w:rPr>
            </w:pPr>
          </w:p>
        </w:tc>
        <w:tc>
          <w:tcPr>
            <w:tcW w:w="565" w:type="dxa"/>
            <w:gridSpan w:val="2"/>
            <w:vMerge w:val="continue"/>
            <w:noWrap/>
            <w:vAlign w:val="center"/>
          </w:tcPr>
          <w:p w14:paraId="202E5EC9">
            <w:pPr>
              <w:jc w:val="left"/>
              <w:rPr>
                <w:rFonts w:ascii="宋体" w:hAnsi="宋体"/>
                <w:color w:val="auto"/>
                <w:szCs w:val="21"/>
              </w:rPr>
            </w:pPr>
          </w:p>
        </w:tc>
        <w:tc>
          <w:tcPr>
            <w:tcW w:w="697" w:type="dxa"/>
            <w:noWrap/>
            <w:vAlign w:val="center"/>
          </w:tcPr>
          <w:p w14:paraId="77875AE9">
            <w:pPr>
              <w:jc w:val="center"/>
              <w:rPr>
                <w:rFonts w:ascii="宋体" w:hAnsi="宋体"/>
                <w:color w:val="auto"/>
                <w:szCs w:val="21"/>
              </w:rPr>
            </w:pPr>
            <w:r>
              <w:rPr>
                <w:rFonts w:hint="eastAsia" w:ascii="宋体" w:hAnsi="宋体"/>
                <w:color w:val="auto"/>
                <w:szCs w:val="21"/>
              </w:rPr>
              <w:t>数据生成</w:t>
            </w:r>
          </w:p>
        </w:tc>
        <w:tc>
          <w:tcPr>
            <w:tcW w:w="6938" w:type="dxa"/>
            <w:gridSpan w:val="2"/>
            <w:noWrap/>
            <w:vAlign w:val="center"/>
          </w:tcPr>
          <w:p w14:paraId="6DC9EF49">
            <w:pPr>
              <w:rPr>
                <w:rFonts w:ascii="宋体" w:hAnsi="宋体"/>
                <w:color w:val="auto"/>
                <w:szCs w:val="21"/>
              </w:rPr>
            </w:pPr>
            <w:r>
              <w:rPr>
                <w:rFonts w:hint="eastAsia" w:ascii="宋体" w:hAnsi="宋体"/>
                <w:color w:val="auto"/>
                <w:szCs w:val="21"/>
              </w:rPr>
              <w:t xml:space="preserve"> 编辑过程中自动生成评分（如有）、评估等级（如有）、记录时间和执行人，日期时间可修改，执行人签名处实现加载签名图片。</w:t>
            </w:r>
          </w:p>
        </w:tc>
        <w:tc>
          <w:tcPr>
            <w:tcW w:w="709" w:type="dxa"/>
            <w:vMerge w:val="continue"/>
            <w:noWrap/>
            <w:vAlign w:val="center"/>
          </w:tcPr>
          <w:p w14:paraId="25A886D0">
            <w:pPr>
              <w:jc w:val="left"/>
              <w:rPr>
                <w:rFonts w:ascii="宋体" w:hAnsi="宋体"/>
                <w:color w:val="auto"/>
                <w:szCs w:val="21"/>
              </w:rPr>
            </w:pPr>
          </w:p>
        </w:tc>
      </w:tr>
      <w:tr w14:paraId="201A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2C02AADF">
            <w:pPr>
              <w:jc w:val="left"/>
              <w:rPr>
                <w:rFonts w:ascii="宋体" w:hAnsi="宋体"/>
                <w:color w:val="auto"/>
                <w:szCs w:val="21"/>
              </w:rPr>
            </w:pPr>
          </w:p>
        </w:tc>
        <w:tc>
          <w:tcPr>
            <w:tcW w:w="565" w:type="dxa"/>
            <w:gridSpan w:val="2"/>
            <w:vMerge w:val="restart"/>
            <w:noWrap/>
            <w:vAlign w:val="center"/>
          </w:tcPr>
          <w:p w14:paraId="080E5369">
            <w:pPr>
              <w:jc w:val="left"/>
              <w:rPr>
                <w:rFonts w:ascii="宋体" w:hAnsi="宋体"/>
                <w:color w:val="auto"/>
                <w:szCs w:val="21"/>
              </w:rPr>
            </w:pPr>
            <w:r>
              <w:rPr>
                <w:rFonts w:hint="eastAsia" w:ascii="宋体" w:hAnsi="宋体"/>
                <w:color w:val="auto"/>
                <w:szCs w:val="21"/>
              </w:rPr>
              <w:t>智能提醒</w:t>
            </w:r>
          </w:p>
        </w:tc>
        <w:tc>
          <w:tcPr>
            <w:tcW w:w="697" w:type="dxa"/>
            <w:vMerge w:val="restart"/>
            <w:noWrap/>
            <w:vAlign w:val="center"/>
          </w:tcPr>
          <w:p w14:paraId="521D825A">
            <w:pPr>
              <w:jc w:val="center"/>
              <w:rPr>
                <w:rFonts w:ascii="宋体" w:hAnsi="宋体"/>
                <w:color w:val="auto"/>
                <w:szCs w:val="21"/>
              </w:rPr>
            </w:pPr>
            <w:r>
              <w:rPr>
                <w:rFonts w:hint="eastAsia" w:ascii="宋体" w:hAnsi="宋体"/>
                <w:color w:val="auto"/>
                <w:szCs w:val="21"/>
              </w:rPr>
              <w:t>任务清单</w:t>
            </w:r>
          </w:p>
        </w:tc>
        <w:tc>
          <w:tcPr>
            <w:tcW w:w="6938" w:type="dxa"/>
            <w:gridSpan w:val="2"/>
            <w:noWrap/>
            <w:vAlign w:val="center"/>
          </w:tcPr>
          <w:p w14:paraId="0E19CE04">
            <w:pPr>
              <w:rPr>
                <w:rFonts w:ascii="宋体" w:hAnsi="宋体"/>
                <w:color w:val="auto"/>
                <w:szCs w:val="21"/>
              </w:rPr>
            </w:pPr>
            <w:r>
              <w:rPr>
                <w:rFonts w:hint="eastAsia" w:ascii="宋体" w:hAnsi="宋体"/>
                <w:color w:val="auto"/>
                <w:szCs w:val="21"/>
              </w:rPr>
              <w:t xml:space="preserve"> 在任务清单页面，可查看近三天的待办护理任务情况。</w:t>
            </w:r>
          </w:p>
        </w:tc>
        <w:tc>
          <w:tcPr>
            <w:tcW w:w="709" w:type="dxa"/>
            <w:vMerge w:val="continue"/>
            <w:noWrap/>
            <w:vAlign w:val="center"/>
          </w:tcPr>
          <w:p w14:paraId="248B2A94">
            <w:pPr>
              <w:jc w:val="left"/>
              <w:rPr>
                <w:rFonts w:ascii="宋体" w:hAnsi="宋体"/>
                <w:color w:val="auto"/>
                <w:szCs w:val="21"/>
              </w:rPr>
            </w:pPr>
          </w:p>
        </w:tc>
      </w:tr>
      <w:tr w14:paraId="0016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24FE4BE6">
            <w:pPr>
              <w:jc w:val="left"/>
              <w:rPr>
                <w:rFonts w:ascii="宋体" w:hAnsi="宋体"/>
                <w:color w:val="auto"/>
                <w:szCs w:val="21"/>
              </w:rPr>
            </w:pPr>
          </w:p>
        </w:tc>
        <w:tc>
          <w:tcPr>
            <w:tcW w:w="565" w:type="dxa"/>
            <w:gridSpan w:val="2"/>
            <w:vMerge w:val="continue"/>
            <w:noWrap/>
            <w:vAlign w:val="center"/>
          </w:tcPr>
          <w:p w14:paraId="3779175C">
            <w:pPr>
              <w:jc w:val="left"/>
              <w:rPr>
                <w:rFonts w:ascii="宋体" w:hAnsi="宋体"/>
                <w:color w:val="auto"/>
                <w:szCs w:val="21"/>
              </w:rPr>
            </w:pPr>
          </w:p>
        </w:tc>
        <w:tc>
          <w:tcPr>
            <w:tcW w:w="697" w:type="dxa"/>
            <w:vMerge w:val="continue"/>
            <w:noWrap/>
            <w:vAlign w:val="center"/>
          </w:tcPr>
          <w:p w14:paraId="27BD95EA">
            <w:pPr>
              <w:jc w:val="center"/>
              <w:rPr>
                <w:rFonts w:ascii="宋体" w:hAnsi="宋体"/>
                <w:color w:val="auto"/>
                <w:szCs w:val="21"/>
              </w:rPr>
            </w:pPr>
          </w:p>
        </w:tc>
        <w:tc>
          <w:tcPr>
            <w:tcW w:w="6938" w:type="dxa"/>
            <w:gridSpan w:val="2"/>
            <w:noWrap/>
            <w:vAlign w:val="center"/>
          </w:tcPr>
          <w:p w14:paraId="0A378065">
            <w:pPr>
              <w:rPr>
                <w:rFonts w:ascii="宋体" w:hAnsi="宋体"/>
                <w:color w:val="auto"/>
                <w:szCs w:val="21"/>
              </w:rPr>
            </w:pPr>
            <w:r>
              <w:rPr>
                <w:rFonts w:hint="eastAsia" w:ascii="宋体" w:hAnsi="宋体"/>
                <w:color w:val="auto"/>
                <w:szCs w:val="21"/>
              </w:rPr>
              <w:t xml:space="preserve"> 可选择查看本全科或组的任务清单。</w:t>
            </w:r>
          </w:p>
        </w:tc>
        <w:tc>
          <w:tcPr>
            <w:tcW w:w="709" w:type="dxa"/>
            <w:vMerge w:val="continue"/>
            <w:noWrap/>
            <w:vAlign w:val="center"/>
          </w:tcPr>
          <w:p w14:paraId="72D050F3">
            <w:pPr>
              <w:jc w:val="left"/>
              <w:rPr>
                <w:rFonts w:ascii="宋体" w:hAnsi="宋体"/>
                <w:color w:val="auto"/>
                <w:szCs w:val="21"/>
              </w:rPr>
            </w:pPr>
          </w:p>
        </w:tc>
      </w:tr>
      <w:tr w14:paraId="2C2C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54DE0570">
            <w:pPr>
              <w:jc w:val="left"/>
              <w:rPr>
                <w:rFonts w:ascii="宋体" w:hAnsi="宋体"/>
                <w:color w:val="auto"/>
                <w:szCs w:val="21"/>
              </w:rPr>
            </w:pPr>
          </w:p>
        </w:tc>
        <w:tc>
          <w:tcPr>
            <w:tcW w:w="565" w:type="dxa"/>
            <w:gridSpan w:val="2"/>
            <w:vMerge w:val="continue"/>
            <w:noWrap/>
            <w:vAlign w:val="center"/>
          </w:tcPr>
          <w:p w14:paraId="50BC1952">
            <w:pPr>
              <w:jc w:val="left"/>
              <w:rPr>
                <w:rFonts w:ascii="宋体" w:hAnsi="宋体"/>
                <w:color w:val="auto"/>
                <w:szCs w:val="21"/>
              </w:rPr>
            </w:pPr>
          </w:p>
        </w:tc>
        <w:tc>
          <w:tcPr>
            <w:tcW w:w="697" w:type="dxa"/>
            <w:noWrap/>
            <w:vAlign w:val="center"/>
          </w:tcPr>
          <w:p w14:paraId="50A0C1E1">
            <w:pPr>
              <w:jc w:val="center"/>
              <w:rPr>
                <w:rFonts w:ascii="宋体" w:hAnsi="宋体"/>
                <w:color w:val="auto"/>
                <w:szCs w:val="21"/>
              </w:rPr>
            </w:pPr>
            <w:r>
              <w:rPr>
                <w:rFonts w:hint="eastAsia" w:ascii="宋体" w:hAnsi="宋体"/>
                <w:color w:val="auto"/>
                <w:szCs w:val="21"/>
              </w:rPr>
              <w:t>体征测量提醒</w:t>
            </w:r>
          </w:p>
        </w:tc>
        <w:tc>
          <w:tcPr>
            <w:tcW w:w="6938" w:type="dxa"/>
            <w:gridSpan w:val="2"/>
            <w:noWrap/>
            <w:vAlign w:val="center"/>
          </w:tcPr>
          <w:p w14:paraId="409FDE1F">
            <w:pPr>
              <w:rPr>
                <w:rFonts w:ascii="宋体" w:hAnsi="宋体"/>
                <w:color w:val="auto"/>
                <w:szCs w:val="21"/>
              </w:rPr>
            </w:pPr>
            <w:r>
              <w:rPr>
                <w:rFonts w:hint="eastAsia" w:ascii="宋体" w:hAnsi="宋体"/>
                <w:color w:val="auto"/>
                <w:szCs w:val="21"/>
              </w:rPr>
              <w:t xml:space="preserve"> 体征批量录入界面，待测体征将以特殊颜色标识。</w:t>
            </w:r>
          </w:p>
        </w:tc>
        <w:tc>
          <w:tcPr>
            <w:tcW w:w="709" w:type="dxa"/>
            <w:vMerge w:val="continue"/>
            <w:noWrap/>
            <w:vAlign w:val="center"/>
          </w:tcPr>
          <w:p w14:paraId="04356B07">
            <w:pPr>
              <w:jc w:val="left"/>
              <w:rPr>
                <w:rFonts w:ascii="宋体" w:hAnsi="宋体"/>
                <w:color w:val="auto"/>
                <w:szCs w:val="21"/>
              </w:rPr>
            </w:pPr>
          </w:p>
        </w:tc>
      </w:tr>
      <w:tr w14:paraId="6C5C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74636A6E">
            <w:pPr>
              <w:jc w:val="left"/>
              <w:rPr>
                <w:rFonts w:ascii="宋体" w:hAnsi="宋体"/>
                <w:color w:val="auto"/>
                <w:szCs w:val="21"/>
              </w:rPr>
            </w:pPr>
          </w:p>
        </w:tc>
        <w:tc>
          <w:tcPr>
            <w:tcW w:w="565" w:type="dxa"/>
            <w:gridSpan w:val="2"/>
            <w:vMerge w:val="continue"/>
            <w:noWrap/>
            <w:vAlign w:val="center"/>
          </w:tcPr>
          <w:p w14:paraId="6CBEFB5E">
            <w:pPr>
              <w:jc w:val="left"/>
              <w:rPr>
                <w:rFonts w:ascii="宋体" w:hAnsi="宋体"/>
                <w:color w:val="auto"/>
                <w:szCs w:val="21"/>
              </w:rPr>
            </w:pPr>
          </w:p>
        </w:tc>
        <w:tc>
          <w:tcPr>
            <w:tcW w:w="697" w:type="dxa"/>
            <w:noWrap/>
            <w:vAlign w:val="center"/>
          </w:tcPr>
          <w:p w14:paraId="292D206F">
            <w:pPr>
              <w:rPr>
                <w:rFonts w:ascii="宋体" w:hAnsi="宋体"/>
                <w:color w:val="auto"/>
                <w:szCs w:val="21"/>
              </w:rPr>
            </w:pPr>
            <w:r>
              <w:rPr>
                <w:rFonts w:hint="eastAsia" w:ascii="宋体" w:hAnsi="宋体"/>
                <w:color w:val="auto"/>
                <w:szCs w:val="21"/>
              </w:rPr>
              <w:t>风险评估提醒</w:t>
            </w:r>
          </w:p>
        </w:tc>
        <w:tc>
          <w:tcPr>
            <w:tcW w:w="6938" w:type="dxa"/>
            <w:gridSpan w:val="2"/>
            <w:noWrap/>
            <w:vAlign w:val="center"/>
          </w:tcPr>
          <w:p w14:paraId="1537A96B">
            <w:pPr>
              <w:rPr>
                <w:rFonts w:ascii="宋体" w:hAnsi="宋体"/>
                <w:color w:val="auto"/>
                <w:szCs w:val="21"/>
              </w:rPr>
            </w:pPr>
            <w:r>
              <w:rPr>
                <w:rFonts w:hint="eastAsia" w:ascii="宋体" w:hAnsi="宋体"/>
                <w:color w:val="auto"/>
                <w:szCs w:val="21"/>
              </w:rPr>
              <w:t xml:space="preserve"> 患者风险评估界面，生成评估结果后自动弹出下次评估计划时间，实现手动修改。</w:t>
            </w:r>
          </w:p>
        </w:tc>
        <w:tc>
          <w:tcPr>
            <w:tcW w:w="709" w:type="dxa"/>
            <w:vMerge w:val="continue"/>
            <w:noWrap/>
            <w:vAlign w:val="center"/>
          </w:tcPr>
          <w:p w14:paraId="21B2D7A1">
            <w:pPr>
              <w:jc w:val="left"/>
              <w:rPr>
                <w:rFonts w:ascii="宋体" w:hAnsi="宋体"/>
                <w:color w:val="auto"/>
                <w:szCs w:val="21"/>
              </w:rPr>
            </w:pPr>
          </w:p>
        </w:tc>
      </w:tr>
      <w:tr w14:paraId="531C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222" w:hRule="atLeast"/>
        </w:trPr>
        <w:tc>
          <w:tcPr>
            <w:tcW w:w="731" w:type="dxa"/>
            <w:vMerge w:val="continue"/>
            <w:noWrap/>
            <w:vAlign w:val="center"/>
          </w:tcPr>
          <w:p w14:paraId="1FA4D5A2">
            <w:pPr>
              <w:jc w:val="left"/>
              <w:rPr>
                <w:rFonts w:ascii="宋体" w:hAnsi="宋体"/>
                <w:color w:val="auto"/>
                <w:szCs w:val="21"/>
              </w:rPr>
            </w:pPr>
          </w:p>
        </w:tc>
        <w:tc>
          <w:tcPr>
            <w:tcW w:w="565" w:type="dxa"/>
            <w:gridSpan w:val="2"/>
            <w:vMerge w:val="restart"/>
            <w:noWrap/>
            <w:vAlign w:val="center"/>
          </w:tcPr>
          <w:p w14:paraId="07AD4D3D">
            <w:pPr>
              <w:jc w:val="left"/>
              <w:rPr>
                <w:rFonts w:ascii="宋体" w:hAnsi="宋体"/>
                <w:color w:val="auto"/>
                <w:szCs w:val="21"/>
              </w:rPr>
            </w:pPr>
            <w:r>
              <w:rPr>
                <w:rFonts w:hint="eastAsia" w:ascii="宋体" w:hAnsi="宋体"/>
                <w:color w:val="auto"/>
                <w:szCs w:val="21"/>
              </w:rPr>
              <w:t>护理巡视</w:t>
            </w:r>
          </w:p>
        </w:tc>
        <w:tc>
          <w:tcPr>
            <w:tcW w:w="697" w:type="dxa"/>
            <w:vMerge w:val="restart"/>
            <w:noWrap/>
            <w:vAlign w:val="center"/>
          </w:tcPr>
          <w:p w14:paraId="72E8CD32">
            <w:pPr>
              <w:rPr>
                <w:rFonts w:ascii="宋体" w:hAnsi="宋体"/>
                <w:color w:val="auto"/>
                <w:szCs w:val="21"/>
              </w:rPr>
            </w:pPr>
            <w:r>
              <w:rPr>
                <w:rFonts w:hint="eastAsia" w:ascii="宋体" w:hAnsi="宋体"/>
                <w:color w:val="auto"/>
                <w:szCs w:val="21"/>
              </w:rPr>
              <w:t>病房巡视</w:t>
            </w:r>
          </w:p>
        </w:tc>
        <w:tc>
          <w:tcPr>
            <w:tcW w:w="6938" w:type="dxa"/>
            <w:gridSpan w:val="2"/>
            <w:noWrap/>
            <w:vAlign w:val="center"/>
          </w:tcPr>
          <w:p w14:paraId="42C52F20">
            <w:pPr>
              <w:rPr>
                <w:rFonts w:ascii="宋体" w:hAnsi="宋体"/>
                <w:color w:val="auto"/>
                <w:szCs w:val="21"/>
              </w:rPr>
            </w:pPr>
            <w:r>
              <w:rPr>
                <w:rFonts w:hint="eastAsia" w:ascii="宋体" w:hAnsi="宋体"/>
                <w:color w:val="auto"/>
                <w:szCs w:val="21"/>
              </w:rPr>
              <w:t xml:space="preserve"> 可按照护理级别（特级、一级、二级、三级）筛选患者，可过滤“我的患者”。扫描患者腕带或床头卡执行病房巡视，自动记录巡视时间和巡视人。实现录入巡视事项，包括正常、治疗、外出等情况，以及病情相关的基础和专科护理观察等。</w:t>
            </w:r>
          </w:p>
        </w:tc>
        <w:tc>
          <w:tcPr>
            <w:tcW w:w="709" w:type="dxa"/>
            <w:vMerge w:val="continue"/>
            <w:noWrap/>
            <w:vAlign w:val="center"/>
          </w:tcPr>
          <w:p w14:paraId="1763A53F">
            <w:pPr>
              <w:jc w:val="left"/>
              <w:rPr>
                <w:rFonts w:ascii="宋体" w:hAnsi="宋体"/>
                <w:color w:val="auto"/>
                <w:szCs w:val="21"/>
              </w:rPr>
            </w:pPr>
          </w:p>
        </w:tc>
      </w:tr>
      <w:tr w14:paraId="787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988" w:hRule="atLeast"/>
        </w:trPr>
        <w:tc>
          <w:tcPr>
            <w:tcW w:w="731" w:type="dxa"/>
            <w:vMerge w:val="continue"/>
            <w:noWrap/>
            <w:vAlign w:val="center"/>
          </w:tcPr>
          <w:p w14:paraId="2B4578DE">
            <w:pPr>
              <w:jc w:val="left"/>
              <w:rPr>
                <w:rFonts w:ascii="宋体" w:hAnsi="宋体"/>
                <w:color w:val="auto"/>
                <w:szCs w:val="21"/>
              </w:rPr>
            </w:pPr>
          </w:p>
        </w:tc>
        <w:tc>
          <w:tcPr>
            <w:tcW w:w="565" w:type="dxa"/>
            <w:gridSpan w:val="2"/>
            <w:vMerge w:val="continue"/>
            <w:noWrap/>
            <w:vAlign w:val="center"/>
          </w:tcPr>
          <w:p w14:paraId="68662CD7">
            <w:pPr>
              <w:jc w:val="left"/>
              <w:rPr>
                <w:rFonts w:ascii="宋体" w:hAnsi="宋体"/>
                <w:color w:val="auto"/>
                <w:szCs w:val="21"/>
              </w:rPr>
            </w:pPr>
          </w:p>
        </w:tc>
        <w:tc>
          <w:tcPr>
            <w:tcW w:w="697" w:type="dxa"/>
            <w:vMerge w:val="continue"/>
            <w:noWrap/>
            <w:vAlign w:val="center"/>
          </w:tcPr>
          <w:p w14:paraId="6D110670">
            <w:pPr>
              <w:rPr>
                <w:rFonts w:ascii="宋体" w:hAnsi="宋体"/>
                <w:color w:val="auto"/>
                <w:szCs w:val="21"/>
              </w:rPr>
            </w:pPr>
          </w:p>
        </w:tc>
        <w:tc>
          <w:tcPr>
            <w:tcW w:w="6938" w:type="dxa"/>
            <w:gridSpan w:val="2"/>
            <w:noWrap/>
            <w:vAlign w:val="center"/>
          </w:tcPr>
          <w:p w14:paraId="2D2CEAC9">
            <w:pPr>
              <w:rPr>
                <w:rFonts w:ascii="宋体" w:hAnsi="宋体"/>
                <w:color w:val="auto"/>
                <w:szCs w:val="21"/>
              </w:rPr>
            </w:pPr>
            <w:r>
              <w:rPr>
                <w:rFonts w:hint="eastAsia" w:ascii="宋体" w:hAnsi="宋体"/>
                <w:color w:val="auto"/>
                <w:szCs w:val="21"/>
              </w:rPr>
              <w:t xml:space="preserve"> 以卡片方式显示患者巡视情况，包括患者床号、姓名、护理等级、性别、住院号等基本信息。可显示患者最近一次巡视时间及巡视事项，系统根据患者护理级别，自动计算并显示下次巡视时间，方便护士做好合理的巡视计划。</w:t>
            </w:r>
          </w:p>
        </w:tc>
        <w:tc>
          <w:tcPr>
            <w:tcW w:w="709" w:type="dxa"/>
            <w:vMerge w:val="continue"/>
            <w:noWrap/>
            <w:vAlign w:val="center"/>
          </w:tcPr>
          <w:p w14:paraId="6BEDFEFD">
            <w:pPr>
              <w:jc w:val="left"/>
              <w:rPr>
                <w:rFonts w:ascii="宋体" w:hAnsi="宋体"/>
                <w:color w:val="auto"/>
                <w:szCs w:val="21"/>
              </w:rPr>
            </w:pPr>
          </w:p>
        </w:tc>
      </w:tr>
      <w:tr w14:paraId="4935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2CC42349">
            <w:pPr>
              <w:jc w:val="left"/>
              <w:rPr>
                <w:rFonts w:ascii="宋体" w:hAnsi="宋体"/>
                <w:color w:val="auto"/>
                <w:szCs w:val="21"/>
              </w:rPr>
            </w:pPr>
          </w:p>
        </w:tc>
        <w:tc>
          <w:tcPr>
            <w:tcW w:w="565" w:type="dxa"/>
            <w:gridSpan w:val="2"/>
            <w:vMerge w:val="restart"/>
            <w:noWrap/>
            <w:vAlign w:val="center"/>
          </w:tcPr>
          <w:p w14:paraId="6727BAF0">
            <w:pPr>
              <w:jc w:val="left"/>
              <w:rPr>
                <w:rFonts w:ascii="宋体" w:hAnsi="宋体"/>
                <w:color w:val="auto"/>
                <w:szCs w:val="21"/>
              </w:rPr>
            </w:pPr>
            <w:r>
              <w:rPr>
                <w:rFonts w:hint="eastAsia" w:ascii="宋体" w:hAnsi="宋体"/>
                <w:color w:val="auto"/>
                <w:szCs w:val="21"/>
              </w:rPr>
              <w:t>检验检查</w:t>
            </w:r>
          </w:p>
        </w:tc>
        <w:tc>
          <w:tcPr>
            <w:tcW w:w="697" w:type="dxa"/>
            <w:vMerge w:val="restart"/>
            <w:noWrap/>
            <w:vAlign w:val="center"/>
          </w:tcPr>
          <w:p w14:paraId="481602CE">
            <w:pPr>
              <w:rPr>
                <w:rFonts w:ascii="宋体" w:hAnsi="宋体"/>
                <w:color w:val="auto"/>
                <w:szCs w:val="21"/>
              </w:rPr>
            </w:pPr>
            <w:r>
              <w:rPr>
                <w:rFonts w:hint="eastAsia" w:ascii="宋体" w:hAnsi="宋体"/>
                <w:color w:val="auto"/>
                <w:szCs w:val="21"/>
              </w:rPr>
              <w:t>检验报告</w:t>
            </w:r>
          </w:p>
        </w:tc>
        <w:tc>
          <w:tcPr>
            <w:tcW w:w="6938" w:type="dxa"/>
            <w:gridSpan w:val="2"/>
            <w:noWrap/>
            <w:vAlign w:val="center"/>
          </w:tcPr>
          <w:p w14:paraId="50B1C467">
            <w:pPr>
              <w:rPr>
                <w:rFonts w:ascii="宋体" w:hAnsi="宋体"/>
                <w:color w:val="auto"/>
                <w:szCs w:val="21"/>
              </w:rPr>
            </w:pPr>
            <w:r>
              <w:rPr>
                <w:rFonts w:hint="eastAsia" w:ascii="宋体" w:hAnsi="宋体"/>
                <w:color w:val="auto"/>
                <w:szCs w:val="21"/>
              </w:rPr>
              <w:t xml:space="preserve"> 浏览指定患者当次入院以来的所有检验报告，按时间顺序显示。报告信息包括项目名称、样本类型，样本采集时间、检验结果、参考范围、报告者和报告时间、校对者和校对时间等。</w:t>
            </w:r>
          </w:p>
        </w:tc>
        <w:tc>
          <w:tcPr>
            <w:tcW w:w="709" w:type="dxa"/>
            <w:vMerge w:val="continue"/>
            <w:noWrap/>
            <w:vAlign w:val="center"/>
          </w:tcPr>
          <w:p w14:paraId="37BB85EB">
            <w:pPr>
              <w:jc w:val="left"/>
              <w:rPr>
                <w:rFonts w:ascii="宋体" w:hAnsi="宋体"/>
                <w:color w:val="auto"/>
                <w:szCs w:val="21"/>
              </w:rPr>
            </w:pPr>
          </w:p>
        </w:tc>
      </w:tr>
      <w:tr w14:paraId="5618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728117FF">
            <w:pPr>
              <w:jc w:val="left"/>
              <w:rPr>
                <w:rFonts w:ascii="宋体" w:hAnsi="宋体"/>
                <w:color w:val="auto"/>
                <w:szCs w:val="21"/>
              </w:rPr>
            </w:pPr>
          </w:p>
        </w:tc>
        <w:tc>
          <w:tcPr>
            <w:tcW w:w="565" w:type="dxa"/>
            <w:gridSpan w:val="2"/>
            <w:vMerge w:val="continue"/>
            <w:noWrap/>
            <w:vAlign w:val="center"/>
          </w:tcPr>
          <w:p w14:paraId="3C88204F">
            <w:pPr>
              <w:jc w:val="left"/>
              <w:rPr>
                <w:rFonts w:ascii="宋体" w:hAnsi="宋体"/>
                <w:color w:val="auto"/>
                <w:szCs w:val="21"/>
              </w:rPr>
            </w:pPr>
          </w:p>
        </w:tc>
        <w:tc>
          <w:tcPr>
            <w:tcW w:w="697" w:type="dxa"/>
            <w:vMerge w:val="continue"/>
            <w:noWrap/>
            <w:vAlign w:val="center"/>
          </w:tcPr>
          <w:p w14:paraId="6B1C3B1F">
            <w:pPr>
              <w:rPr>
                <w:rFonts w:ascii="宋体" w:hAnsi="宋体"/>
                <w:color w:val="auto"/>
                <w:szCs w:val="21"/>
              </w:rPr>
            </w:pPr>
          </w:p>
        </w:tc>
        <w:tc>
          <w:tcPr>
            <w:tcW w:w="6938" w:type="dxa"/>
            <w:gridSpan w:val="2"/>
            <w:noWrap/>
            <w:vAlign w:val="center"/>
          </w:tcPr>
          <w:p w14:paraId="6ADDB61A">
            <w:pPr>
              <w:rPr>
                <w:rFonts w:ascii="宋体" w:hAnsi="宋体"/>
                <w:color w:val="auto"/>
                <w:szCs w:val="21"/>
              </w:rPr>
            </w:pPr>
            <w:r>
              <w:rPr>
                <w:rFonts w:hint="eastAsia" w:ascii="宋体" w:hAnsi="宋体"/>
                <w:color w:val="auto"/>
                <w:szCs w:val="21"/>
              </w:rPr>
              <w:t xml:space="preserve"> 通过特殊颜色的字体和图标标注检验结果是否偏高/偏低。</w:t>
            </w:r>
          </w:p>
        </w:tc>
        <w:tc>
          <w:tcPr>
            <w:tcW w:w="709" w:type="dxa"/>
            <w:vMerge w:val="continue"/>
            <w:noWrap/>
            <w:vAlign w:val="center"/>
          </w:tcPr>
          <w:p w14:paraId="0861FA19">
            <w:pPr>
              <w:jc w:val="left"/>
              <w:rPr>
                <w:rFonts w:ascii="宋体" w:hAnsi="宋体"/>
                <w:color w:val="auto"/>
                <w:szCs w:val="21"/>
              </w:rPr>
            </w:pPr>
          </w:p>
        </w:tc>
      </w:tr>
      <w:tr w14:paraId="61B2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17" w:hRule="atLeast"/>
        </w:trPr>
        <w:tc>
          <w:tcPr>
            <w:tcW w:w="731" w:type="dxa"/>
            <w:vMerge w:val="continue"/>
            <w:noWrap/>
            <w:vAlign w:val="center"/>
          </w:tcPr>
          <w:p w14:paraId="25F8A0ED">
            <w:pPr>
              <w:jc w:val="left"/>
              <w:rPr>
                <w:rFonts w:ascii="宋体" w:hAnsi="宋体"/>
                <w:color w:val="auto"/>
                <w:szCs w:val="21"/>
              </w:rPr>
            </w:pPr>
          </w:p>
        </w:tc>
        <w:tc>
          <w:tcPr>
            <w:tcW w:w="565" w:type="dxa"/>
            <w:gridSpan w:val="2"/>
            <w:vMerge w:val="continue"/>
            <w:noWrap/>
            <w:vAlign w:val="center"/>
          </w:tcPr>
          <w:p w14:paraId="228806AD">
            <w:pPr>
              <w:jc w:val="left"/>
              <w:rPr>
                <w:rFonts w:ascii="宋体" w:hAnsi="宋体"/>
                <w:color w:val="auto"/>
                <w:szCs w:val="21"/>
              </w:rPr>
            </w:pPr>
          </w:p>
        </w:tc>
        <w:tc>
          <w:tcPr>
            <w:tcW w:w="697" w:type="dxa"/>
            <w:noWrap/>
            <w:vAlign w:val="center"/>
          </w:tcPr>
          <w:p w14:paraId="7DEBF6B4">
            <w:pPr>
              <w:rPr>
                <w:rFonts w:ascii="宋体" w:hAnsi="宋体"/>
                <w:color w:val="auto"/>
                <w:szCs w:val="21"/>
              </w:rPr>
            </w:pPr>
            <w:r>
              <w:rPr>
                <w:rFonts w:hint="eastAsia" w:ascii="宋体" w:hAnsi="宋体"/>
                <w:color w:val="auto"/>
                <w:szCs w:val="21"/>
              </w:rPr>
              <w:t>检验报告</w:t>
            </w:r>
          </w:p>
        </w:tc>
        <w:tc>
          <w:tcPr>
            <w:tcW w:w="6938" w:type="dxa"/>
            <w:gridSpan w:val="2"/>
            <w:noWrap/>
            <w:vAlign w:val="center"/>
          </w:tcPr>
          <w:p w14:paraId="5BA3A20D">
            <w:pPr>
              <w:rPr>
                <w:rFonts w:ascii="宋体" w:hAnsi="宋体"/>
                <w:color w:val="auto"/>
                <w:szCs w:val="21"/>
              </w:rPr>
            </w:pPr>
            <w:r>
              <w:rPr>
                <w:rFonts w:hint="eastAsia" w:ascii="宋体" w:hAnsi="宋体"/>
                <w:color w:val="auto"/>
                <w:szCs w:val="21"/>
              </w:rPr>
              <w:t xml:space="preserve"> 浏览指定患者当次入院以来的所有检查报告，按时间顺序显示。报告信息包括项目名称、检查时间、检查部位、检查所见、检查意见、申请者和申请时间、报告者和报告时间、审核者和审核时间等。</w:t>
            </w:r>
          </w:p>
        </w:tc>
        <w:tc>
          <w:tcPr>
            <w:tcW w:w="709" w:type="dxa"/>
            <w:vMerge w:val="continue"/>
            <w:noWrap/>
            <w:vAlign w:val="center"/>
          </w:tcPr>
          <w:p w14:paraId="3B1C607E">
            <w:pPr>
              <w:jc w:val="left"/>
              <w:rPr>
                <w:rFonts w:ascii="宋体" w:hAnsi="宋体"/>
                <w:color w:val="auto"/>
                <w:szCs w:val="21"/>
              </w:rPr>
            </w:pPr>
          </w:p>
        </w:tc>
      </w:tr>
      <w:tr w14:paraId="7D7A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4746294D">
            <w:pPr>
              <w:jc w:val="left"/>
              <w:rPr>
                <w:rFonts w:ascii="宋体" w:hAnsi="宋体"/>
                <w:color w:val="auto"/>
                <w:szCs w:val="21"/>
              </w:rPr>
            </w:pPr>
          </w:p>
        </w:tc>
        <w:tc>
          <w:tcPr>
            <w:tcW w:w="565" w:type="dxa"/>
            <w:gridSpan w:val="2"/>
            <w:vMerge w:val="restart"/>
            <w:noWrap/>
            <w:vAlign w:val="center"/>
          </w:tcPr>
          <w:p w14:paraId="3A6FDA8E">
            <w:pPr>
              <w:jc w:val="left"/>
              <w:rPr>
                <w:rFonts w:ascii="宋体" w:hAnsi="宋体"/>
                <w:color w:val="auto"/>
                <w:szCs w:val="21"/>
              </w:rPr>
            </w:pPr>
            <w:r>
              <w:rPr>
                <w:rFonts w:hint="eastAsia" w:ascii="宋体" w:hAnsi="宋体"/>
                <w:color w:val="auto"/>
                <w:szCs w:val="21"/>
              </w:rPr>
              <w:t>用户管理</w:t>
            </w:r>
          </w:p>
        </w:tc>
        <w:tc>
          <w:tcPr>
            <w:tcW w:w="697" w:type="dxa"/>
            <w:noWrap/>
            <w:vAlign w:val="center"/>
          </w:tcPr>
          <w:p w14:paraId="313FE979">
            <w:pPr>
              <w:rPr>
                <w:rFonts w:ascii="宋体" w:hAnsi="宋体"/>
                <w:color w:val="auto"/>
                <w:szCs w:val="21"/>
              </w:rPr>
            </w:pPr>
            <w:r>
              <w:rPr>
                <w:rFonts w:hint="eastAsia" w:ascii="宋体" w:hAnsi="宋体"/>
                <w:color w:val="auto"/>
                <w:szCs w:val="21"/>
              </w:rPr>
              <w:t>用户权限设置</w:t>
            </w:r>
          </w:p>
        </w:tc>
        <w:tc>
          <w:tcPr>
            <w:tcW w:w="6938" w:type="dxa"/>
            <w:gridSpan w:val="2"/>
            <w:noWrap/>
            <w:vAlign w:val="center"/>
          </w:tcPr>
          <w:p w14:paraId="3FD18E5F">
            <w:pPr>
              <w:rPr>
                <w:rFonts w:ascii="宋体" w:hAnsi="宋体"/>
                <w:color w:val="auto"/>
                <w:szCs w:val="21"/>
              </w:rPr>
            </w:pPr>
            <w:r>
              <w:rPr>
                <w:rFonts w:hint="eastAsia" w:ascii="宋体" w:hAnsi="宋体"/>
                <w:color w:val="auto"/>
                <w:szCs w:val="21"/>
              </w:rPr>
              <w:t xml:space="preserve"> 当一个用户有多个病区权限时，可以切换病区进行相关的护理业务操作。</w:t>
            </w:r>
          </w:p>
        </w:tc>
        <w:tc>
          <w:tcPr>
            <w:tcW w:w="709" w:type="dxa"/>
            <w:vMerge w:val="continue"/>
            <w:noWrap/>
            <w:vAlign w:val="center"/>
          </w:tcPr>
          <w:p w14:paraId="2706C8E4">
            <w:pPr>
              <w:jc w:val="left"/>
              <w:rPr>
                <w:rFonts w:ascii="宋体" w:hAnsi="宋体"/>
                <w:color w:val="auto"/>
                <w:szCs w:val="21"/>
              </w:rPr>
            </w:pPr>
          </w:p>
        </w:tc>
      </w:tr>
      <w:tr w14:paraId="2191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49" w:hRule="atLeast"/>
        </w:trPr>
        <w:tc>
          <w:tcPr>
            <w:tcW w:w="731" w:type="dxa"/>
            <w:vMerge w:val="continue"/>
            <w:noWrap/>
            <w:vAlign w:val="center"/>
          </w:tcPr>
          <w:p w14:paraId="2BA9054C">
            <w:pPr>
              <w:jc w:val="left"/>
              <w:rPr>
                <w:rFonts w:ascii="宋体" w:hAnsi="宋体"/>
                <w:color w:val="auto"/>
                <w:szCs w:val="21"/>
              </w:rPr>
            </w:pPr>
          </w:p>
        </w:tc>
        <w:tc>
          <w:tcPr>
            <w:tcW w:w="565" w:type="dxa"/>
            <w:gridSpan w:val="2"/>
            <w:vMerge w:val="continue"/>
            <w:noWrap/>
            <w:vAlign w:val="center"/>
          </w:tcPr>
          <w:p w14:paraId="165D0FF7">
            <w:pPr>
              <w:jc w:val="left"/>
              <w:rPr>
                <w:rFonts w:ascii="宋体" w:hAnsi="宋体"/>
                <w:color w:val="auto"/>
                <w:szCs w:val="21"/>
              </w:rPr>
            </w:pPr>
          </w:p>
        </w:tc>
        <w:tc>
          <w:tcPr>
            <w:tcW w:w="697" w:type="dxa"/>
            <w:noWrap/>
            <w:vAlign w:val="center"/>
          </w:tcPr>
          <w:p w14:paraId="69B96EC2">
            <w:pPr>
              <w:rPr>
                <w:rFonts w:ascii="宋体" w:hAnsi="宋体"/>
                <w:color w:val="auto"/>
                <w:szCs w:val="21"/>
              </w:rPr>
            </w:pPr>
            <w:r>
              <w:rPr>
                <w:rFonts w:hint="eastAsia" w:ascii="宋体" w:hAnsi="宋体"/>
                <w:color w:val="auto"/>
                <w:szCs w:val="21"/>
              </w:rPr>
              <w:t>当班设置</w:t>
            </w:r>
          </w:p>
        </w:tc>
        <w:tc>
          <w:tcPr>
            <w:tcW w:w="6938" w:type="dxa"/>
            <w:gridSpan w:val="2"/>
            <w:noWrap/>
            <w:vAlign w:val="center"/>
          </w:tcPr>
          <w:p w14:paraId="080325D0">
            <w:pPr>
              <w:rPr>
                <w:rFonts w:ascii="宋体" w:hAnsi="宋体"/>
                <w:color w:val="auto"/>
                <w:szCs w:val="21"/>
              </w:rPr>
            </w:pPr>
            <w:r>
              <w:rPr>
                <w:rFonts w:hint="eastAsia" w:ascii="宋体" w:hAnsi="宋体"/>
                <w:color w:val="auto"/>
                <w:szCs w:val="21"/>
              </w:rPr>
              <w:t xml:space="preserve"> 设置当前登录用户所属的护理分组，如A1。选定组别后，在首页床位列表查看“本组患者”时，显示的就是对应该组管床范围内的患者。</w:t>
            </w:r>
          </w:p>
        </w:tc>
        <w:tc>
          <w:tcPr>
            <w:tcW w:w="709" w:type="dxa"/>
            <w:vMerge w:val="continue"/>
            <w:noWrap/>
            <w:vAlign w:val="center"/>
          </w:tcPr>
          <w:p w14:paraId="6BC67334">
            <w:pPr>
              <w:jc w:val="left"/>
              <w:rPr>
                <w:rFonts w:ascii="宋体" w:hAnsi="宋体"/>
                <w:color w:val="auto"/>
                <w:szCs w:val="21"/>
              </w:rPr>
            </w:pPr>
          </w:p>
        </w:tc>
      </w:tr>
      <w:tr w14:paraId="3C40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532" w:hRule="atLeast"/>
        </w:trPr>
        <w:tc>
          <w:tcPr>
            <w:tcW w:w="731" w:type="dxa"/>
            <w:vMerge w:val="continue"/>
            <w:noWrap/>
            <w:vAlign w:val="center"/>
          </w:tcPr>
          <w:p w14:paraId="72ADB8E8">
            <w:pPr>
              <w:jc w:val="left"/>
              <w:rPr>
                <w:rFonts w:ascii="宋体" w:hAnsi="宋体"/>
                <w:color w:val="auto"/>
                <w:szCs w:val="21"/>
              </w:rPr>
            </w:pPr>
          </w:p>
        </w:tc>
        <w:tc>
          <w:tcPr>
            <w:tcW w:w="565" w:type="dxa"/>
            <w:gridSpan w:val="2"/>
            <w:vMerge w:val="continue"/>
            <w:noWrap/>
            <w:vAlign w:val="center"/>
          </w:tcPr>
          <w:p w14:paraId="6D7032AE">
            <w:pPr>
              <w:jc w:val="left"/>
              <w:rPr>
                <w:rFonts w:ascii="宋体" w:hAnsi="宋体"/>
                <w:color w:val="auto"/>
                <w:szCs w:val="21"/>
              </w:rPr>
            </w:pPr>
          </w:p>
        </w:tc>
        <w:tc>
          <w:tcPr>
            <w:tcW w:w="697" w:type="dxa"/>
            <w:noWrap/>
            <w:vAlign w:val="center"/>
          </w:tcPr>
          <w:p w14:paraId="3BDA07BA">
            <w:pPr>
              <w:rPr>
                <w:rFonts w:ascii="宋体" w:hAnsi="宋体"/>
                <w:color w:val="auto"/>
                <w:szCs w:val="21"/>
              </w:rPr>
            </w:pPr>
            <w:r>
              <w:rPr>
                <w:rFonts w:hint="eastAsia" w:ascii="宋体" w:hAnsi="宋体"/>
                <w:color w:val="auto"/>
                <w:szCs w:val="21"/>
              </w:rPr>
              <w:t>屏幕锁定</w:t>
            </w:r>
          </w:p>
        </w:tc>
        <w:tc>
          <w:tcPr>
            <w:tcW w:w="6938" w:type="dxa"/>
            <w:gridSpan w:val="2"/>
            <w:noWrap/>
            <w:vAlign w:val="center"/>
          </w:tcPr>
          <w:p w14:paraId="0085552A">
            <w:pPr>
              <w:rPr>
                <w:rFonts w:ascii="宋体" w:hAnsi="宋体"/>
                <w:color w:val="auto"/>
                <w:szCs w:val="21"/>
              </w:rPr>
            </w:pPr>
            <w:r>
              <w:rPr>
                <w:rFonts w:hint="eastAsia" w:ascii="宋体" w:hAnsi="宋体"/>
                <w:color w:val="auto"/>
                <w:szCs w:val="21"/>
              </w:rPr>
              <w:t xml:space="preserve"> 系统检测到超过设定的时间未操作，退出到登录界面。超时时长可设置。</w:t>
            </w:r>
          </w:p>
        </w:tc>
        <w:tc>
          <w:tcPr>
            <w:tcW w:w="709" w:type="dxa"/>
            <w:vMerge w:val="continue"/>
            <w:noWrap/>
            <w:vAlign w:val="center"/>
          </w:tcPr>
          <w:p w14:paraId="0518EBEE">
            <w:pPr>
              <w:jc w:val="left"/>
              <w:rPr>
                <w:rFonts w:ascii="宋体" w:hAnsi="宋体"/>
                <w:color w:val="auto"/>
                <w:szCs w:val="21"/>
              </w:rPr>
            </w:pPr>
          </w:p>
        </w:tc>
      </w:tr>
      <w:tr w14:paraId="1F41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855" w:hRule="atLeast"/>
        </w:trPr>
        <w:tc>
          <w:tcPr>
            <w:tcW w:w="731" w:type="dxa"/>
            <w:noWrap/>
            <w:vAlign w:val="center"/>
          </w:tcPr>
          <w:p w14:paraId="6B285B97">
            <w:pPr>
              <w:jc w:val="left"/>
              <w:rPr>
                <w:rFonts w:ascii="宋体" w:hAnsi="宋体"/>
                <w:color w:val="auto"/>
                <w:szCs w:val="21"/>
              </w:rPr>
            </w:pPr>
            <w:r>
              <w:rPr>
                <w:rFonts w:hint="eastAsia" w:ascii="宋体" w:hAnsi="宋体"/>
                <w:color w:val="auto"/>
                <w:szCs w:val="21"/>
              </w:rPr>
              <w:t>系统功能</w:t>
            </w:r>
          </w:p>
        </w:tc>
        <w:tc>
          <w:tcPr>
            <w:tcW w:w="8200" w:type="dxa"/>
            <w:gridSpan w:val="5"/>
            <w:noWrap/>
            <w:vAlign w:val="center"/>
          </w:tcPr>
          <w:p w14:paraId="775A61B1">
            <w:pPr>
              <w:rPr>
                <w:rFonts w:ascii="宋体" w:hAnsi="宋体"/>
                <w:color w:val="auto"/>
                <w:szCs w:val="21"/>
              </w:rPr>
            </w:pPr>
            <w:r>
              <w:rPr>
                <w:rFonts w:hint="eastAsia" w:ascii="宋体" w:hAnsi="宋体"/>
                <w:color w:val="auto"/>
                <w:szCs w:val="21"/>
              </w:rPr>
              <w:t>系统满足电子病历系统功能应用水平分级评价</w:t>
            </w:r>
            <w:r>
              <w:rPr>
                <w:rFonts w:ascii="宋体" w:hAnsi="宋体"/>
                <w:color w:val="auto"/>
                <w:szCs w:val="21"/>
              </w:rPr>
              <w:t>5</w:t>
            </w:r>
            <w:r>
              <w:rPr>
                <w:rFonts w:hint="eastAsia" w:ascii="宋体" w:hAnsi="宋体"/>
                <w:color w:val="auto"/>
                <w:szCs w:val="21"/>
              </w:rPr>
              <w:t>级以上相关要求</w:t>
            </w:r>
            <w:r>
              <w:rPr>
                <w:rFonts w:ascii="宋体" w:hAnsi="宋体"/>
                <w:color w:val="auto"/>
                <w:szCs w:val="21"/>
              </w:rPr>
              <w:t>、</w:t>
            </w:r>
            <w:r>
              <w:rPr>
                <w:rFonts w:hint="eastAsia" w:ascii="宋体" w:hAnsi="宋体"/>
                <w:color w:val="auto"/>
                <w:szCs w:val="21"/>
              </w:rPr>
              <w:t>系统满足互联互通标准化成熟度四级甲等以上标准相关要求</w:t>
            </w:r>
            <w:r>
              <w:rPr>
                <w:rFonts w:ascii="宋体" w:hAnsi="宋体"/>
                <w:color w:val="auto"/>
                <w:szCs w:val="21"/>
              </w:rPr>
              <w:t>、</w:t>
            </w:r>
            <w:r>
              <w:rPr>
                <w:rFonts w:hint="eastAsia" w:ascii="宋体" w:hAnsi="宋体"/>
                <w:color w:val="auto"/>
                <w:szCs w:val="21"/>
              </w:rPr>
              <w:t>系统满足医院智慧服务分级评估</w:t>
            </w:r>
            <w:r>
              <w:rPr>
                <w:rFonts w:ascii="宋体" w:hAnsi="宋体"/>
                <w:color w:val="auto"/>
                <w:szCs w:val="21"/>
              </w:rPr>
              <w:t>3</w:t>
            </w:r>
            <w:r>
              <w:rPr>
                <w:rFonts w:hint="eastAsia" w:ascii="宋体" w:hAnsi="宋体"/>
                <w:color w:val="auto"/>
                <w:szCs w:val="21"/>
              </w:rPr>
              <w:t>级以上相关要求</w:t>
            </w:r>
            <w:r>
              <w:rPr>
                <w:rFonts w:ascii="宋体" w:hAnsi="宋体"/>
                <w:color w:val="auto"/>
                <w:szCs w:val="21"/>
              </w:rPr>
              <w:t>。</w:t>
            </w:r>
          </w:p>
          <w:p w14:paraId="7F2AF03F">
            <w:pPr>
              <w:rPr>
                <w:rFonts w:ascii="宋体" w:hAnsi="宋体"/>
                <w:color w:val="auto"/>
                <w:szCs w:val="21"/>
              </w:rPr>
            </w:pPr>
            <w:r>
              <w:rPr>
                <w:rFonts w:hint="eastAsia" w:ascii="宋体" w:hAnsi="宋体"/>
                <w:color w:val="auto"/>
                <w:szCs w:val="21"/>
              </w:rPr>
              <w:t>系统免费与医院相关系统无缝对接</w:t>
            </w:r>
            <w:r>
              <w:rPr>
                <w:rFonts w:ascii="宋体" w:hAnsi="宋体"/>
                <w:color w:val="auto"/>
                <w:szCs w:val="21"/>
              </w:rPr>
              <w:t>，</w:t>
            </w:r>
            <w:r>
              <w:rPr>
                <w:rFonts w:hint="eastAsia" w:ascii="宋体" w:hAnsi="宋体"/>
                <w:color w:val="auto"/>
                <w:szCs w:val="21"/>
              </w:rPr>
              <w:t>包含但不限于</w:t>
            </w:r>
            <w:r>
              <w:rPr>
                <w:rFonts w:ascii="宋体" w:hAnsi="宋体"/>
                <w:color w:val="auto"/>
                <w:szCs w:val="21"/>
              </w:rPr>
              <w:t>：</w:t>
            </w:r>
            <w:r>
              <w:rPr>
                <w:rFonts w:hint="eastAsia" w:ascii="宋体" w:hAnsi="宋体"/>
                <w:color w:val="auto"/>
                <w:szCs w:val="21"/>
              </w:rPr>
              <w:t>集成平台</w:t>
            </w:r>
            <w:r>
              <w:rPr>
                <w:rFonts w:ascii="宋体" w:hAnsi="宋体"/>
                <w:color w:val="auto"/>
                <w:szCs w:val="21"/>
              </w:rPr>
              <w:t>、</w:t>
            </w:r>
            <w:r>
              <w:rPr>
                <w:rFonts w:hint="eastAsia" w:ascii="宋体" w:hAnsi="宋体"/>
                <w:color w:val="auto"/>
                <w:szCs w:val="21"/>
              </w:rPr>
              <w:t>数据中心</w:t>
            </w:r>
            <w:r>
              <w:rPr>
                <w:rFonts w:ascii="宋体" w:hAnsi="宋体"/>
                <w:color w:val="auto"/>
                <w:szCs w:val="21"/>
              </w:rPr>
              <w:t>、his</w:t>
            </w:r>
            <w:r>
              <w:rPr>
                <w:rFonts w:hint="eastAsia" w:ascii="宋体" w:hAnsi="宋体"/>
                <w:color w:val="auto"/>
                <w:szCs w:val="21"/>
              </w:rPr>
              <w:t>系统</w:t>
            </w:r>
            <w:r>
              <w:rPr>
                <w:rFonts w:ascii="宋体" w:hAnsi="宋体"/>
                <w:color w:val="auto"/>
                <w:szCs w:val="21"/>
              </w:rPr>
              <w:t>、pacs</w:t>
            </w:r>
            <w:r>
              <w:rPr>
                <w:rFonts w:hint="eastAsia" w:ascii="宋体" w:hAnsi="宋体"/>
                <w:color w:val="auto"/>
                <w:szCs w:val="21"/>
              </w:rPr>
              <w:t>系统</w:t>
            </w:r>
            <w:r>
              <w:rPr>
                <w:rFonts w:ascii="宋体" w:hAnsi="宋体"/>
                <w:color w:val="auto"/>
                <w:szCs w:val="21"/>
              </w:rPr>
              <w:t>、</w:t>
            </w:r>
            <w:r>
              <w:rPr>
                <w:rFonts w:hint="eastAsia" w:ascii="宋体" w:hAnsi="宋体"/>
                <w:color w:val="auto"/>
                <w:szCs w:val="21"/>
              </w:rPr>
              <w:t>lis系统</w:t>
            </w:r>
            <w:r>
              <w:rPr>
                <w:rFonts w:ascii="宋体" w:hAnsi="宋体"/>
                <w:color w:val="auto"/>
                <w:szCs w:val="21"/>
              </w:rPr>
              <w:t>、</w:t>
            </w:r>
            <w:r>
              <w:rPr>
                <w:rFonts w:hint="eastAsia" w:ascii="宋体" w:hAnsi="宋体"/>
                <w:color w:val="auto"/>
                <w:szCs w:val="21"/>
              </w:rPr>
              <w:t>病理系统</w:t>
            </w:r>
            <w:r>
              <w:rPr>
                <w:rFonts w:ascii="宋体" w:hAnsi="宋体"/>
                <w:color w:val="auto"/>
                <w:szCs w:val="21"/>
              </w:rPr>
              <w:t>、</w:t>
            </w:r>
            <w:r>
              <w:rPr>
                <w:rFonts w:hint="eastAsia" w:ascii="宋体" w:hAnsi="宋体"/>
                <w:color w:val="auto"/>
                <w:szCs w:val="21"/>
              </w:rPr>
              <w:t>心电图系统</w:t>
            </w:r>
            <w:r>
              <w:rPr>
                <w:rFonts w:ascii="宋体" w:hAnsi="宋体"/>
                <w:color w:val="auto"/>
                <w:szCs w:val="21"/>
              </w:rPr>
              <w:t>、</w:t>
            </w:r>
            <w:r>
              <w:rPr>
                <w:rFonts w:hint="eastAsia" w:ascii="宋体" w:hAnsi="宋体"/>
                <w:color w:val="auto"/>
                <w:szCs w:val="21"/>
              </w:rPr>
              <w:t>电子病历系统无缝对接等</w:t>
            </w:r>
            <w:r>
              <w:rPr>
                <w:rFonts w:ascii="宋体" w:hAnsi="宋体"/>
                <w:color w:val="auto"/>
                <w:szCs w:val="21"/>
              </w:rPr>
              <w:t>，</w:t>
            </w:r>
            <w:r>
              <w:rPr>
                <w:rFonts w:hint="eastAsia" w:ascii="宋体" w:hAnsi="宋体"/>
                <w:color w:val="auto"/>
                <w:szCs w:val="21"/>
              </w:rPr>
              <w:t>具体以医院实际需求为准</w:t>
            </w:r>
            <w:r>
              <w:rPr>
                <w:rFonts w:ascii="宋体" w:hAnsi="宋体"/>
                <w:color w:val="auto"/>
                <w:szCs w:val="21"/>
              </w:rPr>
              <w:t>。</w:t>
            </w:r>
          </w:p>
          <w:p w14:paraId="4853908B">
            <w:pPr>
              <w:rPr>
                <w:rFonts w:ascii="宋体" w:hAnsi="宋体"/>
                <w:color w:val="auto"/>
                <w:szCs w:val="21"/>
              </w:rPr>
            </w:pPr>
            <w:r>
              <w:rPr>
                <w:rFonts w:ascii="宋体" w:hAnsi="宋体"/>
                <w:color w:val="auto"/>
                <w:szCs w:val="21"/>
              </w:rPr>
              <w:t>提供从系统验收合格之日起软件系统原厂3年的免费质保服务。</w:t>
            </w:r>
            <w:r>
              <w:rPr>
                <w:rFonts w:ascii="宋体" w:hAnsi="宋体"/>
                <w:color w:val="auto"/>
                <w:szCs w:val="21"/>
              </w:rPr>
              <w:br w:type="textWrapping"/>
            </w:r>
            <w:r>
              <w:rPr>
                <w:rFonts w:ascii="宋体" w:hAnsi="宋体"/>
                <w:color w:val="auto"/>
                <w:szCs w:val="21"/>
              </w:rPr>
              <w:t>提供本地化开发服务，功能或需求以医院实际需要为准。</w:t>
            </w:r>
            <w:r>
              <w:rPr>
                <w:rFonts w:ascii="宋体" w:hAnsi="宋体"/>
                <w:color w:val="auto"/>
                <w:szCs w:val="21"/>
              </w:rPr>
              <w:br w:type="textWrapping"/>
            </w:r>
            <w:r>
              <w:rPr>
                <w:rFonts w:ascii="宋体" w:hAnsi="宋体"/>
                <w:color w:val="auto"/>
                <w:szCs w:val="21"/>
              </w:rPr>
              <w:t>本项目所有软件、系统和平台必须安装在院内运行。不能运行在未经医院允许的第三方平台。</w:t>
            </w:r>
          </w:p>
          <w:p w14:paraId="5DD81B3D">
            <w:pPr>
              <w:rPr>
                <w:rFonts w:ascii="宋体" w:hAnsi="宋体"/>
                <w:color w:val="auto"/>
                <w:szCs w:val="21"/>
              </w:rPr>
            </w:pPr>
            <w:r>
              <w:rPr>
                <w:rFonts w:ascii="宋体" w:hAnsi="宋体"/>
                <w:color w:val="auto"/>
                <w:szCs w:val="21"/>
              </w:rPr>
              <w:t>中标人承诺本次提供软件产品为公司最新产品，实施阶段如有新版本产生，需免费帮升级到最新版本。</w:t>
            </w:r>
            <w:r>
              <w:rPr>
                <w:rFonts w:ascii="宋体" w:hAnsi="宋体"/>
                <w:color w:val="auto"/>
                <w:szCs w:val="21"/>
              </w:rPr>
              <w:br w:type="textWrapping"/>
            </w:r>
            <w:r>
              <w:rPr>
                <w:rFonts w:hint="eastAsia" w:ascii="宋体" w:hAnsi="宋体"/>
                <w:color w:val="auto"/>
                <w:szCs w:val="21"/>
              </w:rPr>
              <w:t>满足多院区多病区使用；本软件提供给全院每个病区使用</w:t>
            </w:r>
            <w:r>
              <w:rPr>
                <w:rFonts w:ascii="宋体" w:hAnsi="宋体"/>
                <w:color w:val="auto"/>
                <w:szCs w:val="21"/>
              </w:rPr>
              <w:t>，</w:t>
            </w:r>
            <w:r>
              <w:rPr>
                <w:rFonts w:hint="eastAsia" w:ascii="宋体" w:hAnsi="宋体"/>
                <w:color w:val="auto"/>
                <w:szCs w:val="21"/>
              </w:rPr>
              <w:t>提供各病区定制化配置；质保期内后续每增加一个病区不增加费用。</w:t>
            </w:r>
          </w:p>
          <w:p w14:paraId="74613537">
            <w:pPr>
              <w:rPr>
                <w:rFonts w:ascii="宋体" w:hAnsi="宋体"/>
                <w:color w:val="auto"/>
                <w:szCs w:val="21"/>
              </w:rPr>
            </w:pPr>
            <w:r>
              <w:rPr>
                <w:rFonts w:ascii="宋体" w:hAnsi="宋体"/>
                <w:color w:val="auto"/>
                <w:szCs w:val="21"/>
              </w:rPr>
              <w:t>承诺软件产品没有侵权问题。如有，中标人承担所有法律责任。</w:t>
            </w:r>
          </w:p>
        </w:tc>
        <w:tc>
          <w:tcPr>
            <w:tcW w:w="709" w:type="dxa"/>
            <w:vMerge w:val="continue"/>
            <w:noWrap/>
            <w:vAlign w:val="center"/>
          </w:tcPr>
          <w:p w14:paraId="7910ECC1">
            <w:pPr>
              <w:jc w:val="left"/>
              <w:rPr>
                <w:rFonts w:ascii="宋体" w:hAnsi="宋体"/>
                <w:color w:val="auto"/>
                <w:szCs w:val="21"/>
              </w:rPr>
            </w:pPr>
          </w:p>
        </w:tc>
      </w:tr>
      <w:tr w14:paraId="7832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725" w:hRule="atLeast"/>
        </w:trPr>
        <w:tc>
          <w:tcPr>
            <w:tcW w:w="9640" w:type="dxa"/>
            <w:gridSpan w:val="7"/>
            <w:noWrap/>
            <w:vAlign w:val="center"/>
          </w:tcPr>
          <w:p w14:paraId="1C5998FF">
            <w:pPr>
              <w:ind w:firstLine="422" w:firstLineChars="200"/>
              <w:jc w:val="left"/>
              <w:rPr>
                <w:rFonts w:ascii="宋体" w:hAnsi="宋体"/>
                <w:b/>
                <w:color w:val="auto"/>
                <w:szCs w:val="21"/>
              </w:rPr>
            </w:pPr>
            <w:r>
              <w:rPr>
                <w:rFonts w:hint="eastAsia" w:ascii="宋体" w:hAnsi="宋体"/>
                <w:b/>
                <w:color w:val="auto"/>
                <w:szCs w:val="21"/>
              </w:rPr>
              <w:t>备注：号参数为必备参数配置及要求，对这些必备参数配置及要求的任意一项不满足将导致投标投标无效，不带号的一般技术参数负偏离超过3项（不含3项）将导致投标无效；</w:t>
            </w:r>
          </w:p>
        </w:tc>
      </w:tr>
      <w:tr w14:paraId="7555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3215" w:hRule="atLeast"/>
        </w:trPr>
        <w:tc>
          <w:tcPr>
            <w:tcW w:w="9640" w:type="dxa"/>
            <w:gridSpan w:val="7"/>
            <w:tcBorders>
              <w:bottom w:val="single" w:color="auto" w:sz="4" w:space="0"/>
            </w:tcBorders>
            <w:noWrap/>
            <w:vAlign w:val="center"/>
          </w:tcPr>
          <w:p w14:paraId="6C78386A">
            <w:pPr>
              <w:spacing w:line="400" w:lineRule="exact"/>
              <w:rPr>
                <w:rFonts w:ascii="宋体" w:hAnsi="宋体"/>
                <w:color w:val="auto"/>
                <w:szCs w:val="21"/>
              </w:rPr>
            </w:pPr>
            <w:r>
              <w:rPr>
                <w:rFonts w:hint="eastAsia" w:ascii="宋体" w:hAnsi="宋体"/>
                <w:color w:val="auto"/>
                <w:szCs w:val="21"/>
              </w:rPr>
              <w:t xml:space="preserve">售后服务及其他要求： </w:t>
            </w:r>
          </w:p>
          <w:p w14:paraId="7C8557B8">
            <w:pPr>
              <w:spacing w:line="400" w:lineRule="exact"/>
              <w:rPr>
                <w:rFonts w:ascii="宋体" w:hAnsi="宋体"/>
                <w:color w:val="auto"/>
                <w:szCs w:val="21"/>
              </w:rPr>
            </w:pPr>
            <w:r>
              <w:rPr>
                <w:rFonts w:hint="eastAsia" w:ascii="宋体" w:hAnsi="宋体"/>
                <w:color w:val="auto"/>
                <w:szCs w:val="21"/>
              </w:rPr>
              <w:t>1、系统维护期为</w:t>
            </w:r>
            <w:r>
              <w:rPr>
                <w:rFonts w:ascii="宋体" w:hAnsi="宋体"/>
                <w:color w:val="auto"/>
                <w:szCs w:val="21"/>
              </w:rPr>
              <w:t>3</w:t>
            </w:r>
            <w:r>
              <w:rPr>
                <w:rFonts w:hint="eastAsia" w:ascii="宋体" w:hAnsi="宋体"/>
                <w:color w:val="auto"/>
                <w:szCs w:val="21"/>
              </w:rPr>
              <w:t>年，起始时间从系统验收合格之日起计算；</w:t>
            </w:r>
          </w:p>
          <w:p w14:paraId="4BF3C662">
            <w:pPr>
              <w:spacing w:line="400" w:lineRule="exact"/>
              <w:rPr>
                <w:rFonts w:ascii="宋体" w:hAnsi="宋体"/>
                <w:color w:val="auto"/>
                <w:szCs w:val="21"/>
              </w:rPr>
            </w:pPr>
            <w:r>
              <w:rPr>
                <w:rFonts w:hint="eastAsia" w:ascii="宋体" w:hAnsi="宋体"/>
                <w:color w:val="auto"/>
                <w:szCs w:val="21"/>
              </w:rPr>
              <w:t>2、维护期内因信息系统本身缺陷造成各种故障由投标人提供技术服务和维修；</w:t>
            </w:r>
          </w:p>
          <w:p w14:paraId="04027352">
            <w:pPr>
              <w:spacing w:line="400" w:lineRule="exact"/>
              <w:outlineLvl w:val="0"/>
              <w:rPr>
                <w:rFonts w:ascii="宋体" w:hAnsi="宋体"/>
                <w:color w:val="auto"/>
                <w:szCs w:val="21"/>
              </w:rPr>
            </w:pPr>
            <w:r>
              <w:rPr>
                <w:rFonts w:hint="eastAsia" w:ascii="宋体" w:hAnsi="宋体"/>
                <w:color w:val="auto"/>
                <w:szCs w:val="21"/>
              </w:rPr>
              <w:t>3、系统试运行期内及质量保修期内投标人应免费提供与第三方系统的接口开发服务；</w:t>
            </w:r>
          </w:p>
          <w:p w14:paraId="11C74B3E">
            <w:pPr>
              <w:spacing w:line="400" w:lineRule="exact"/>
              <w:outlineLvl w:val="0"/>
              <w:rPr>
                <w:rFonts w:ascii="宋体" w:hAnsi="宋体"/>
                <w:color w:val="auto"/>
                <w:szCs w:val="21"/>
              </w:rPr>
            </w:pPr>
            <w:r>
              <w:rPr>
                <w:rFonts w:hint="eastAsia" w:ascii="宋体" w:hAnsi="宋体"/>
                <w:color w:val="auto"/>
                <w:szCs w:val="21"/>
              </w:rPr>
              <w:t>4、系统试运行期内及质量保修期内投标人应免费提供系统软件升级服务；</w:t>
            </w:r>
          </w:p>
          <w:p w14:paraId="19CA29B2">
            <w:pPr>
              <w:spacing w:line="400" w:lineRule="exact"/>
              <w:rPr>
                <w:rFonts w:ascii="宋体" w:hAnsi="宋体"/>
                <w:color w:val="auto"/>
                <w:szCs w:val="21"/>
              </w:rPr>
            </w:pPr>
            <w:r>
              <w:rPr>
                <w:rFonts w:ascii="宋体" w:hAnsi="宋体"/>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r w14:paraId="3345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7" w:type="dxa"/>
          <w:trHeight w:val="1130" w:hRule="atLeast"/>
        </w:trPr>
        <w:tc>
          <w:tcPr>
            <w:tcW w:w="9640" w:type="dxa"/>
            <w:gridSpan w:val="7"/>
            <w:tcBorders>
              <w:top w:val="single" w:color="auto" w:sz="4" w:space="0"/>
              <w:left w:val="nil"/>
              <w:bottom w:val="nil"/>
              <w:right w:val="nil"/>
            </w:tcBorders>
            <w:noWrap/>
            <w:vAlign w:val="center"/>
          </w:tcPr>
          <w:p w14:paraId="6512D392">
            <w:pPr>
              <w:spacing w:line="380" w:lineRule="exact"/>
              <w:rPr>
                <w:color w:val="auto"/>
                <w:kern w:val="0"/>
                <w:sz w:val="24"/>
              </w:rPr>
            </w:pPr>
          </w:p>
        </w:tc>
      </w:tr>
      <w:tr w14:paraId="4180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707" w:type="dxa"/>
            <w:gridSpan w:val="8"/>
            <w:noWrap/>
            <w:vAlign w:val="center"/>
          </w:tcPr>
          <w:p w14:paraId="37D7C1D3">
            <w:pPr>
              <w:rPr>
                <w:rFonts w:ascii="宋体" w:hAnsi="宋体" w:eastAsia="黑体" w:cs="金山简隶书"/>
                <w:color w:val="auto"/>
                <w:szCs w:val="21"/>
              </w:rPr>
            </w:pPr>
            <w:r>
              <w:rPr>
                <w:rFonts w:ascii="宋体" w:hAnsi="宋体" w:eastAsia="黑体" w:cs="金山简隶书"/>
                <w:color w:val="auto"/>
                <w:szCs w:val="21"/>
              </w:rPr>
              <w:t>2</w:t>
            </w:r>
            <w:r>
              <w:rPr>
                <w:rFonts w:hint="eastAsia" w:ascii="宋体" w:hAnsi="宋体" w:eastAsia="黑体" w:cs="金山简隶书"/>
                <w:color w:val="auto"/>
                <w:szCs w:val="21"/>
              </w:rPr>
              <w:t>.</w:t>
            </w:r>
            <w:r>
              <w:rPr>
                <w:rFonts w:ascii="宋体" w:hAnsi="宋体" w:eastAsia="黑体" w:cs="金山简隶书"/>
                <w:color w:val="auto"/>
                <w:szCs w:val="21"/>
              </w:rPr>
              <w:t>4</w:t>
            </w:r>
            <w:r>
              <w:rPr>
                <w:rFonts w:hint="eastAsia" w:ascii="宋体" w:hAnsi="宋体" w:eastAsia="黑体" w:cs="金山简隶书"/>
                <w:color w:val="auto"/>
                <w:szCs w:val="21"/>
              </w:rPr>
              <w:t>移动查房系统技术参数</w:t>
            </w:r>
          </w:p>
        </w:tc>
      </w:tr>
      <w:tr w14:paraId="7A7F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810" w:type="dxa"/>
            <w:gridSpan w:val="2"/>
            <w:noWrap/>
            <w:vAlign w:val="center"/>
          </w:tcPr>
          <w:p w14:paraId="23DA56FD">
            <w:pPr>
              <w:jc w:val="center"/>
              <w:rPr>
                <w:rFonts w:ascii="宋体" w:hAnsi="宋体"/>
                <w:color w:val="auto"/>
                <w:szCs w:val="21"/>
              </w:rPr>
            </w:pPr>
            <w:r>
              <w:rPr>
                <w:rFonts w:hint="eastAsia" w:ascii="宋体" w:hAnsi="宋体"/>
                <w:color w:val="auto"/>
                <w:szCs w:val="21"/>
              </w:rPr>
              <w:t>模块</w:t>
            </w:r>
          </w:p>
        </w:tc>
        <w:tc>
          <w:tcPr>
            <w:tcW w:w="1600" w:type="dxa"/>
            <w:gridSpan w:val="3"/>
            <w:noWrap/>
            <w:vAlign w:val="center"/>
          </w:tcPr>
          <w:p w14:paraId="426196D2">
            <w:pPr>
              <w:jc w:val="center"/>
              <w:rPr>
                <w:rFonts w:ascii="宋体" w:hAnsi="宋体"/>
                <w:color w:val="auto"/>
                <w:szCs w:val="21"/>
              </w:rPr>
            </w:pPr>
            <w:r>
              <w:rPr>
                <w:rFonts w:hint="eastAsia" w:ascii="宋体" w:hAnsi="宋体"/>
                <w:color w:val="auto"/>
                <w:szCs w:val="21"/>
              </w:rPr>
              <w:t>功能名称</w:t>
            </w:r>
          </w:p>
        </w:tc>
        <w:tc>
          <w:tcPr>
            <w:tcW w:w="6521" w:type="dxa"/>
            <w:noWrap/>
            <w:vAlign w:val="center"/>
          </w:tcPr>
          <w:p w14:paraId="15B87E97">
            <w:pPr>
              <w:jc w:val="center"/>
              <w:rPr>
                <w:rFonts w:ascii="宋体" w:hAnsi="宋体"/>
                <w:color w:val="auto"/>
                <w:szCs w:val="21"/>
              </w:rPr>
            </w:pPr>
            <w:r>
              <w:rPr>
                <w:rFonts w:hint="eastAsia" w:ascii="宋体" w:hAnsi="宋体"/>
                <w:color w:val="auto"/>
                <w:szCs w:val="21"/>
              </w:rPr>
              <w:t>功能要求</w:t>
            </w:r>
          </w:p>
        </w:tc>
        <w:tc>
          <w:tcPr>
            <w:tcW w:w="776" w:type="dxa"/>
            <w:gridSpan w:val="2"/>
            <w:noWrap/>
            <w:vAlign w:val="center"/>
          </w:tcPr>
          <w:p w14:paraId="3F61295B">
            <w:pPr>
              <w:jc w:val="center"/>
              <w:rPr>
                <w:rFonts w:ascii="宋体" w:hAnsi="宋体"/>
                <w:color w:val="auto"/>
                <w:szCs w:val="21"/>
              </w:rPr>
            </w:pPr>
            <w:r>
              <w:rPr>
                <w:rFonts w:hint="eastAsia" w:ascii="宋体" w:hAnsi="宋体"/>
                <w:color w:val="auto"/>
                <w:szCs w:val="21"/>
              </w:rPr>
              <w:t>数量</w:t>
            </w:r>
          </w:p>
        </w:tc>
      </w:tr>
      <w:tr w14:paraId="44C2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10" w:type="dxa"/>
            <w:gridSpan w:val="2"/>
            <w:vMerge w:val="restart"/>
            <w:noWrap/>
            <w:vAlign w:val="center"/>
          </w:tcPr>
          <w:p w14:paraId="0DC6E39A">
            <w:pPr>
              <w:widowControl/>
              <w:jc w:val="center"/>
              <w:rPr>
                <w:rFonts w:ascii="宋体" w:hAnsi="宋体"/>
                <w:color w:val="auto"/>
                <w:szCs w:val="21"/>
              </w:rPr>
            </w:pPr>
            <w:r>
              <w:rPr>
                <w:rFonts w:hint="eastAsia" w:ascii="宋体" w:hAnsi="宋体"/>
                <w:color w:val="auto"/>
                <w:szCs w:val="21"/>
              </w:rPr>
              <w:t>患者列表</w:t>
            </w:r>
          </w:p>
        </w:tc>
        <w:tc>
          <w:tcPr>
            <w:tcW w:w="1600" w:type="dxa"/>
            <w:gridSpan w:val="3"/>
            <w:noWrap/>
            <w:vAlign w:val="center"/>
          </w:tcPr>
          <w:p w14:paraId="3BD98C19">
            <w:pPr>
              <w:widowControl/>
              <w:jc w:val="center"/>
              <w:rPr>
                <w:rFonts w:ascii="宋体" w:hAnsi="宋体"/>
                <w:color w:val="auto"/>
                <w:szCs w:val="21"/>
              </w:rPr>
            </w:pPr>
            <w:r>
              <w:rPr>
                <w:rFonts w:hint="eastAsia" w:ascii="宋体" w:hAnsi="宋体"/>
                <w:color w:val="auto"/>
                <w:szCs w:val="21"/>
              </w:rPr>
              <w:t>患者列表</w:t>
            </w:r>
          </w:p>
        </w:tc>
        <w:tc>
          <w:tcPr>
            <w:tcW w:w="6521" w:type="dxa"/>
            <w:noWrap/>
            <w:vAlign w:val="center"/>
          </w:tcPr>
          <w:p w14:paraId="464BB7E1">
            <w:pPr>
              <w:widowControl/>
              <w:rPr>
                <w:rFonts w:ascii="宋体" w:hAnsi="宋体"/>
                <w:color w:val="auto"/>
                <w:szCs w:val="21"/>
              </w:rPr>
            </w:pPr>
            <w:r>
              <w:rPr>
                <w:rFonts w:hint="eastAsia" w:ascii="宋体" w:hAnsi="宋体"/>
                <w:color w:val="auto"/>
                <w:szCs w:val="21"/>
              </w:rPr>
              <w:t>在客户端系统上提供病人基本信息包括但不限于：姓名、年龄、性别、病情级别、护理级别、诊断、住院ID号、陪护、手术、费用、医保性质、</w:t>
            </w:r>
            <w:r>
              <w:rPr>
                <w:rFonts w:ascii="宋体" w:hAnsi="宋体"/>
                <w:color w:val="auto"/>
                <w:szCs w:val="21"/>
              </w:rPr>
              <w:t>康复占比、药占比</w:t>
            </w:r>
            <w:r>
              <w:rPr>
                <w:rFonts w:hint="eastAsia" w:ascii="宋体" w:hAnsi="宋体"/>
                <w:color w:val="auto"/>
                <w:szCs w:val="21"/>
              </w:rPr>
              <w:t>、主治医生等相关信息，并将患者历史门诊、住院诊断信息归档显示，可以由基本信息直接快速进入当前病人的各类临床业务操作界面，在基本信息无需要经过界面切换进入各类临床业务操作界面。客户端具有开具、修改、书写医嘱及</w:t>
            </w:r>
            <w:r>
              <w:rPr>
                <w:rFonts w:ascii="宋体" w:hAnsi="宋体"/>
                <w:color w:val="auto"/>
                <w:szCs w:val="21"/>
              </w:rPr>
              <w:t>病历</w:t>
            </w:r>
            <w:r>
              <w:rPr>
                <w:rFonts w:hint="eastAsia" w:ascii="宋体" w:hAnsi="宋体"/>
                <w:color w:val="auto"/>
                <w:szCs w:val="21"/>
              </w:rPr>
              <w:t>功能。</w:t>
            </w:r>
          </w:p>
        </w:tc>
        <w:tc>
          <w:tcPr>
            <w:tcW w:w="776" w:type="dxa"/>
            <w:gridSpan w:val="2"/>
            <w:vMerge w:val="restart"/>
            <w:noWrap/>
            <w:vAlign w:val="center"/>
          </w:tcPr>
          <w:p w14:paraId="01014D45">
            <w:pPr>
              <w:widowControl/>
              <w:jc w:val="center"/>
              <w:rPr>
                <w:rFonts w:ascii="宋体" w:hAnsi="宋体"/>
                <w:color w:val="auto"/>
                <w:szCs w:val="21"/>
              </w:rPr>
            </w:pPr>
            <w:r>
              <w:rPr>
                <w:rFonts w:ascii="宋体" w:hAnsi="宋体"/>
                <w:color w:val="auto"/>
                <w:szCs w:val="21"/>
              </w:rPr>
              <w:t>1</w:t>
            </w:r>
            <w:r>
              <w:rPr>
                <w:rFonts w:hint="eastAsia" w:ascii="宋体" w:hAnsi="宋体"/>
                <w:color w:val="auto"/>
                <w:szCs w:val="21"/>
              </w:rPr>
              <w:t>套</w:t>
            </w:r>
          </w:p>
        </w:tc>
      </w:tr>
      <w:tr w14:paraId="605C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10" w:type="dxa"/>
            <w:gridSpan w:val="2"/>
            <w:vMerge w:val="continue"/>
            <w:noWrap/>
            <w:vAlign w:val="center"/>
          </w:tcPr>
          <w:p w14:paraId="73F93051">
            <w:pPr>
              <w:jc w:val="left"/>
              <w:rPr>
                <w:rFonts w:ascii="宋体" w:hAnsi="宋体"/>
                <w:color w:val="auto"/>
                <w:szCs w:val="21"/>
              </w:rPr>
            </w:pPr>
          </w:p>
        </w:tc>
        <w:tc>
          <w:tcPr>
            <w:tcW w:w="1600" w:type="dxa"/>
            <w:gridSpan w:val="3"/>
            <w:noWrap/>
            <w:vAlign w:val="center"/>
          </w:tcPr>
          <w:p w14:paraId="6A28C995">
            <w:pPr>
              <w:jc w:val="center"/>
              <w:rPr>
                <w:rFonts w:ascii="宋体" w:hAnsi="宋体"/>
                <w:color w:val="auto"/>
                <w:szCs w:val="21"/>
              </w:rPr>
            </w:pPr>
            <w:r>
              <w:rPr>
                <w:rFonts w:hint="eastAsia" w:ascii="宋体" w:hAnsi="宋体"/>
                <w:color w:val="auto"/>
                <w:szCs w:val="21"/>
              </w:rPr>
              <w:t>患者病情摘要</w:t>
            </w:r>
          </w:p>
        </w:tc>
        <w:tc>
          <w:tcPr>
            <w:tcW w:w="6521" w:type="dxa"/>
            <w:noWrap/>
            <w:vAlign w:val="center"/>
          </w:tcPr>
          <w:p w14:paraId="22447327">
            <w:pPr>
              <w:rPr>
                <w:rFonts w:ascii="宋体" w:hAnsi="宋体"/>
                <w:color w:val="auto"/>
                <w:szCs w:val="21"/>
              </w:rPr>
            </w:pPr>
            <w:r>
              <w:rPr>
                <w:rFonts w:hint="eastAsia" w:ascii="宋体" w:hAnsi="宋体"/>
                <w:color w:val="auto"/>
                <w:szCs w:val="21"/>
              </w:rPr>
              <w:t xml:space="preserve"> 智能提取患者最重要的信息，包括过敏信息、最新化验、最新检查、最新医嘱、最新病历等，协助医生快速查看患者最新病情</w:t>
            </w:r>
          </w:p>
        </w:tc>
        <w:tc>
          <w:tcPr>
            <w:tcW w:w="776" w:type="dxa"/>
            <w:gridSpan w:val="2"/>
            <w:vMerge w:val="continue"/>
            <w:noWrap/>
            <w:vAlign w:val="center"/>
          </w:tcPr>
          <w:p w14:paraId="3DA9FFBB">
            <w:pPr>
              <w:jc w:val="center"/>
              <w:rPr>
                <w:rFonts w:ascii="宋体" w:hAnsi="宋体"/>
                <w:color w:val="auto"/>
                <w:szCs w:val="21"/>
              </w:rPr>
            </w:pPr>
          </w:p>
        </w:tc>
      </w:tr>
      <w:tr w14:paraId="3070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10" w:type="dxa"/>
            <w:gridSpan w:val="2"/>
            <w:vMerge w:val="continue"/>
            <w:noWrap/>
            <w:vAlign w:val="center"/>
          </w:tcPr>
          <w:p w14:paraId="409B45A8">
            <w:pPr>
              <w:jc w:val="left"/>
              <w:rPr>
                <w:rFonts w:ascii="宋体" w:hAnsi="宋体"/>
                <w:color w:val="auto"/>
                <w:szCs w:val="21"/>
              </w:rPr>
            </w:pPr>
          </w:p>
        </w:tc>
        <w:tc>
          <w:tcPr>
            <w:tcW w:w="1600" w:type="dxa"/>
            <w:gridSpan w:val="3"/>
            <w:noWrap/>
            <w:vAlign w:val="center"/>
          </w:tcPr>
          <w:p w14:paraId="13B255F4">
            <w:pPr>
              <w:jc w:val="center"/>
              <w:rPr>
                <w:rFonts w:ascii="宋体" w:hAnsi="宋体"/>
                <w:color w:val="auto"/>
                <w:szCs w:val="21"/>
              </w:rPr>
            </w:pPr>
            <w:r>
              <w:rPr>
                <w:rFonts w:hint="eastAsia" w:ascii="宋体" w:hAnsi="宋体"/>
                <w:color w:val="auto"/>
                <w:szCs w:val="21"/>
              </w:rPr>
              <w:t>科室列表</w:t>
            </w:r>
          </w:p>
        </w:tc>
        <w:tc>
          <w:tcPr>
            <w:tcW w:w="6521" w:type="dxa"/>
            <w:noWrap/>
            <w:vAlign w:val="center"/>
          </w:tcPr>
          <w:p w14:paraId="327B595A">
            <w:pPr>
              <w:rPr>
                <w:rFonts w:ascii="宋体" w:hAnsi="宋体"/>
                <w:color w:val="auto"/>
                <w:szCs w:val="21"/>
              </w:rPr>
            </w:pPr>
            <w:r>
              <w:rPr>
                <w:rFonts w:hint="eastAsia" w:ascii="宋体" w:hAnsi="宋体"/>
                <w:color w:val="auto"/>
                <w:szCs w:val="21"/>
              </w:rPr>
              <w:t xml:space="preserve"> 可切换不同的科室进行查看，切换科室依据来源于HIS系统。</w:t>
            </w:r>
          </w:p>
        </w:tc>
        <w:tc>
          <w:tcPr>
            <w:tcW w:w="776" w:type="dxa"/>
            <w:gridSpan w:val="2"/>
            <w:vMerge w:val="continue"/>
            <w:noWrap/>
            <w:vAlign w:val="center"/>
          </w:tcPr>
          <w:p w14:paraId="6BD74368">
            <w:pPr>
              <w:jc w:val="center"/>
              <w:rPr>
                <w:rFonts w:ascii="宋体" w:hAnsi="宋体"/>
                <w:color w:val="auto"/>
                <w:szCs w:val="21"/>
              </w:rPr>
            </w:pPr>
          </w:p>
        </w:tc>
      </w:tr>
      <w:tr w14:paraId="6E38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0" w:type="dxa"/>
            <w:gridSpan w:val="2"/>
            <w:vMerge w:val="continue"/>
            <w:noWrap/>
            <w:vAlign w:val="center"/>
          </w:tcPr>
          <w:p w14:paraId="2463F3A7">
            <w:pPr>
              <w:jc w:val="left"/>
              <w:rPr>
                <w:rFonts w:ascii="宋体" w:hAnsi="宋体"/>
                <w:color w:val="auto"/>
                <w:szCs w:val="21"/>
              </w:rPr>
            </w:pPr>
          </w:p>
        </w:tc>
        <w:tc>
          <w:tcPr>
            <w:tcW w:w="1600" w:type="dxa"/>
            <w:gridSpan w:val="3"/>
            <w:vMerge w:val="restart"/>
            <w:noWrap/>
            <w:vAlign w:val="center"/>
          </w:tcPr>
          <w:p w14:paraId="16935ADE">
            <w:pPr>
              <w:jc w:val="center"/>
              <w:rPr>
                <w:rFonts w:ascii="宋体" w:hAnsi="宋体"/>
                <w:color w:val="auto"/>
                <w:szCs w:val="21"/>
              </w:rPr>
            </w:pPr>
            <w:r>
              <w:rPr>
                <w:rFonts w:hint="eastAsia" w:ascii="宋体" w:hAnsi="宋体"/>
                <w:color w:val="auto"/>
                <w:szCs w:val="21"/>
              </w:rPr>
              <w:t>患者查询</w:t>
            </w:r>
          </w:p>
        </w:tc>
        <w:tc>
          <w:tcPr>
            <w:tcW w:w="6521" w:type="dxa"/>
            <w:noWrap/>
            <w:vAlign w:val="center"/>
          </w:tcPr>
          <w:p w14:paraId="0B359BC7">
            <w:pPr>
              <w:rPr>
                <w:rFonts w:ascii="宋体" w:hAnsi="宋体"/>
                <w:color w:val="auto"/>
                <w:szCs w:val="21"/>
              </w:rPr>
            </w:pPr>
            <w:r>
              <w:rPr>
                <w:rFonts w:hint="eastAsia" w:ascii="宋体" w:hAnsi="宋体"/>
                <w:color w:val="auto"/>
                <w:szCs w:val="21"/>
              </w:rPr>
              <w:t>显示当前病区所有患者的信息，包括但不限于：姓名、年龄、性别、病情级别、诊断、住院ID号、医保性质、主管医生等相关信息。</w:t>
            </w:r>
          </w:p>
        </w:tc>
        <w:tc>
          <w:tcPr>
            <w:tcW w:w="776" w:type="dxa"/>
            <w:gridSpan w:val="2"/>
            <w:vMerge w:val="continue"/>
            <w:noWrap/>
            <w:vAlign w:val="center"/>
          </w:tcPr>
          <w:p w14:paraId="707AD904">
            <w:pPr>
              <w:jc w:val="center"/>
              <w:rPr>
                <w:rFonts w:ascii="宋体" w:hAnsi="宋体"/>
                <w:color w:val="auto"/>
                <w:szCs w:val="21"/>
              </w:rPr>
            </w:pPr>
          </w:p>
        </w:tc>
      </w:tr>
      <w:tr w14:paraId="0D81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0" w:type="dxa"/>
            <w:gridSpan w:val="2"/>
            <w:vMerge w:val="continue"/>
            <w:noWrap/>
            <w:vAlign w:val="center"/>
          </w:tcPr>
          <w:p w14:paraId="1A6B32C4">
            <w:pPr>
              <w:jc w:val="left"/>
              <w:rPr>
                <w:rFonts w:ascii="宋体" w:hAnsi="宋体"/>
                <w:color w:val="auto"/>
                <w:szCs w:val="21"/>
              </w:rPr>
            </w:pPr>
          </w:p>
        </w:tc>
        <w:tc>
          <w:tcPr>
            <w:tcW w:w="1600" w:type="dxa"/>
            <w:gridSpan w:val="3"/>
            <w:vMerge w:val="continue"/>
            <w:noWrap/>
            <w:vAlign w:val="center"/>
          </w:tcPr>
          <w:p w14:paraId="08F6A50E">
            <w:pPr>
              <w:jc w:val="center"/>
              <w:rPr>
                <w:rFonts w:ascii="宋体" w:hAnsi="宋体"/>
                <w:color w:val="auto"/>
                <w:szCs w:val="21"/>
              </w:rPr>
            </w:pPr>
          </w:p>
        </w:tc>
        <w:tc>
          <w:tcPr>
            <w:tcW w:w="6521" w:type="dxa"/>
            <w:noWrap/>
            <w:vAlign w:val="center"/>
          </w:tcPr>
          <w:p w14:paraId="39755AE0">
            <w:pPr>
              <w:rPr>
                <w:rFonts w:ascii="宋体" w:hAnsi="宋体"/>
                <w:color w:val="auto"/>
                <w:szCs w:val="21"/>
              </w:rPr>
            </w:pPr>
            <w:r>
              <w:rPr>
                <w:rFonts w:hint="eastAsia" w:ascii="宋体" w:hAnsi="宋体"/>
                <w:color w:val="auto"/>
                <w:szCs w:val="21"/>
              </w:rPr>
              <w:t>可进入患者主界面，可选择查看该患者医嘱、体征、血糖表、电子病历、检查报告、检验报告、会诊申请、知情同意书、量表等。</w:t>
            </w:r>
          </w:p>
        </w:tc>
        <w:tc>
          <w:tcPr>
            <w:tcW w:w="776" w:type="dxa"/>
            <w:gridSpan w:val="2"/>
            <w:vMerge w:val="continue"/>
            <w:noWrap/>
            <w:vAlign w:val="center"/>
          </w:tcPr>
          <w:p w14:paraId="3E94BCE1">
            <w:pPr>
              <w:jc w:val="center"/>
              <w:rPr>
                <w:rFonts w:ascii="宋体" w:hAnsi="宋体"/>
                <w:color w:val="auto"/>
                <w:szCs w:val="21"/>
              </w:rPr>
            </w:pPr>
          </w:p>
        </w:tc>
      </w:tr>
      <w:tr w14:paraId="2A01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0" w:type="dxa"/>
            <w:gridSpan w:val="2"/>
            <w:vMerge w:val="continue"/>
            <w:noWrap/>
            <w:vAlign w:val="center"/>
          </w:tcPr>
          <w:p w14:paraId="259E3CC0">
            <w:pPr>
              <w:jc w:val="left"/>
              <w:rPr>
                <w:rFonts w:ascii="宋体" w:hAnsi="宋体"/>
                <w:color w:val="auto"/>
                <w:szCs w:val="21"/>
              </w:rPr>
            </w:pPr>
          </w:p>
        </w:tc>
        <w:tc>
          <w:tcPr>
            <w:tcW w:w="1600" w:type="dxa"/>
            <w:gridSpan w:val="3"/>
            <w:vMerge w:val="continue"/>
            <w:noWrap/>
            <w:vAlign w:val="center"/>
          </w:tcPr>
          <w:p w14:paraId="388A0F0A">
            <w:pPr>
              <w:jc w:val="center"/>
              <w:rPr>
                <w:rFonts w:ascii="宋体" w:hAnsi="宋体"/>
                <w:color w:val="auto"/>
                <w:szCs w:val="21"/>
              </w:rPr>
            </w:pPr>
          </w:p>
        </w:tc>
        <w:tc>
          <w:tcPr>
            <w:tcW w:w="6521" w:type="dxa"/>
            <w:noWrap/>
            <w:vAlign w:val="center"/>
          </w:tcPr>
          <w:p w14:paraId="3E43D40C">
            <w:pPr>
              <w:rPr>
                <w:rFonts w:ascii="宋体" w:hAnsi="宋体"/>
                <w:color w:val="auto"/>
                <w:szCs w:val="21"/>
              </w:rPr>
            </w:pPr>
            <w:r>
              <w:rPr>
                <w:rFonts w:hint="eastAsia" w:ascii="宋体" w:hAnsi="宋体"/>
                <w:color w:val="auto"/>
                <w:szCs w:val="21"/>
              </w:rPr>
              <w:t>实现在搜索框输入床号、姓名、住院号等信息来查找患者。可根据自定义分组筛选并查看患者，如主管医师、病情等级等，更加快速掌握信息。</w:t>
            </w:r>
          </w:p>
        </w:tc>
        <w:tc>
          <w:tcPr>
            <w:tcW w:w="776" w:type="dxa"/>
            <w:gridSpan w:val="2"/>
            <w:vMerge w:val="continue"/>
            <w:noWrap/>
            <w:vAlign w:val="center"/>
          </w:tcPr>
          <w:p w14:paraId="48FEE7D7">
            <w:pPr>
              <w:jc w:val="center"/>
              <w:rPr>
                <w:rFonts w:ascii="宋体" w:hAnsi="宋体"/>
                <w:color w:val="auto"/>
                <w:szCs w:val="21"/>
              </w:rPr>
            </w:pPr>
          </w:p>
        </w:tc>
      </w:tr>
      <w:tr w14:paraId="78D1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810" w:type="dxa"/>
            <w:gridSpan w:val="2"/>
            <w:vMerge w:val="continue"/>
            <w:noWrap/>
            <w:vAlign w:val="center"/>
          </w:tcPr>
          <w:p w14:paraId="00FD4B63">
            <w:pPr>
              <w:jc w:val="left"/>
              <w:rPr>
                <w:rFonts w:ascii="宋体" w:hAnsi="宋体"/>
                <w:color w:val="auto"/>
                <w:szCs w:val="21"/>
              </w:rPr>
            </w:pPr>
          </w:p>
        </w:tc>
        <w:tc>
          <w:tcPr>
            <w:tcW w:w="1600" w:type="dxa"/>
            <w:gridSpan w:val="3"/>
            <w:vMerge w:val="continue"/>
            <w:noWrap/>
            <w:vAlign w:val="center"/>
          </w:tcPr>
          <w:p w14:paraId="1D53D5A2">
            <w:pPr>
              <w:jc w:val="center"/>
              <w:rPr>
                <w:rFonts w:ascii="宋体" w:hAnsi="宋体"/>
                <w:color w:val="auto"/>
                <w:szCs w:val="21"/>
              </w:rPr>
            </w:pPr>
          </w:p>
        </w:tc>
        <w:tc>
          <w:tcPr>
            <w:tcW w:w="6521" w:type="dxa"/>
            <w:noWrap/>
            <w:vAlign w:val="center"/>
          </w:tcPr>
          <w:p w14:paraId="4EB6DA18">
            <w:pPr>
              <w:rPr>
                <w:rFonts w:ascii="宋体" w:hAnsi="宋体"/>
                <w:color w:val="auto"/>
                <w:szCs w:val="21"/>
              </w:rPr>
            </w:pPr>
            <w:r>
              <w:rPr>
                <w:rFonts w:hint="eastAsia" w:ascii="宋体" w:hAnsi="宋体"/>
                <w:color w:val="auto"/>
                <w:szCs w:val="21"/>
              </w:rPr>
              <w:t>扫描患者腕带条码（或</w:t>
            </w:r>
            <w:r>
              <w:rPr>
                <w:rFonts w:ascii="宋体" w:hAnsi="宋体"/>
                <w:color w:val="auto"/>
                <w:szCs w:val="21"/>
              </w:rPr>
              <w:t>二维码</w:t>
            </w:r>
            <w:r>
              <w:rPr>
                <w:rFonts w:hint="eastAsia" w:ascii="宋体" w:hAnsi="宋体"/>
                <w:color w:val="auto"/>
                <w:szCs w:val="21"/>
              </w:rPr>
              <w:t>）后可快速跳转此患者主界面。</w:t>
            </w:r>
          </w:p>
        </w:tc>
        <w:tc>
          <w:tcPr>
            <w:tcW w:w="776" w:type="dxa"/>
            <w:gridSpan w:val="2"/>
            <w:vMerge w:val="continue"/>
            <w:noWrap/>
            <w:vAlign w:val="center"/>
          </w:tcPr>
          <w:p w14:paraId="5848558D">
            <w:pPr>
              <w:jc w:val="center"/>
              <w:rPr>
                <w:rFonts w:ascii="宋体" w:hAnsi="宋体"/>
                <w:color w:val="auto"/>
                <w:szCs w:val="21"/>
              </w:rPr>
            </w:pPr>
          </w:p>
        </w:tc>
      </w:tr>
      <w:tr w14:paraId="0DE4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10" w:type="dxa"/>
            <w:gridSpan w:val="2"/>
            <w:vMerge w:val="continue"/>
            <w:noWrap/>
            <w:vAlign w:val="center"/>
          </w:tcPr>
          <w:p w14:paraId="085376CF">
            <w:pPr>
              <w:jc w:val="left"/>
              <w:rPr>
                <w:rFonts w:ascii="宋体" w:hAnsi="宋体"/>
                <w:color w:val="auto"/>
                <w:szCs w:val="21"/>
              </w:rPr>
            </w:pPr>
          </w:p>
        </w:tc>
        <w:tc>
          <w:tcPr>
            <w:tcW w:w="1600" w:type="dxa"/>
            <w:gridSpan w:val="3"/>
            <w:noWrap/>
            <w:vAlign w:val="center"/>
          </w:tcPr>
          <w:p w14:paraId="5F9B0AD8">
            <w:pPr>
              <w:jc w:val="center"/>
              <w:rPr>
                <w:rFonts w:ascii="宋体" w:hAnsi="宋体"/>
                <w:color w:val="auto"/>
                <w:szCs w:val="21"/>
              </w:rPr>
            </w:pPr>
            <w:r>
              <w:rPr>
                <w:rFonts w:hint="eastAsia" w:ascii="宋体" w:hAnsi="宋体"/>
                <w:color w:val="auto"/>
                <w:szCs w:val="21"/>
              </w:rPr>
              <w:t>出院病人查询</w:t>
            </w:r>
          </w:p>
        </w:tc>
        <w:tc>
          <w:tcPr>
            <w:tcW w:w="6521" w:type="dxa"/>
            <w:noWrap/>
            <w:vAlign w:val="center"/>
          </w:tcPr>
          <w:p w14:paraId="516041AC">
            <w:pPr>
              <w:rPr>
                <w:rFonts w:ascii="宋体" w:hAnsi="宋体"/>
                <w:color w:val="auto"/>
                <w:szCs w:val="21"/>
              </w:rPr>
            </w:pPr>
            <w:r>
              <w:rPr>
                <w:rFonts w:hint="eastAsia" w:ascii="宋体" w:hAnsi="宋体"/>
                <w:color w:val="auto"/>
                <w:szCs w:val="21"/>
              </w:rPr>
              <w:t xml:space="preserve"> 可切换显示当前登录用户所管理的在院病人，出院病人以及当前科室的所有病人。</w:t>
            </w:r>
          </w:p>
        </w:tc>
        <w:tc>
          <w:tcPr>
            <w:tcW w:w="776" w:type="dxa"/>
            <w:gridSpan w:val="2"/>
            <w:vMerge w:val="continue"/>
            <w:noWrap/>
            <w:vAlign w:val="center"/>
          </w:tcPr>
          <w:p w14:paraId="7363AF4D">
            <w:pPr>
              <w:jc w:val="center"/>
              <w:rPr>
                <w:rFonts w:ascii="宋体" w:hAnsi="宋体"/>
                <w:color w:val="auto"/>
                <w:szCs w:val="21"/>
              </w:rPr>
            </w:pPr>
          </w:p>
        </w:tc>
      </w:tr>
      <w:tr w14:paraId="3BF6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10" w:type="dxa"/>
            <w:gridSpan w:val="2"/>
            <w:vMerge w:val="continue"/>
            <w:noWrap/>
            <w:vAlign w:val="center"/>
          </w:tcPr>
          <w:p w14:paraId="177BCE81">
            <w:pPr>
              <w:jc w:val="left"/>
              <w:rPr>
                <w:rFonts w:ascii="宋体" w:hAnsi="宋体"/>
                <w:color w:val="auto"/>
                <w:szCs w:val="21"/>
              </w:rPr>
            </w:pPr>
          </w:p>
        </w:tc>
        <w:tc>
          <w:tcPr>
            <w:tcW w:w="1600" w:type="dxa"/>
            <w:gridSpan w:val="3"/>
            <w:noWrap/>
            <w:vAlign w:val="center"/>
          </w:tcPr>
          <w:p w14:paraId="2545BEC5">
            <w:pPr>
              <w:jc w:val="center"/>
              <w:rPr>
                <w:rFonts w:ascii="宋体" w:hAnsi="宋体"/>
                <w:color w:val="auto"/>
                <w:szCs w:val="21"/>
              </w:rPr>
            </w:pPr>
            <w:r>
              <w:rPr>
                <w:rFonts w:hint="eastAsia" w:ascii="宋体" w:hAnsi="宋体"/>
                <w:color w:val="auto"/>
                <w:szCs w:val="21"/>
              </w:rPr>
              <w:t>患者过滤查询</w:t>
            </w:r>
          </w:p>
        </w:tc>
        <w:tc>
          <w:tcPr>
            <w:tcW w:w="6521" w:type="dxa"/>
            <w:noWrap/>
            <w:vAlign w:val="center"/>
          </w:tcPr>
          <w:p w14:paraId="1CDE7319">
            <w:pPr>
              <w:rPr>
                <w:rFonts w:ascii="宋体" w:hAnsi="宋体"/>
                <w:color w:val="auto"/>
                <w:szCs w:val="21"/>
              </w:rPr>
            </w:pPr>
            <w:r>
              <w:rPr>
                <w:rFonts w:hint="eastAsia" w:ascii="宋体" w:hAnsi="宋体"/>
                <w:color w:val="auto"/>
                <w:szCs w:val="21"/>
              </w:rPr>
              <w:t xml:space="preserve"> 可以根据责任医生、病情、护理级别、新入、体征异常（数据来源于移动护士工作站系统）条件对病区患者进行过滤显示。</w:t>
            </w:r>
          </w:p>
        </w:tc>
        <w:tc>
          <w:tcPr>
            <w:tcW w:w="776" w:type="dxa"/>
            <w:gridSpan w:val="2"/>
            <w:vMerge w:val="continue"/>
            <w:noWrap/>
            <w:vAlign w:val="center"/>
          </w:tcPr>
          <w:p w14:paraId="0C085224">
            <w:pPr>
              <w:jc w:val="center"/>
              <w:rPr>
                <w:rFonts w:ascii="宋体" w:hAnsi="宋体"/>
                <w:color w:val="auto"/>
                <w:szCs w:val="21"/>
              </w:rPr>
            </w:pPr>
          </w:p>
        </w:tc>
      </w:tr>
      <w:tr w14:paraId="4ABE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10" w:type="dxa"/>
            <w:gridSpan w:val="2"/>
            <w:vMerge w:val="restart"/>
            <w:noWrap/>
            <w:vAlign w:val="center"/>
          </w:tcPr>
          <w:p w14:paraId="0BC53FDA">
            <w:pPr>
              <w:jc w:val="center"/>
              <w:rPr>
                <w:rFonts w:ascii="宋体" w:hAnsi="宋体"/>
                <w:color w:val="auto"/>
                <w:szCs w:val="21"/>
              </w:rPr>
            </w:pPr>
            <w:r>
              <w:rPr>
                <w:rFonts w:hint="eastAsia" w:ascii="宋体" w:hAnsi="宋体"/>
                <w:color w:val="auto"/>
                <w:szCs w:val="21"/>
              </w:rPr>
              <w:t>医嘱模块</w:t>
            </w:r>
          </w:p>
        </w:tc>
        <w:tc>
          <w:tcPr>
            <w:tcW w:w="1600" w:type="dxa"/>
            <w:gridSpan w:val="3"/>
            <w:noWrap/>
            <w:vAlign w:val="center"/>
          </w:tcPr>
          <w:p w14:paraId="4566EEDF">
            <w:pPr>
              <w:jc w:val="center"/>
              <w:rPr>
                <w:rFonts w:ascii="宋体" w:hAnsi="宋体"/>
                <w:color w:val="auto"/>
                <w:szCs w:val="21"/>
              </w:rPr>
            </w:pPr>
            <w:r>
              <w:rPr>
                <w:rFonts w:hint="eastAsia" w:ascii="宋体" w:hAnsi="宋体"/>
                <w:color w:val="auto"/>
                <w:szCs w:val="21"/>
              </w:rPr>
              <w:t>医嘱列表</w:t>
            </w:r>
          </w:p>
        </w:tc>
        <w:tc>
          <w:tcPr>
            <w:tcW w:w="6521" w:type="dxa"/>
            <w:noWrap/>
            <w:vAlign w:val="center"/>
          </w:tcPr>
          <w:p w14:paraId="76D30D95">
            <w:pPr>
              <w:rPr>
                <w:rFonts w:ascii="宋体" w:hAnsi="宋体"/>
                <w:color w:val="auto"/>
                <w:szCs w:val="21"/>
              </w:rPr>
            </w:pPr>
            <w:r>
              <w:rPr>
                <w:rFonts w:hint="eastAsia" w:ascii="宋体" w:hAnsi="宋体"/>
                <w:color w:val="auto"/>
                <w:szCs w:val="21"/>
              </w:rPr>
              <w:t xml:space="preserve"> 根据临床业务和HIS系统定义提供医嘱内容显示：包括长</w:t>
            </w:r>
            <w:r>
              <w:rPr>
                <w:rFonts w:ascii="宋体" w:hAnsi="宋体"/>
                <w:color w:val="auto"/>
                <w:szCs w:val="21"/>
              </w:rPr>
              <w:t>/</w:t>
            </w:r>
            <w:r>
              <w:rPr>
                <w:rFonts w:hint="eastAsia" w:ascii="宋体" w:hAnsi="宋体"/>
                <w:color w:val="auto"/>
                <w:szCs w:val="21"/>
              </w:rPr>
              <w:t>临、医嘱类别、医嘱内容、计量、单位、给药途径、频次、持续时间、单位、开始时间、结束时间、医生嘱托、执行时间等。</w:t>
            </w:r>
          </w:p>
        </w:tc>
        <w:tc>
          <w:tcPr>
            <w:tcW w:w="776" w:type="dxa"/>
            <w:gridSpan w:val="2"/>
            <w:vMerge w:val="continue"/>
            <w:noWrap/>
            <w:vAlign w:val="center"/>
          </w:tcPr>
          <w:p w14:paraId="1D112E02">
            <w:pPr>
              <w:jc w:val="center"/>
              <w:rPr>
                <w:rFonts w:ascii="宋体" w:hAnsi="宋体"/>
                <w:color w:val="auto"/>
                <w:szCs w:val="21"/>
              </w:rPr>
            </w:pPr>
          </w:p>
        </w:tc>
      </w:tr>
      <w:tr w14:paraId="56BF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10" w:type="dxa"/>
            <w:gridSpan w:val="2"/>
            <w:vMerge w:val="continue"/>
            <w:noWrap/>
            <w:vAlign w:val="center"/>
          </w:tcPr>
          <w:p w14:paraId="22F3EF9F">
            <w:pPr>
              <w:jc w:val="left"/>
              <w:rPr>
                <w:rFonts w:ascii="宋体" w:hAnsi="宋体"/>
                <w:color w:val="auto"/>
                <w:szCs w:val="21"/>
              </w:rPr>
            </w:pPr>
          </w:p>
        </w:tc>
        <w:tc>
          <w:tcPr>
            <w:tcW w:w="1600" w:type="dxa"/>
            <w:gridSpan w:val="3"/>
            <w:vMerge w:val="restart"/>
            <w:noWrap/>
            <w:vAlign w:val="center"/>
          </w:tcPr>
          <w:p w14:paraId="1BF0D866">
            <w:pPr>
              <w:jc w:val="center"/>
              <w:rPr>
                <w:rFonts w:ascii="宋体" w:hAnsi="宋体"/>
                <w:color w:val="auto"/>
                <w:szCs w:val="21"/>
              </w:rPr>
            </w:pPr>
            <w:r>
              <w:rPr>
                <w:rFonts w:hint="eastAsia" w:ascii="宋体" w:hAnsi="宋体"/>
                <w:color w:val="auto"/>
                <w:szCs w:val="21"/>
              </w:rPr>
              <w:t>医嘱顺序设置</w:t>
            </w:r>
          </w:p>
        </w:tc>
        <w:tc>
          <w:tcPr>
            <w:tcW w:w="6521" w:type="dxa"/>
            <w:noWrap/>
            <w:vAlign w:val="center"/>
          </w:tcPr>
          <w:p w14:paraId="0A1BD94C">
            <w:pPr>
              <w:rPr>
                <w:rFonts w:ascii="宋体" w:hAnsi="宋体"/>
                <w:color w:val="auto"/>
                <w:szCs w:val="21"/>
              </w:rPr>
            </w:pPr>
            <w:r>
              <w:rPr>
                <w:rFonts w:hint="eastAsia" w:ascii="宋体" w:hAnsi="宋体"/>
                <w:color w:val="auto"/>
                <w:szCs w:val="21"/>
              </w:rPr>
              <w:t>可对临时医嘱的执行顺序进行自定义排序。</w:t>
            </w:r>
          </w:p>
        </w:tc>
        <w:tc>
          <w:tcPr>
            <w:tcW w:w="776" w:type="dxa"/>
            <w:gridSpan w:val="2"/>
            <w:vMerge w:val="continue"/>
            <w:noWrap/>
            <w:vAlign w:val="center"/>
          </w:tcPr>
          <w:p w14:paraId="4BF7C7B8">
            <w:pPr>
              <w:jc w:val="center"/>
              <w:rPr>
                <w:rFonts w:ascii="宋体" w:hAnsi="宋体"/>
                <w:color w:val="auto"/>
                <w:szCs w:val="21"/>
              </w:rPr>
            </w:pPr>
          </w:p>
        </w:tc>
      </w:tr>
      <w:tr w14:paraId="465F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10" w:type="dxa"/>
            <w:gridSpan w:val="2"/>
            <w:vMerge w:val="continue"/>
            <w:noWrap/>
            <w:vAlign w:val="center"/>
          </w:tcPr>
          <w:p w14:paraId="0F1D3BC7">
            <w:pPr>
              <w:jc w:val="left"/>
              <w:rPr>
                <w:rFonts w:ascii="宋体" w:hAnsi="宋体"/>
                <w:color w:val="auto"/>
                <w:szCs w:val="21"/>
              </w:rPr>
            </w:pPr>
          </w:p>
        </w:tc>
        <w:tc>
          <w:tcPr>
            <w:tcW w:w="1600" w:type="dxa"/>
            <w:gridSpan w:val="3"/>
            <w:vMerge w:val="continue"/>
            <w:noWrap/>
            <w:vAlign w:val="center"/>
          </w:tcPr>
          <w:p w14:paraId="29BF75FD">
            <w:pPr>
              <w:jc w:val="left"/>
              <w:rPr>
                <w:rFonts w:ascii="宋体" w:hAnsi="宋体"/>
                <w:color w:val="auto"/>
                <w:szCs w:val="21"/>
              </w:rPr>
            </w:pPr>
          </w:p>
        </w:tc>
        <w:tc>
          <w:tcPr>
            <w:tcW w:w="6521" w:type="dxa"/>
            <w:noWrap/>
            <w:vAlign w:val="center"/>
          </w:tcPr>
          <w:p w14:paraId="458EF741">
            <w:pPr>
              <w:rPr>
                <w:rFonts w:ascii="宋体" w:hAnsi="宋体"/>
                <w:color w:val="auto"/>
                <w:szCs w:val="21"/>
              </w:rPr>
            </w:pPr>
            <w:r>
              <w:rPr>
                <w:rFonts w:hint="eastAsia" w:ascii="宋体" w:hAnsi="宋体"/>
                <w:color w:val="auto"/>
                <w:szCs w:val="21"/>
              </w:rPr>
              <w:t>可备注输液医嘱、康复医嘱的具体执行时间，护士、治疗师客户端上可查看时间安排。</w:t>
            </w:r>
          </w:p>
        </w:tc>
        <w:tc>
          <w:tcPr>
            <w:tcW w:w="776" w:type="dxa"/>
            <w:gridSpan w:val="2"/>
            <w:vMerge w:val="continue"/>
            <w:noWrap/>
            <w:vAlign w:val="center"/>
          </w:tcPr>
          <w:p w14:paraId="3708BAF0">
            <w:pPr>
              <w:jc w:val="center"/>
              <w:rPr>
                <w:rFonts w:ascii="宋体" w:hAnsi="宋体"/>
                <w:color w:val="auto"/>
                <w:szCs w:val="21"/>
              </w:rPr>
            </w:pPr>
          </w:p>
        </w:tc>
      </w:tr>
      <w:tr w14:paraId="3850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0" w:type="dxa"/>
            <w:gridSpan w:val="2"/>
            <w:vMerge w:val="continue"/>
            <w:noWrap/>
            <w:vAlign w:val="center"/>
          </w:tcPr>
          <w:p w14:paraId="4E30B15B">
            <w:pPr>
              <w:jc w:val="left"/>
              <w:rPr>
                <w:rFonts w:ascii="宋体" w:hAnsi="宋体"/>
                <w:color w:val="auto"/>
                <w:szCs w:val="21"/>
              </w:rPr>
            </w:pPr>
          </w:p>
        </w:tc>
        <w:tc>
          <w:tcPr>
            <w:tcW w:w="1600" w:type="dxa"/>
            <w:gridSpan w:val="3"/>
            <w:vMerge w:val="restart"/>
            <w:noWrap/>
            <w:vAlign w:val="center"/>
          </w:tcPr>
          <w:p w14:paraId="61CB061B">
            <w:pPr>
              <w:jc w:val="center"/>
              <w:rPr>
                <w:rFonts w:ascii="宋体" w:hAnsi="宋体"/>
                <w:color w:val="auto"/>
                <w:szCs w:val="21"/>
              </w:rPr>
            </w:pPr>
            <w:r>
              <w:rPr>
                <w:rFonts w:hint="eastAsia" w:ascii="宋体" w:hAnsi="宋体"/>
                <w:color w:val="auto"/>
                <w:szCs w:val="21"/>
              </w:rPr>
              <w:t>医嘱过滤查询</w:t>
            </w:r>
          </w:p>
        </w:tc>
        <w:tc>
          <w:tcPr>
            <w:tcW w:w="6521" w:type="dxa"/>
            <w:noWrap/>
            <w:vAlign w:val="center"/>
          </w:tcPr>
          <w:p w14:paraId="682C9D7C">
            <w:pPr>
              <w:rPr>
                <w:rFonts w:ascii="宋体" w:hAnsi="宋体"/>
                <w:color w:val="auto"/>
                <w:szCs w:val="21"/>
              </w:rPr>
            </w:pPr>
            <w:r>
              <w:rPr>
                <w:rFonts w:hint="eastAsia" w:ascii="宋体" w:hAnsi="宋体"/>
                <w:color w:val="auto"/>
                <w:szCs w:val="21"/>
              </w:rPr>
              <w:t xml:space="preserve"> 可提供根据医嘱长期、临时条件的筛选医嘱信息。</w:t>
            </w:r>
          </w:p>
        </w:tc>
        <w:tc>
          <w:tcPr>
            <w:tcW w:w="776" w:type="dxa"/>
            <w:gridSpan w:val="2"/>
            <w:vMerge w:val="continue"/>
            <w:noWrap/>
            <w:vAlign w:val="center"/>
          </w:tcPr>
          <w:p w14:paraId="21EE6CB8">
            <w:pPr>
              <w:jc w:val="center"/>
              <w:rPr>
                <w:rFonts w:ascii="宋体" w:hAnsi="宋体"/>
                <w:color w:val="auto"/>
                <w:szCs w:val="21"/>
              </w:rPr>
            </w:pPr>
          </w:p>
        </w:tc>
      </w:tr>
      <w:tr w14:paraId="620F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0" w:type="dxa"/>
            <w:gridSpan w:val="2"/>
            <w:vMerge w:val="continue"/>
            <w:noWrap/>
            <w:vAlign w:val="center"/>
          </w:tcPr>
          <w:p w14:paraId="256BDFC9">
            <w:pPr>
              <w:jc w:val="left"/>
              <w:rPr>
                <w:rFonts w:ascii="宋体" w:hAnsi="宋体"/>
                <w:color w:val="auto"/>
                <w:szCs w:val="21"/>
              </w:rPr>
            </w:pPr>
          </w:p>
        </w:tc>
        <w:tc>
          <w:tcPr>
            <w:tcW w:w="1600" w:type="dxa"/>
            <w:gridSpan w:val="3"/>
            <w:vMerge w:val="continue"/>
            <w:noWrap/>
            <w:vAlign w:val="center"/>
          </w:tcPr>
          <w:p w14:paraId="25785018">
            <w:pPr>
              <w:jc w:val="center"/>
              <w:rPr>
                <w:rFonts w:ascii="宋体" w:hAnsi="宋体"/>
                <w:color w:val="auto"/>
                <w:szCs w:val="21"/>
              </w:rPr>
            </w:pPr>
          </w:p>
        </w:tc>
        <w:tc>
          <w:tcPr>
            <w:tcW w:w="6521" w:type="dxa"/>
            <w:noWrap/>
            <w:vAlign w:val="center"/>
          </w:tcPr>
          <w:p w14:paraId="667E96C1">
            <w:pPr>
              <w:rPr>
                <w:rFonts w:ascii="宋体" w:hAnsi="宋体"/>
                <w:color w:val="auto"/>
                <w:szCs w:val="21"/>
              </w:rPr>
            </w:pPr>
            <w:r>
              <w:rPr>
                <w:rFonts w:hint="eastAsia" w:ascii="宋体" w:hAnsi="宋体"/>
                <w:color w:val="auto"/>
                <w:szCs w:val="21"/>
              </w:rPr>
              <w:t xml:space="preserve"> 可提供根据医嘱状态（新开、执行、停止、作废等）显示医嘱信息。</w:t>
            </w:r>
          </w:p>
        </w:tc>
        <w:tc>
          <w:tcPr>
            <w:tcW w:w="776" w:type="dxa"/>
            <w:gridSpan w:val="2"/>
            <w:vMerge w:val="continue"/>
            <w:noWrap/>
            <w:vAlign w:val="center"/>
          </w:tcPr>
          <w:p w14:paraId="48D2CD14">
            <w:pPr>
              <w:jc w:val="center"/>
              <w:rPr>
                <w:rFonts w:ascii="宋体" w:hAnsi="宋体"/>
                <w:color w:val="auto"/>
                <w:szCs w:val="21"/>
              </w:rPr>
            </w:pPr>
          </w:p>
        </w:tc>
      </w:tr>
      <w:tr w14:paraId="6553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2F3E0CC9">
            <w:pPr>
              <w:jc w:val="left"/>
              <w:rPr>
                <w:rFonts w:ascii="宋体" w:hAnsi="宋体"/>
                <w:color w:val="auto"/>
                <w:szCs w:val="21"/>
              </w:rPr>
            </w:pPr>
          </w:p>
        </w:tc>
        <w:tc>
          <w:tcPr>
            <w:tcW w:w="1600" w:type="dxa"/>
            <w:gridSpan w:val="3"/>
            <w:vMerge w:val="continue"/>
            <w:noWrap/>
            <w:vAlign w:val="center"/>
          </w:tcPr>
          <w:p w14:paraId="2B353341">
            <w:pPr>
              <w:jc w:val="center"/>
              <w:rPr>
                <w:rFonts w:ascii="宋体" w:hAnsi="宋体"/>
                <w:color w:val="auto"/>
                <w:szCs w:val="21"/>
              </w:rPr>
            </w:pPr>
          </w:p>
        </w:tc>
        <w:tc>
          <w:tcPr>
            <w:tcW w:w="6521" w:type="dxa"/>
            <w:noWrap/>
            <w:vAlign w:val="center"/>
          </w:tcPr>
          <w:p w14:paraId="35FD4491">
            <w:pPr>
              <w:rPr>
                <w:rFonts w:ascii="宋体" w:hAnsi="宋体"/>
                <w:color w:val="auto"/>
                <w:szCs w:val="21"/>
              </w:rPr>
            </w:pPr>
            <w:r>
              <w:rPr>
                <w:rFonts w:hint="eastAsia" w:ascii="宋体" w:hAnsi="宋体"/>
                <w:color w:val="auto"/>
                <w:szCs w:val="21"/>
              </w:rPr>
              <w:t xml:space="preserve"> 可提供根据医嘱类型（药物相关、检验检查、手术相关、治疗、其他）显示医嘱信息。</w:t>
            </w:r>
          </w:p>
        </w:tc>
        <w:tc>
          <w:tcPr>
            <w:tcW w:w="776" w:type="dxa"/>
            <w:gridSpan w:val="2"/>
            <w:vMerge w:val="continue"/>
            <w:noWrap/>
            <w:vAlign w:val="center"/>
          </w:tcPr>
          <w:p w14:paraId="228856D3">
            <w:pPr>
              <w:jc w:val="center"/>
              <w:rPr>
                <w:rFonts w:ascii="宋体" w:hAnsi="宋体"/>
                <w:color w:val="auto"/>
                <w:szCs w:val="21"/>
              </w:rPr>
            </w:pPr>
          </w:p>
        </w:tc>
      </w:tr>
      <w:tr w14:paraId="7E2B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741EC626">
            <w:pPr>
              <w:jc w:val="left"/>
              <w:rPr>
                <w:rFonts w:ascii="宋体" w:hAnsi="宋体"/>
                <w:color w:val="auto"/>
                <w:szCs w:val="21"/>
              </w:rPr>
            </w:pPr>
          </w:p>
        </w:tc>
        <w:tc>
          <w:tcPr>
            <w:tcW w:w="1600" w:type="dxa"/>
            <w:gridSpan w:val="3"/>
            <w:vMerge w:val="continue"/>
            <w:noWrap/>
            <w:vAlign w:val="center"/>
          </w:tcPr>
          <w:p w14:paraId="555E909C">
            <w:pPr>
              <w:jc w:val="center"/>
              <w:rPr>
                <w:rFonts w:ascii="宋体" w:hAnsi="宋体"/>
                <w:color w:val="auto"/>
                <w:szCs w:val="21"/>
              </w:rPr>
            </w:pPr>
          </w:p>
        </w:tc>
        <w:tc>
          <w:tcPr>
            <w:tcW w:w="6521" w:type="dxa"/>
            <w:noWrap/>
            <w:vAlign w:val="center"/>
          </w:tcPr>
          <w:p w14:paraId="62728D9F">
            <w:pPr>
              <w:rPr>
                <w:rFonts w:ascii="宋体" w:hAnsi="宋体"/>
                <w:color w:val="auto"/>
                <w:szCs w:val="21"/>
              </w:rPr>
            </w:pPr>
            <w:r>
              <w:rPr>
                <w:rFonts w:hint="eastAsia" w:ascii="宋体" w:hAnsi="宋体"/>
                <w:color w:val="auto"/>
                <w:szCs w:val="21"/>
              </w:rPr>
              <w:t>点击某一条医嘱单可进入查看医嘱详情、医嘱类型、开立医生和时间、医嘱内容：医嘱类型、具体内容、剂量、频次等。</w:t>
            </w:r>
          </w:p>
        </w:tc>
        <w:tc>
          <w:tcPr>
            <w:tcW w:w="776" w:type="dxa"/>
            <w:gridSpan w:val="2"/>
            <w:vMerge w:val="continue"/>
            <w:noWrap/>
            <w:vAlign w:val="center"/>
          </w:tcPr>
          <w:p w14:paraId="60B659C5">
            <w:pPr>
              <w:jc w:val="center"/>
              <w:rPr>
                <w:rFonts w:ascii="宋体" w:hAnsi="宋体"/>
                <w:color w:val="auto"/>
                <w:szCs w:val="21"/>
              </w:rPr>
            </w:pPr>
          </w:p>
        </w:tc>
      </w:tr>
      <w:tr w14:paraId="1307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23E01F55">
            <w:pPr>
              <w:jc w:val="left"/>
              <w:rPr>
                <w:rFonts w:ascii="宋体" w:hAnsi="宋体"/>
                <w:color w:val="auto"/>
                <w:szCs w:val="21"/>
              </w:rPr>
            </w:pPr>
          </w:p>
        </w:tc>
        <w:tc>
          <w:tcPr>
            <w:tcW w:w="1600" w:type="dxa"/>
            <w:gridSpan w:val="3"/>
            <w:vMerge w:val="restart"/>
            <w:noWrap/>
            <w:vAlign w:val="center"/>
          </w:tcPr>
          <w:p w14:paraId="7D96F022">
            <w:pPr>
              <w:jc w:val="center"/>
              <w:rPr>
                <w:rFonts w:ascii="宋体" w:hAnsi="宋体"/>
                <w:color w:val="auto"/>
                <w:szCs w:val="21"/>
              </w:rPr>
            </w:pPr>
            <w:r>
              <w:rPr>
                <w:rFonts w:hint="eastAsia" w:ascii="宋体" w:hAnsi="宋体"/>
                <w:color w:val="auto"/>
                <w:szCs w:val="21"/>
              </w:rPr>
              <w:t>医嘱</w:t>
            </w:r>
            <w:r>
              <w:rPr>
                <w:rFonts w:ascii="宋体" w:hAnsi="宋体"/>
                <w:color w:val="auto"/>
                <w:szCs w:val="21"/>
              </w:rPr>
              <w:t>开具及处理</w:t>
            </w:r>
          </w:p>
        </w:tc>
        <w:tc>
          <w:tcPr>
            <w:tcW w:w="6521" w:type="dxa"/>
            <w:noWrap/>
            <w:vAlign w:val="center"/>
          </w:tcPr>
          <w:p w14:paraId="53C0B295">
            <w:pPr>
              <w:rPr>
                <w:rFonts w:ascii="宋体" w:hAnsi="宋体"/>
                <w:color w:val="auto"/>
                <w:szCs w:val="21"/>
              </w:rPr>
            </w:pPr>
            <w:r>
              <w:rPr>
                <w:rFonts w:hint="eastAsia" w:ascii="宋体" w:hAnsi="宋体"/>
                <w:color w:val="auto"/>
                <w:szCs w:val="21"/>
              </w:rPr>
              <w:t>可</w:t>
            </w:r>
            <w:r>
              <w:rPr>
                <w:rFonts w:ascii="宋体" w:hAnsi="宋体"/>
                <w:color w:val="auto"/>
                <w:szCs w:val="21"/>
              </w:rPr>
              <w:t>在</w:t>
            </w:r>
            <w:r>
              <w:rPr>
                <w:rFonts w:hint="eastAsia" w:ascii="宋体" w:hAnsi="宋体"/>
                <w:color w:val="auto"/>
                <w:szCs w:val="21"/>
              </w:rPr>
              <w:t>PDA终端</w:t>
            </w:r>
            <w:r>
              <w:rPr>
                <w:rFonts w:ascii="宋体" w:hAnsi="宋体"/>
                <w:color w:val="auto"/>
                <w:szCs w:val="21"/>
              </w:rPr>
              <w:t>开具医嘱</w:t>
            </w:r>
            <w:r>
              <w:rPr>
                <w:rFonts w:hint="eastAsia" w:ascii="宋体" w:hAnsi="宋体"/>
                <w:color w:val="auto"/>
                <w:szCs w:val="21"/>
              </w:rPr>
              <w:t>，可以与临床业务系统对接，实现移动端检查、检验申请单录入耗材功能。</w:t>
            </w:r>
          </w:p>
        </w:tc>
        <w:tc>
          <w:tcPr>
            <w:tcW w:w="776" w:type="dxa"/>
            <w:gridSpan w:val="2"/>
            <w:vMerge w:val="continue"/>
            <w:noWrap/>
            <w:vAlign w:val="center"/>
          </w:tcPr>
          <w:p w14:paraId="746E7F5C">
            <w:pPr>
              <w:jc w:val="center"/>
              <w:rPr>
                <w:rFonts w:ascii="宋体" w:hAnsi="宋体"/>
                <w:color w:val="auto"/>
                <w:szCs w:val="21"/>
              </w:rPr>
            </w:pPr>
          </w:p>
        </w:tc>
      </w:tr>
      <w:tr w14:paraId="24F3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53F0ED0E">
            <w:pPr>
              <w:jc w:val="left"/>
              <w:rPr>
                <w:rFonts w:ascii="宋体" w:hAnsi="宋体"/>
                <w:color w:val="auto"/>
                <w:szCs w:val="21"/>
              </w:rPr>
            </w:pPr>
          </w:p>
        </w:tc>
        <w:tc>
          <w:tcPr>
            <w:tcW w:w="1600" w:type="dxa"/>
            <w:gridSpan w:val="3"/>
            <w:vMerge w:val="continue"/>
            <w:noWrap/>
            <w:vAlign w:val="center"/>
          </w:tcPr>
          <w:p w14:paraId="482B672F">
            <w:pPr>
              <w:jc w:val="center"/>
              <w:rPr>
                <w:rFonts w:ascii="宋体" w:hAnsi="宋体"/>
                <w:color w:val="auto"/>
                <w:szCs w:val="21"/>
              </w:rPr>
            </w:pPr>
          </w:p>
        </w:tc>
        <w:tc>
          <w:tcPr>
            <w:tcW w:w="6521" w:type="dxa"/>
            <w:noWrap/>
            <w:vAlign w:val="center"/>
          </w:tcPr>
          <w:p w14:paraId="60F41730">
            <w:pPr>
              <w:rPr>
                <w:rFonts w:ascii="宋体" w:hAnsi="宋体"/>
                <w:color w:val="auto"/>
                <w:szCs w:val="21"/>
              </w:rPr>
            </w:pPr>
            <w:r>
              <w:rPr>
                <w:rFonts w:hint="eastAsia" w:ascii="宋体" w:hAnsi="宋体"/>
                <w:color w:val="auto"/>
                <w:szCs w:val="21"/>
              </w:rPr>
              <w:t>对于紧急医嘱可</w:t>
            </w:r>
            <w:r>
              <w:rPr>
                <w:rFonts w:ascii="宋体" w:hAnsi="宋体"/>
                <w:color w:val="auto"/>
                <w:szCs w:val="21"/>
              </w:rPr>
              <w:t>供</w:t>
            </w:r>
            <w:r>
              <w:rPr>
                <w:rFonts w:hint="eastAsia" w:ascii="宋体" w:hAnsi="宋体"/>
                <w:color w:val="auto"/>
                <w:szCs w:val="21"/>
              </w:rPr>
              <w:t>勾选紧急标记，并自动通过弹框、信息等方式及时提醒护士端。</w:t>
            </w:r>
          </w:p>
        </w:tc>
        <w:tc>
          <w:tcPr>
            <w:tcW w:w="776" w:type="dxa"/>
            <w:gridSpan w:val="2"/>
            <w:vMerge w:val="continue"/>
            <w:noWrap/>
            <w:vAlign w:val="center"/>
          </w:tcPr>
          <w:p w14:paraId="4BE6B234">
            <w:pPr>
              <w:jc w:val="center"/>
              <w:rPr>
                <w:rFonts w:ascii="宋体" w:hAnsi="宋体"/>
                <w:color w:val="auto"/>
                <w:szCs w:val="21"/>
              </w:rPr>
            </w:pPr>
          </w:p>
        </w:tc>
      </w:tr>
      <w:tr w14:paraId="7422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restart"/>
            <w:noWrap/>
            <w:vAlign w:val="center"/>
          </w:tcPr>
          <w:p w14:paraId="1351ED41">
            <w:pPr>
              <w:rPr>
                <w:rFonts w:ascii="宋体" w:hAnsi="宋体"/>
                <w:color w:val="auto"/>
                <w:szCs w:val="21"/>
              </w:rPr>
            </w:pPr>
            <w:r>
              <w:rPr>
                <w:rFonts w:hint="eastAsia" w:ascii="宋体" w:hAnsi="宋体"/>
                <w:color w:val="auto"/>
                <w:szCs w:val="21"/>
              </w:rPr>
              <w:t>检验、</w:t>
            </w:r>
            <w:r>
              <w:rPr>
                <w:rFonts w:ascii="宋体" w:hAnsi="宋体"/>
                <w:color w:val="auto"/>
                <w:szCs w:val="21"/>
              </w:rPr>
              <w:t>检查</w:t>
            </w:r>
            <w:r>
              <w:rPr>
                <w:rFonts w:hint="eastAsia" w:ascii="宋体" w:hAnsi="宋体"/>
                <w:color w:val="auto"/>
                <w:szCs w:val="21"/>
              </w:rPr>
              <w:t>报告</w:t>
            </w:r>
          </w:p>
        </w:tc>
        <w:tc>
          <w:tcPr>
            <w:tcW w:w="1600" w:type="dxa"/>
            <w:gridSpan w:val="3"/>
            <w:noWrap/>
            <w:vAlign w:val="center"/>
          </w:tcPr>
          <w:p w14:paraId="387AE0D4">
            <w:pPr>
              <w:jc w:val="center"/>
              <w:rPr>
                <w:rFonts w:ascii="宋体" w:hAnsi="宋体"/>
                <w:color w:val="auto"/>
                <w:szCs w:val="21"/>
              </w:rPr>
            </w:pPr>
            <w:r>
              <w:rPr>
                <w:rFonts w:hint="eastAsia" w:ascii="宋体" w:hAnsi="宋体"/>
                <w:color w:val="auto"/>
                <w:szCs w:val="21"/>
              </w:rPr>
              <w:t>检验列表显示</w:t>
            </w:r>
          </w:p>
        </w:tc>
        <w:tc>
          <w:tcPr>
            <w:tcW w:w="6521" w:type="dxa"/>
            <w:noWrap/>
            <w:vAlign w:val="center"/>
          </w:tcPr>
          <w:p w14:paraId="19192419">
            <w:pPr>
              <w:rPr>
                <w:rFonts w:ascii="宋体" w:hAnsi="宋体"/>
                <w:color w:val="auto"/>
                <w:szCs w:val="21"/>
              </w:rPr>
            </w:pPr>
            <w:r>
              <w:rPr>
                <w:rFonts w:hint="eastAsia" w:ascii="宋体" w:hAnsi="宋体"/>
                <w:color w:val="auto"/>
                <w:szCs w:val="21"/>
              </w:rPr>
              <w:t xml:space="preserve"> 检验列表显示分为列表和明细两部分，显示内容满足实现目标，之外列表显示将按日期从近至远分组显示 。</w:t>
            </w:r>
          </w:p>
        </w:tc>
        <w:tc>
          <w:tcPr>
            <w:tcW w:w="776" w:type="dxa"/>
            <w:gridSpan w:val="2"/>
            <w:vMerge w:val="continue"/>
            <w:noWrap/>
            <w:vAlign w:val="center"/>
          </w:tcPr>
          <w:p w14:paraId="0EAC5C98">
            <w:pPr>
              <w:jc w:val="center"/>
              <w:rPr>
                <w:rFonts w:ascii="宋体" w:hAnsi="宋体"/>
                <w:color w:val="auto"/>
                <w:szCs w:val="21"/>
              </w:rPr>
            </w:pPr>
          </w:p>
        </w:tc>
      </w:tr>
      <w:tr w14:paraId="364C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6649C63D">
            <w:pPr>
              <w:jc w:val="left"/>
              <w:rPr>
                <w:rFonts w:ascii="宋体" w:hAnsi="宋体"/>
                <w:color w:val="auto"/>
                <w:szCs w:val="21"/>
              </w:rPr>
            </w:pPr>
          </w:p>
        </w:tc>
        <w:tc>
          <w:tcPr>
            <w:tcW w:w="1600" w:type="dxa"/>
            <w:gridSpan w:val="3"/>
            <w:noWrap/>
            <w:vAlign w:val="center"/>
          </w:tcPr>
          <w:p w14:paraId="52294B72">
            <w:pPr>
              <w:jc w:val="center"/>
              <w:rPr>
                <w:rFonts w:ascii="宋体" w:hAnsi="宋体"/>
                <w:color w:val="auto"/>
                <w:szCs w:val="21"/>
              </w:rPr>
            </w:pPr>
            <w:r>
              <w:rPr>
                <w:rFonts w:hint="eastAsia" w:ascii="宋体" w:hAnsi="宋体"/>
                <w:color w:val="auto"/>
                <w:szCs w:val="21"/>
              </w:rPr>
              <w:t>检验结果明细显示</w:t>
            </w:r>
          </w:p>
        </w:tc>
        <w:tc>
          <w:tcPr>
            <w:tcW w:w="6521" w:type="dxa"/>
            <w:noWrap/>
            <w:vAlign w:val="center"/>
          </w:tcPr>
          <w:p w14:paraId="25B09F9C">
            <w:pPr>
              <w:rPr>
                <w:rFonts w:ascii="宋体" w:hAnsi="宋体"/>
                <w:color w:val="auto"/>
                <w:szCs w:val="21"/>
              </w:rPr>
            </w:pPr>
            <w:r>
              <w:rPr>
                <w:rFonts w:hint="eastAsia" w:ascii="宋体" w:hAnsi="宋体"/>
                <w:color w:val="auto"/>
                <w:szCs w:val="21"/>
              </w:rPr>
              <w:t xml:space="preserve"> 根据临床业务提供检验结果明细显示：包括检验报告项目名称、检验结果、单位、是否异常、报告日期、申请日期、检验标本、正常值范围等。</w:t>
            </w:r>
          </w:p>
        </w:tc>
        <w:tc>
          <w:tcPr>
            <w:tcW w:w="776" w:type="dxa"/>
            <w:gridSpan w:val="2"/>
            <w:vMerge w:val="continue"/>
            <w:noWrap/>
            <w:vAlign w:val="center"/>
          </w:tcPr>
          <w:p w14:paraId="44F97473">
            <w:pPr>
              <w:jc w:val="center"/>
              <w:rPr>
                <w:rFonts w:ascii="宋体" w:hAnsi="宋体"/>
                <w:color w:val="auto"/>
                <w:szCs w:val="21"/>
              </w:rPr>
            </w:pPr>
          </w:p>
        </w:tc>
      </w:tr>
      <w:tr w14:paraId="036F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37C9EC41">
            <w:pPr>
              <w:jc w:val="left"/>
              <w:rPr>
                <w:rFonts w:ascii="宋体" w:hAnsi="宋体"/>
                <w:color w:val="auto"/>
                <w:szCs w:val="21"/>
              </w:rPr>
            </w:pPr>
          </w:p>
        </w:tc>
        <w:tc>
          <w:tcPr>
            <w:tcW w:w="1600" w:type="dxa"/>
            <w:gridSpan w:val="3"/>
            <w:noWrap/>
            <w:vAlign w:val="center"/>
          </w:tcPr>
          <w:p w14:paraId="072976D2">
            <w:pPr>
              <w:jc w:val="center"/>
              <w:rPr>
                <w:rFonts w:ascii="宋体" w:hAnsi="宋体"/>
                <w:color w:val="auto"/>
                <w:szCs w:val="21"/>
              </w:rPr>
            </w:pPr>
            <w:r>
              <w:rPr>
                <w:rFonts w:hint="eastAsia" w:ascii="宋体" w:hAnsi="宋体"/>
                <w:color w:val="auto"/>
                <w:szCs w:val="21"/>
              </w:rPr>
              <w:t>检验结果异常显示</w:t>
            </w:r>
          </w:p>
        </w:tc>
        <w:tc>
          <w:tcPr>
            <w:tcW w:w="6521" w:type="dxa"/>
            <w:noWrap/>
            <w:vAlign w:val="center"/>
          </w:tcPr>
          <w:p w14:paraId="7F5AEAF1">
            <w:pPr>
              <w:rPr>
                <w:rFonts w:ascii="宋体" w:hAnsi="宋体"/>
                <w:color w:val="auto"/>
                <w:szCs w:val="21"/>
              </w:rPr>
            </w:pPr>
            <w:r>
              <w:rPr>
                <w:rFonts w:hint="eastAsia" w:ascii="宋体" w:hAnsi="宋体"/>
                <w:color w:val="auto"/>
                <w:szCs w:val="21"/>
              </w:rPr>
              <w:t xml:space="preserve"> 针对检验结果不在正常值范围内的检验项目以高亮提示。</w:t>
            </w:r>
          </w:p>
        </w:tc>
        <w:tc>
          <w:tcPr>
            <w:tcW w:w="776" w:type="dxa"/>
            <w:gridSpan w:val="2"/>
            <w:vMerge w:val="continue"/>
            <w:noWrap/>
            <w:vAlign w:val="center"/>
          </w:tcPr>
          <w:p w14:paraId="6A379F7E">
            <w:pPr>
              <w:jc w:val="center"/>
              <w:rPr>
                <w:rFonts w:ascii="宋体" w:hAnsi="宋体"/>
                <w:color w:val="auto"/>
                <w:szCs w:val="21"/>
              </w:rPr>
            </w:pPr>
          </w:p>
        </w:tc>
      </w:tr>
      <w:tr w14:paraId="2F5D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10" w:type="dxa"/>
            <w:gridSpan w:val="2"/>
            <w:vMerge w:val="continue"/>
            <w:noWrap/>
            <w:vAlign w:val="center"/>
          </w:tcPr>
          <w:p w14:paraId="716ACA44">
            <w:pPr>
              <w:jc w:val="left"/>
              <w:rPr>
                <w:rFonts w:ascii="宋体" w:hAnsi="宋体"/>
                <w:color w:val="auto"/>
                <w:szCs w:val="21"/>
              </w:rPr>
            </w:pPr>
          </w:p>
        </w:tc>
        <w:tc>
          <w:tcPr>
            <w:tcW w:w="1600" w:type="dxa"/>
            <w:gridSpan w:val="3"/>
            <w:noWrap/>
            <w:vAlign w:val="center"/>
          </w:tcPr>
          <w:p w14:paraId="116F3082">
            <w:pPr>
              <w:jc w:val="center"/>
              <w:rPr>
                <w:rFonts w:ascii="宋体" w:hAnsi="宋体"/>
                <w:color w:val="auto"/>
                <w:szCs w:val="21"/>
              </w:rPr>
            </w:pPr>
            <w:r>
              <w:rPr>
                <w:rFonts w:hint="eastAsia" w:ascii="宋体" w:hAnsi="宋体"/>
                <w:color w:val="auto"/>
                <w:szCs w:val="21"/>
              </w:rPr>
              <w:t>检验报告历史对比</w:t>
            </w:r>
          </w:p>
        </w:tc>
        <w:tc>
          <w:tcPr>
            <w:tcW w:w="6521" w:type="dxa"/>
            <w:noWrap/>
            <w:vAlign w:val="center"/>
          </w:tcPr>
          <w:p w14:paraId="0BD4C5D5">
            <w:pPr>
              <w:rPr>
                <w:rFonts w:ascii="宋体" w:hAnsi="宋体"/>
                <w:color w:val="auto"/>
                <w:szCs w:val="21"/>
              </w:rPr>
            </w:pPr>
            <w:r>
              <w:rPr>
                <w:rFonts w:hint="eastAsia" w:ascii="宋体" w:hAnsi="宋体"/>
                <w:color w:val="auto"/>
                <w:szCs w:val="21"/>
              </w:rPr>
              <w:t xml:space="preserve"> 通过指定检验报告进行报表分析，可以将患者历史相同检验报告归档并比对，从报告中选择多个指定的项目，若该项目为数值则可以绘制出该项目值的曲线图，若该项目为非数值则生成对比表格。</w:t>
            </w:r>
          </w:p>
        </w:tc>
        <w:tc>
          <w:tcPr>
            <w:tcW w:w="776" w:type="dxa"/>
            <w:gridSpan w:val="2"/>
            <w:vMerge w:val="continue"/>
            <w:noWrap/>
            <w:vAlign w:val="center"/>
          </w:tcPr>
          <w:p w14:paraId="7FB900CF">
            <w:pPr>
              <w:jc w:val="center"/>
              <w:rPr>
                <w:rFonts w:ascii="宋体" w:hAnsi="宋体"/>
                <w:color w:val="auto"/>
                <w:szCs w:val="21"/>
              </w:rPr>
            </w:pPr>
          </w:p>
        </w:tc>
      </w:tr>
      <w:tr w14:paraId="1439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009CBBF2">
            <w:pPr>
              <w:jc w:val="left"/>
              <w:rPr>
                <w:rFonts w:ascii="宋体" w:hAnsi="宋体"/>
                <w:color w:val="auto"/>
                <w:szCs w:val="21"/>
              </w:rPr>
            </w:pPr>
          </w:p>
        </w:tc>
        <w:tc>
          <w:tcPr>
            <w:tcW w:w="1600" w:type="dxa"/>
            <w:gridSpan w:val="3"/>
            <w:noWrap/>
            <w:vAlign w:val="center"/>
          </w:tcPr>
          <w:p w14:paraId="52CBAE2C">
            <w:pPr>
              <w:jc w:val="center"/>
              <w:rPr>
                <w:rFonts w:ascii="宋体" w:hAnsi="宋体"/>
                <w:color w:val="auto"/>
                <w:szCs w:val="21"/>
              </w:rPr>
            </w:pPr>
            <w:r>
              <w:rPr>
                <w:rFonts w:hint="eastAsia" w:ascii="宋体" w:hAnsi="宋体"/>
                <w:color w:val="auto"/>
                <w:szCs w:val="21"/>
              </w:rPr>
              <w:t>检查单信息</w:t>
            </w:r>
          </w:p>
        </w:tc>
        <w:tc>
          <w:tcPr>
            <w:tcW w:w="6521" w:type="dxa"/>
            <w:noWrap/>
            <w:vAlign w:val="center"/>
          </w:tcPr>
          <w:p w14:paraId="4A211CCD">
            <w:pPr>
              <w:rPr>
                <w:rFonts w:ascii="宋体" w:hAnsi="宋体"/>
                <w:color w:val="auto"/>
                <w:szCs w:val="21"/>
              </w:rPr>
            </w:pPr>
            <w:r>
              <w:rPr>
                <w:rFonts w:hint="eastAsia" w:ascii="宋体" w:hAnsi="宋体"/>
                <w:color w:val="auto"/>
                <w:szCs w:val="21"/>
              </w:rPr>
              <w:t xml:space="preserve"> 根据临床业务提供检查列表显示：包括检查类别、检查号、检查位置、开单医生、检查日期、检查单状态等。</w:t>
            </w:r>
          </w:p>
        </w:tc>
        <w:tc>
          <w:tcPr>
            <w:tcW w:w="776" w:type="dxa"/>
            <w:gridSpan w:val="2"/>
            <w:vMerge w:val="continue"/>
            <w:noWrap/>
            <w:vAlign w:val="center"/>
          </w:tcPr>
          <w:p w14:paraId="3DE327E8">
            <w:pPr>
              <w:jc w:val="center"/>
              <w:rPr>
                <w:rFonts w:ascii="宋体" w:hAnsi="宋体"/>
                <w:color w:val="auto"/>
                <w:szCs w:val="21"/>
              </w:rPr>
            </w:pPr>
          </w:p>
        </w:tc>
      </w:tr>
      <w:tr w14:paraId="7A48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61E01DE9">
            <w:pPr>
              <w:jc w:val="left"/>
              <w:rPr>
                <w:rFonts w:ascii="宋体" w:hAnsi="宋体"/>
                <w:color w:val="auto"/>
                <w:szCs w:val="21"/>
              </w:rPr>
            </w:pPr>
          </w:p>
        </w:tc>
        <w:tc>
          <w:tcPr>
            <w:tcW w:w="1600" w:type="dxa"/>
            <w:gridSpan w:val="3"/>
            <w:vMerge w:val="restart"/>
            <w:noWrap/>
            <w:vAlign w:val="center"/>
          </w:tcPr>
          <w:p w14:paraId="11397C01">
            <w:pPr>
              <w:jc w:val="center"/>
              <w:rPr>
                <w:rFonts w:ascii="宋体" w:hAnsi="宋体"/>
                <w:color w:val="auto"/>
                <w:szCs w:val="21"/>
              </w:rPr>
            </w:pPr>
            <w:r>
              <w:rPr>
                <w:rFonts w:hint="eastAsia" w:ascii="宋体" w:hAnsi="宋体"/>
                <w:color w:val="auto"/>
                <w:szCs w:val="21"/>
              </w:rPr>
              <w:t>检查报告显示</w:t>
            </w:r>
          </w:p>
        </w:tc>
        <w:tc>
          <w:tcPr>
            <w:tcW w:w="6521" w:type="dxa"/>
            <w:noWrap/>
            <w:vAlign w:val="center"/>
          </w:tcPr>
          <w:p w14:paraId="18D6702D">
            <w:pPr>
              <w:rPr>
                <w:rFonts w:ascii="宋体" w:hAnsi="宋体"/>
                <w:color w:val="auto"/>
                <w:szCs w:val="21"/>
              </w:rPr>
            </w:pPr>
            <w:r>
              <w:rPr>
                <w:rFonts w:ascii="宋体" w:hAnsi="宋体"/>
                <w:color w:val="auto"/>
                <w:szCs w:val="21"/>
              </w:rPr>
              <w:t>检</w:t>
            </w:r>
            <w:r>
              <w:rPr>
                <w:rFonts w:hint="eastAsia" w:ascii="宋体" w:hAnsi="宋体"/>
                <w:color w:val="auto"/>
                <w:szCs w:val="21"/>
              </w:rPr>
              <w:t>查</w:t>
            </w:r>
            <w:r>
              <w:rPr>
                <w:rFonts w:ascii="宋体" w:hAnsi="宋体"/>
                <w:color w:val="auto"/>
                <w:szCs w:val="21"/>
              </w:rPr>
              <w:t>列表显示分为列表和明细两部分，显示内容满足实现目标，之外列表显示将按日期从近至远分组显示 。</w:t>
            </w:r>
          </w:p>
        </w:tc>
        <w:tc>
          <w:tcPr>
            <w:tcW w:w="776" w:type="dxa"/>
            <w:gridSpan w:val="2"/>
            <w:vMerge w:val="continue"/>
            <w:noWrap/>
            <w:vAlign w:val="center"/>
          </w:tcPr>
          <w:p w14:paraId="300EFDB3">
            <w:pPr>
              <w:jc w:val="center"/>
              <w:rPr>
                <w:rFonts w:ascii="宋体" w:hAnsi="宋体"/>
                <w:color w:val="auto"/>
                <w:szCs w:val="21"/>
              </w:rPr>
            </w:pPr>
          </w:p>
        </w:tc>
      </w:tr>
      <w:tr w14:paraId="332F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2BB97D8E">
            <w:pPr>
              <w:jc w:val="left"/>
              <w:rPr>
                <w:rFonts w:ascii="宋体" w:hAnsi="宋体"/>
                <w:color w:val="auto"/>
                <w:szCs w:val="21"/>
              </w:rPr>
            </w:pPr>
          </w:p>
        </w:tc>
        <w:tc>
          <w:tcPr>
            <w:tcW w:w="1600" w:type="dxa"/>
            <w:gridSpan w:val="3"/>
            <w:vMerge w:val="continue"/>
            <w:noWrap/>
            <w:vAlign w:val="center"/>
          </w:tcPr>
          <w:p w14:paraId="4F999039">
            <w:pPr>
              <w:jc w:val="center"/>
              <w:rPr>
                <w:rFonts w:ascii="宋体" w:hAnsi="宋体"/>
                <w:color w:val="auto"/>
                <w:szCs w:val="21"/>
              </w:rPr>
            </w:pPr>
          </w:p>
        </w:tc>
        <w:tc>
          <w:tcPr>
            <w:tcW w:w="6521" w:type="dxa"/>
            <w:noWrap/>
            <w:vAlign w:val="center"/>
          </w:tcPr>
          <w:p w14:paraId="7F1269E2">
            <w:pPr>
              <w:rPr>
                <w:rFonts w:ascii="宋体" w:hAnsi="宋体"/>
                <w:color w:val="auto"/>
                <w:szCs w:val="21"/>
              </w:rPr>
            </w:pPr>
            <w:r>
              <w:rPr>
                <w:rFonts w:hint="eastAsia" w:ascii="宋体" w:hAnsi="宋体"/>
                <w:color w:val="auto"/>
                <w:szCs w:val="21"/>
              </w:rPr>
              <w:t xml:space="preserve"> 根据临床业务提供检查结果明细显示检查参数、检查所见、印象等信息。</w:t>
            </w:r>
          </w:p>
        </w:tc>
        <w:tc>
          <w:tcPr>
            <w:tcW w:w="776" w:type="dxa"/>
            <w:gridSpan w:val="2"/>
            <w:vMerge w:val="continue"/>
            <w:noWrap/>
            <w:vAlign w:val="center"/>
          </w:tcPr>
          <w:p w14:paraId="60D0B7BF">
            <w:pPr>
              <w:jc w:val="center"/>
              <w:rPr>
                <w:rFonts w:ascii="宋体" w:hAnsi="宋体"/>
                <w:color w:val="auto"/>
                <w:szCs w:val="21"/>
              </w:rPr>
            </w:pPr>
          </w:p>
        </w:tc>
      </w:tr>
      <w:tr w14:paraId="0262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6DC7D618">
            <w:pPr>
              <w:jc w:val="left"/>
              <w:rPr>
                <w:rFonts w:ascii="宋体" w:hAnsi="宋体"/>
                <w:color w:val="auto"/>
                <w:szCs w:val="21"/>
              </w:rPr>
            </w:pPr>
          </w:p>
        </w:tc>
        <w:tc>
          <w:tcPr>
            <w:tcW w:w="1600" w:type="dxa"/>
            <w:gridSpan w:val="3"/>
            <w:vMerge w:val="continue"/>
            <w:noWrap/>
            <w:vAlign w:val="center"/>
          </w:tcPr>
          <w:p w14:paraId="0D6AAC5C">
            <w:pPr>
              <w:jc w:val="center"/>
              <w:rPr>
                <w:rFonts w:ascii="宋体" w:hAnsi="宋体"/>
                <w:color w:val="auto"/>
                <w:szCs w:val="21"/>
              </w:rPr>
            </w:pPr>
          </w:p>
        </w:tc>
        <w:tc>
          <w:tcPr>
            <w:tcW w:w="6521" w:type="dxa"/>
            <w:noWrap/>
            <w:vAlign w:val="center"/>
          </w:tcPr>
          <w:p w14:paraId="51555613">
            <w:pPr>
              <w:rPr>
                <w:rFonts w:ascii="宋体" w:hAnsi="宋体"/>
                <w:color w:val="auto"/>
                <w:szCs w:val="21"/>
              </w:rPr>
            </w:pPr>
            <w:r>
              <w:rPr>
                <w:rFonts w:hint="eastAsia" w:ascii="宋体" w:hAnsi="宋体"/>
                <w:color w:val="auto"/>
                <w:szCs w:val="21"/>
              </w:rPr>
              <w:t>浏览指定患者当次入院以来的所有检查报告，按时间顺序显示。报告信息包括项目名称、检查时间、检查部位、检查所见、检查意见、申请者和申请时间、报告者和报告时间、审核者和审核时间等。</w:t>
            </w:r>
          </w:p>
        </w:tc>
        <w:tc>
          <w:tcPr>
            <w:tcW w:w="776" w:type="dxa"/>
            <w:gridSpan w:val="2"/>
            <w:vMerge w:val="continue"/>
            <w:noWrap/>
            <w:vAlign w:val="center"/>
          </w:tcPr>
          <w:p w14:paraId="303B7A17">
            <w:pPr>
              <w:jc w:val="center"/>
              <w:rPr>
                <w:rFonts w:ascii="宋体" w:hAnsi="宋体"/>
                <w:color w:val="auto"/>
                <w:szCs w:val="21"/>
              </w:rPr>
            </w:pPr>
          </w:p>
        </w:tc>
      </w:tr>
      <w:tr w14:paraId="00D2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44870AF1">
            <w:pPr>
              <w:jc w:val="left"/>
              <w:rPr>
                <w:rFonts w:ascii="宋体" w:hAnsi="宋体"/>
                <w:color w:val="auto"/>
                <w:szCs w:val="21"/>
              </w:rPr>
            </w:pPr>
          </w:p>
        </w:tc>
        <w:tc>
          <w:tcPr>
            <w:tcW w:w="1600" w:type="dxa"/>
            <w:gridSpan w:val="3"/>
            <w:vMerge w:val="restart"/>
            <w:noWrap/>
            <w:vAlign w:val="center"/>
          </w:tcPr>
          <w:p w14:paraId="4F690BBE">
            <w:pPr>
              <w:jc w:val="center"/>
              <w:rPr>
                <w:rFonts w:ascii="宋体" w:hAnsi="宋体"/>
                <w:color w:val="auto"/>
                <w:szCs w:val="21"/>
              </w:rPr>
            </w:pPr>
            <w:r>
              <w:rPr>
                <w:rFonts w:hint="eastAsia" w:ascii="宋体" w:hAnsi="宋体"/>
                <w:color w:val="auto"/>
                <w:szCs w:val="21"/>
              </w:rPr>
              <w:t>检查图像查看</w:t>
            </w:r>
          </w:p>
        </w:tc>
        <w:tc>
          <w:tcPr>
            <w:tcW w:w="6521" w:type="dxa"/>
            <w:noWrap/>
            <w:vAlign w:val="center"/>
          </w:tcPr>
          <w:p w14:paraId="068B8986">
            <w:pPr>
              <w:rPr>
                <w:rFonts w:ascii="宋体" w:hAnsi="宋体"/>
                <w:color w:val="auto"/>
                <w:szCs w:val="21"/>
              </w:rPr>
            </w:pPr>
            <w:r>
              <w:rPr>
                <w:rFonts w:hint="eastAsia" w:ascii="宋体" w:hAnsi="宋体"/>
                <w:color w:val="auto"/>
                <w:szCs w:val="21"/>
              </w:rPr>
              <w:t xml:space="preserve"> 实现目标，还提供影像图片的移动、放大、旋转、调整窗位/窗宽，测量、反色、自动播放等功能。</w:t>
            </w:r>
          </w:p>
        </w:tc>
        <w:tc>
          <w:tcPr>
            <w:tcW w:w="776" w:type="dxa"/>
            <w:gridSpan w:val="2"/>
            <w:vMerge w:val="continue"/>
            <w:noWrap/>
            <w:vAlign w:val="center"/>
          </w:tcPr>
          <w:p w14:paraId="71ECBBDA">
            <w:pPr>
              <w:jc w:val="center"/>
              <w:rPr>
                <w:rFonts w:ascii="宋体" w:hAnsi="宋体"/>
                <w:color w:val="auto"/>
                <w:szCs w:val="21"/>
              </w:rPr>
            </w:pPr>
          </w:p>
        </w:tc>
      </w:tr>
      <w:tr w14:paraId="0A5D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0" w:type="dxa"/>
            <w:gridSpan w:val="2"/>
            <w:vMerge w:val="continue"/>
            <w:noWrap/>
            <w:vAlign w:val="center"/>
          </w:tcPr>
          <w:p w14:paraId="0C13A032">
            <w:pPr>
              <w:jc w:val="left"/>
              <w:rPr>
                <w:rFonts w:ascii="宋体" w:hAnsi="宋体"/>
                <w:color w:val="auto"/>
                <w:szCs w:val="21"/>
              </w:rPr>
            </w:pPr>
          </w:p>
        </w:tc>
        <w:tc>
          <w:tcPr>
            <w:tcW w:w="1600" w:type="dxa"/>
            <w:gridSpan w:val="3"/>
            <w:vMerge w:val="continue"/>
            <w:noWrap/>
            <w:vAlign w:val="center"/>
          </w:tcPr>
          <w:p w14:paraId="3A8620A1">
            <w:pPr>
              <w:jc w:val="center"/>
              <w:rPr>
                <w:rFonts w:ascii="宋体" w:hAnsi="宋体"/>
                <w:color w:val="auto"/>
                <w:szCs w:val="21"/>
              </w:rPr>
            </w:pPr>
          </w:p>
        </w:tc>
        <w:tc>
          <w:tcPr>
            <w:tcW w:w="6521" w:type="dxa"/>
            <w:noWrap/>
            <w:vAlign w:val="center"/>
          </w:tcPr>
          <w:p w14:paraId="36690AB2">
            <w:pPr>
              <w:rPr>
                <w:rFonts w:ascii="宋体" w:hAnsi="宋体"/>
                <w:color w:val="auto"/>
                <w:szCs w:val="21"/>
              </w:rPr>
            </w:pPr>
            <w:r>
              <w:rPr>
                <w:rFonts w:hint="eastAsia" w:ascii="宋体" w:hAnsi="宋体"/>
                <w:color w:val="auto"/>
                <w:szCs w:val="21"/>
              </w:rPr>
              <w:t>可供查询</w:t>
            </w:r>
            <w:r>
              <w:rPr>
                <w:rFonts w:ascii="宋体" w:hAnsi="宋体"/>
                <w:color w:val="auto"/>
                <w:szCs w:val="21"/>
              </w:rPr>
              <w:t>和显示历史检查</w:t>
            </w:r>
            <w:r>
              <w:rPr>
                <w:rFonts w:hint="eastAsia" w:ascii="宋体" w:hAnsi="宋体"/>
                <w:color w:val="auto"/>
                <w:szCs w:val="21"/>
              </w:rPr>
              <w:t>报告</w:t>
            </w:r>
            <w:r>
              <w:rPr>
                <w:rFonts w:ascii="宋体" w:hAnsi="宋体"/>
                <w:color w:val="auto"/>
                <w:szCs w:val="21"/>
              </w:rPr>
              <w:t>及图像。</w:t>
            </w:r>
          </w:p>
        </w:tc>
        <w:tc>
          <w:tcPr>
            <w:tcW w:w="776" w:type="dxa"/>
            <w:gridSpan w:val="2"/>
            <w:vMerge w:val="continue"/>
            <w:noWrap/>
            <w:vAlign w:val="center"/>
          </w:tcPr>
          <w:p w14:paraId="1DBAD4FC">
            <w:pPr>
              <w:jc w:val="center"/>
              <w:rPr>
                <w:rFonts w:ascii="宋体" w:hAnsi="宋体"/>
                <w:color w:val="auto"/>
                <w:szCs w:val="21"/>
              </w:rPr>
            </w:pPr>
          </w:p>
        </w:tc>
      </w:tr>
      <w:tr w14:paraId="0F40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10" w:type="dxa"/>
            <w:gridSpan w:val="2"/>
            <w:vMerge w:val="restart"/>
            <w:noWrap/>
            <w:vAlign w:val="center"/>
          </w:tcPr>
          <w:p w14:paraId="39F625C6">
            <w:pPr>
              <w:jc w:val="left"/>
              <w:rPr>
                <w:rFonts w:ascii="宋体" w:hAnsi="宋体"/>
                <w:color w:val="auto"/>
                <w:szCs w:val="21"/>
              </w:rPr>
            </w:pPr>
            <w:r>
              <w:rPr>
                <w:rFonts w:hint="eastAsia" w:ascii="宋体" w:hAnsi="宋体"/>
                <w:color w:val="auto"/>
                <w:szCs w:val="21"/>
              </w:rPr>
              <w:t>电子病历信息</w:t>
            </w:r>
          </w:p>
        </w:tc>
        <w:tc>
          <w:tcPr>
            <w:tcW w:w="1600" w:type="dxa"/>
            <w:gridSpan w:val="3"/>
            <w:noWrap/>
            <w:vAlign w:val="center"/>
          </w:tcPr>
          <w:p w14:paraId="49828687">
            <w:pPr>
              <w:jc w:val="center"/>
              <w:rPr>
                <w:rFonts w:ascii="宋体" w:hAnsi="宋体"/>
                <w:color w:val="auto"/>
                <w:szCs w:val="21"/>
              </w:rPr>
            </w:pPr>
            <w:r>
              <w:rPr>
                <w:rFonts w:hint="eastAsia" w:ascii="宋体" w:hAnsi="宋体"/>
                <w:color w:val="auto"/>
                <w:szCs w:val="21"/>
              </w:rPr>
              <w:t>电子病历列表</w:t>
            </w:r>
          </w:p>
        </w:tc>
        <w:tc>
          <w:tcPr>
            <w:tcW w:w="6521" w:type="dxa"/>
            <w:noWrap/>
            <w:vAlign w:val="center"/>
          </w:tcPr>
          <w:p w14:paraId="5B565F7D">
            <w:pPr>
              <w:rPr>
                <w:rFonts w:ascii="宋体" w:hAnsi="宋体"/>
                <w:color w:val="auto"/>
                <w:szCs w:val="21"/>
              </w:rPr>
            </w:pPr>
            <w:r>
              <w:rPr>
                <w:rFonts w:hint="eastAsia" w:ascii="宋体" w:hAnsi="宋体"/>
                <w:color w:val="auto"/>
                <w:szCs w:val="21"/>
              </w:rPr>
              <w:t xml:space="preserve"> 查询患者历次住院所有电子病历文档目录，并按类别分类显示</w:t>
            </w:r>
          </w:p>
        </w:tc>
        <w:tc>
          <w:tcPr>
            <w:tcW w:w="776" w:type="dxa"/>
            <w:gridSpan w:val="2"/>
            <w:vMerge w:val="continue"/>
            <w:noWrap/>
            <w:vAlign w:val="center"/>
          </w:tcPr>
          <w:p w14:paraId="2891EE90">
            <w:pPr>
              <w:jc w:val="center"/>
              <w:rPr>
                <w:rFonts w:ascii="宋体" w:hAnsi="宋体"/>
                <w:color w:val="auto"/>
                <w:szCs w:val="21"/>
              </w:rPr>
            </w:pPr>
          </w:p>
        </w:tc>
      </w:tr>
      <w:tr w14:paraId="4B92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10" w:type="dxa"/>
            <w:gridSpan w:val="2"/>
            <w:vMerge w:val="continue"/>
            <w:noWrap/>
            <w:vAlign w:val="center"/>
          </w:tcPr>
          <w:p w14:paraId="058B5388">
            <w:pPr>
              <w:jc w:val="left"/>
              <w:rPr>
                <w:rFonts w:ascii="宋体" w:hAnsi="宋体"/>
                <w:color w:val="auto"/>
                <w:szCs w:val="21"/>
              </w:rPr>
            </w:pPr>
          </w:p>
        </w:tc>
        <w:tc>
          <w:tcPr>
            <w:tcW w:w="1600" w:type="dxa"/>
            <w:gridSpan w:val="3"/>
            <w:noWrap/>
            <w:vAlign w:val="center"/>
          </w:tcPr>
          <w:p w14:paraId="4E0A814D">
            <w:pPr>
              <w:jc w:val="center"/>
              <w:rPr>
                <w:rFonts w:ascii="宋体" w:hAnsi="宋体"/>
                <w:color w:val="auto"/>
                <w:szCs w:val="21"/>
              </w:rPr>
            </w:pPr>
            <w:r>
              <w:rPr>
                <w:rFonts w:hint="eastAsia" w:ascii="宋体" w:hAnsi="宋体"/>
                <w:color w:val="auto"/>
                <w:szCs w:val="21"/>
              </w:rPr>
              <w:t>电子病历文件调阅</w:t>
            </w:r>
          </w:p>
        </w:tc>
        <w:tc>
          <w:tcPr>
            <w:tcW w:w="6521" w:type="dxa"/>
            <w:noWrap/>
            <w:vAlign w:val="center"/>
          </w:tcPr>
          <w:p w14:paraId="5FB8AAE6">
            <w:pPr>
              <w:rPr>
                <w:rFonts w:ascii="宋体" w:hAnsi="宋体"/>
                <w:color w:val="auto"/>
                <w:szCs w:val="21"/>
              </w:rPr>
            </w:pPr>
            <w:r>
              <w:rPr>
                <w:rFonts w:hint="eastAsia" w:ascii="宋体" w:hAnsi="宋体"/>
                <w:color w:val="auto"/>
                <w:szCs w:val="21"/>
              </w:rPr>
              <w:t xml:space="preserve"> 可根据住院号或患者姓名精准调阅电子病历文档的内容</w:t>
            </w:r>
          </w:p>
        </w:tc>
        <w:tc>
          <w:tcPr>
            <w:tcW w:w="776" w:type="dxa"/>
            <w:gridSpan w:val="2"/>
            <w:vMerge w:val="continue"/>
            <w:noWrap/>
            <w:vAlign w:val="center"/>
          </w:tcPr>
          <w:p w14:paraId="7E22BEF9">
            <w:pPr>
              <w:jc w:val="center"/>
              <w:rPr>
                <w:rFonts w:ascii="宋体" w:hAnsi="宋体"/>
                <w:color w:val="auto"/>
                <w:szCs w:val="21"/>
              </w:rPr>
            </w:pPr>
          </w:p>
        </w:tc>
      </w:tr>
      <w:tr w14:paraId="127A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7840DC1A">
            <w:pPr>
              <w:jc w:val="left"/>
              <w:rPr>
                <w:rFonts w:ascii="宋体" w:hAnsi="宋体"/>
                <w:color w:val="auto"/>
                <w:szCs w:val="21"/>
              </w:rPr>
            </w:pPr>
          </w:p>
        </w:tc>
        <w:tc>
          <w:tcPr>
            <w:tcW w:w="1600" w:type="dxa"/>
            <w:gridSpan w:val="3"/>
            <w:noWrap/>
            <w:vAlign w:val="center"/>
          </w:tcPr>
          <w:p w14:paraId="1141E623">
            <w:pPr>
              <w:jc w:val="center"/>
              <w:rPr>
                <w:rFonts w:ascii="宋体" w:hAnsi="宋体"/>
                <w:color w:val="auto"/>
                <w:szCs w:val="21"/>
              </w:rPr>
            </w:pPr>
            <w:r>
              <w:rPr>
                <w:rFonts w:ascii="宋体" w:hAnsi="宋体"/>
                <w:color w:val="auto"/>
                <w:szCs w:val="21"/>
              </w:rPr>
              <w:t>书写电子病历</w:t>
            </w:r>
          </w:p>
        </w:tc>
        <w:tc>
          <w:tcPr>
            <w:tcW w:w="6521" w:type="dxa"/>
            <w:noWrap/>
            <w:vAlign w:val="center"/>
          </w:tcPr>
          <w:p w14:paraId="3EA12D06">
            <w:pPr>
              <w:rPr>
                <w:rFonts w:ascii="宋体" w:hAnsi="宋体"/>
                <w:color w:val="auto"/>
                <w:szCs w:val="21"/>
              </w:rPr>
            </w:pPr>
            <w:r>
              <w:rPr>
                <w:rFonts w:hint="eastAsia" w:ascii="宋体" w:hAnsi="宋体"/>
                <w:color w:val="auto"/>
                <w:szCs w:val="21"/>
              </w:rPr>
              <w:t>实现电子病历新建、编辑、签字、审核；实现引用检验、检查报告及护理数据；实现复制、粘贴同一患者的病历资料。</w:t>
            </w:r>
          </w:p>
        </w:tc>
        <w:tc>
          <w:tcPr>
            <w:tcW w:w="776" w:type="dxa"/>
            <w:gridSpan w:val="2"/>
            <w:vMerge w:val="continue"/>
            <w:noWrap/>
            <w:vAlign w:val="center"/>
          </w:tcPr>
          <w:p w14:paraId="79724D93">
            <w:pPr>
              <w:jc w:val="center"/>
              <w:rPr>
                <w:rFonts w:ascii="宋体" w:hAnsi="宋体"/>
                <w:color w:val="auto"/>
                <w:szCs w:val="21"/>
              </w:rPr>
            </w:pPr>
          </w:p>
        </w:tc>
      </w:tr>
      <w:tr w14:paraId="3263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1F66FFEC">
            <w:pPr>
              <w:jc w:val="left"/>
              <w:rPr>
                <w:rFonts w:ascii="宋体" w:hAnsi="宋体"/>
                <w:color w:val="auto"/>
                <w:szCs w:val="21"/>
              </w:rPr>
            </w:pPr>
          </w:p>
        </w:tc>
        <w:tc>
          <w:tcPr>
            <w:tcW w:w="1600" w:type="dxa"/>
            <w:gridSpan w:val="3"/>
            <w:noWrap/>
            <w:vAlign w:val="center"/>
          </w:tcPr>
          <w:p w14:paraId="526ED3C5">
            <w:pPr>
              <w:jc w:val="center"/>
              <w:rPr>
                <w:rFonts w:ascii="宋体" w:hAnsi="宋体"/>
                <w:color w:val="auto"/>
                <w:szCs w:val="21"/>
              </w:rPr>
            </w:pPr>
            <w:r>
              <w:rPr>
                <w:rFonts w:hint="eastAsia" w:ascii="宋体" w:hAnsi="宋体"/>
                <w:color w:val="auto"/>
                <w:szCs w:val="21"/>
              </w:rPr>
              <w:t>临床数据引用</w:t>
            </w:r>
          </w:p>
        </w:tc>
        <w:tc>
          <w:tcPr>
            <w:tcW w:w="6521" w:type="dxa"/>
            <w:noWrap/>
            <w:vAlign w:val="center"/>
          </w:tcPr>
          <w:p w14:paraId="31A8D4CA">
            <w:pPr>
              <w:rPr>
                <w:rFonts w:ascii="宋体" w:hAnsi="宋体"/>
                <w:color w:val="auto"/>
                <w:szCs w:val="21"/>
              </w:rPr>
            </w:pPr>
            <w:r>
              <w:rPr>
                <w:rFonts w:hint="eastAsia" w:ascii="宋体" w:hAnsi="宋体"/>
                <w:color w:val="auto"/>
                <w:szCs w:val="21"/>
              </w:rPr>
              <w:t>实现引用多种数据，包括患者体征记录、手术、检验检查报告、临床常用特殊字符等，免页面跳转，实现准确、快捷录入。</w:t>
            </w:r>
          </w:p>
        </w:tc>
        <w:tc>
          <w:tcPr>
            <w:tcW w:w="776" w:type="dxa"/>
            <w:gridSpan w:val="2"/>
            <w:vMerge w:val="continue"/>
            <w:noWrap/>
            <w:vAlign w:val="center"/>
          </w:tcPr>
          <w:p w14:paraId="72D53616">
            <w:pPr>
              <w:jc w:val="center"/>
              <w:rPr>
                <w:rFonts w:ascii="宋体" w:hAnsi="宋体"/>
                <w:color w:val="auto"/>
                <w:szCs w:val="21"/>
              </w:rPr>
            </w:pPr>
          </w:p>
        </w:tc>
      </w:tr>
      <w:tr w14:paraId="4C55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4E0C4D99">
            <w:pPr>
              <w:jc w:val="left"/>
              <w:rPr>
                <w:rFonts w:ascii="宋体" w:hAnsi="宋体"/>
                <w:color w:val="auto"/>
                <w:szCs w:val="21"/>
              </w:rPr>
            </w:pPr>
          </w:p>
        </w:tc>
        <w:tc>
          <w:tcPr>
            <w:tcW w:w="1600" w:type="dxa"/>
            <w:gridSpan w:val="3"/>
            <w:noWrap/>
            <w:vAlign w:val="center"/>
          </w:tcPr>
          <w:p w14:paraId="1248237E">
            <w:pPr>
              <w:jc w:val="center"/>
              <w:rPr>
                <w:rFonts w:ascii="宋体" w:hAnsi="宋体"/>
                <w:color w:val="auto"/>
                <w:szCs w:val="21"/>
              </w:rPr>
            </w:pPr>
            <w:r>
              <w:rPr>
                <w:rFonts w:hint="eastAsia" w:ascii="宋体" w:hAnsi="宋体"/>
                <w:color w:val="auto"/>
                <w:szCs w:val="21"/>
              </w:rPr>
              <w:t>专科模板引用</w:t>
            </w:r>
          </w:p>
        </w:tc>
        <w:tc>
          <w:tcPr>
            <w:tcW w:w="6521" w:type="dxa"/>
            <w:noWrap/>
            <w:vAlign w:val="center"/>
          </w:tcPr>
          <w:p w14:paraId="147DE933">
            <w:pPr>
              <w:jc w:val="left"/>
              <w:rPr>
                <w:rFonts w:ascii="宋体" w:hAnsi="宋体"/>
                <w:color w:val="auto"/>
                <w:szCs w:val="21"/>
              </w:rPr>
            </w:pPr>
            <w:r>
              <w:rPr>
                <w:rFonts w:hint="eastAsia" w:ascii="宋体" w:hAnsi="宋体"/>
                <w:color w:val="auto"/>
                <w:szCs w:val="21"/>
              </w:rPr>
              <w:t>实现引用自定义的模板用于书写必要的患者情况记录等。</w:t>
            </w:r>
          </w:p>
        </w:tc>
        <w:tc>
          <w:tcPr>
            <w:tcW w:w="776" w:type="dxa"/>
            <w:gridSpan w:val="2"/>
            <w:vMerge w:val="continue"/>
            <w:noWrap/>
            <w:vAlign w:val="center"/>
          </w:tcPr>
          <w:p w14:paraId="46B40886">
            <w:pPr>
              <w:jc w:val="center"/>
              <w:rPr>
                <w:rFonts w:ascii="宋体" w:hAnsi="宋体"/>
                <w:color w:val="auto"/>
                <w:szCs w:val="21"/>
              </w:rPr>
            </w:pPr>
          </w:p>
        </w:tc>
      </w:tr>
      <w:tr w14:paraId="5899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78F2E480">
            <w:pPr>
              <w:jc w:val="left"/>
              <w:rPr>
                <w:rFonts w:ascii="宋体" w:hAnsi="宋体"/>
                <w:color w:val="auto"/>
                <w:szCs w:val="21"/>
              </w:rPr>
            </w:pPr>
          </w:p>
        </w:tc>
        <w:tc>
          <w:tcPr>
            <w:tcW w:w="1600" w:type="dxa"/>
            <w:gridSpan w:val="3"/>
            <w:noWrap/>
            <w:vAlign w:val="center"/>
          </w:tcPr>
          <w:p w14:paraId="4BBEDC71">
            <w:pPr>
              <w:rPr>
                <w:rFonts w:ascii="宋体" w:hAnsi="宋体"/>
                <w:color w:val="auto"/>
                <w:szCs w:val="21"/>
              </w:rPr>
            </w:pPr>
            <w:r>
              <w:rPr>
                <w:rFonts w:ascii="宋体" w:hAnsi="宋体"/>
                <w:color w:val="auto"/>
                <w:szCs w:val="21"/>
              </w:rPr>
              <w:t>各类评估单</w:t>
            </w:r>
          </w:p>
        </w:tc>
        <w:tc>
          <w:tcPr>
            <w:tcW w:w="6521" w:type="dxa"/>
            <w:noWrap/>
            <w:vAlign w:val="center"/>
          </w:tcPr>
          <w:p w14:paraId="586A0635">
            <w:pPr>
              <w:jc w:val="left"/>
              <w:rPr>
                <w:rFonts w:ascii="宋体" w:hAnsi="宋体"/>
                <w:color w:val="auto"/>
                <w:szCs w:val="21"/>
              </w:rPr>
            </w:pPr>
            <w:r>
              <w:rPr>
                <w:rFonts w:hint="eastAsia" w:ascii="宋体" w:hAnsi="宋体"/>
                <w:color w:val="auto"/>
                <w:szCs w:val="21"/>
              </w:rPr>
              <w:t>实现新建、修改、浏览、审签各类评估单，包括但不限于：血栓风险评估、出血风险评估单等。所需评估单按医院实际需要创建</w:t>
            </w:r>
            <w:r>
              <w:rPr>
                <w:rFonts w:ascii="宋体" w:hAnsi="宋体"/>
                <w:color w:val="auto"/>
                <w:szCs w:val="21"/>
              </w:rPr>
              <w:t>。</w:t>
            </w:r>
            <w:r>
              <w:rPr>
                <w:rFonts w:hint="eastAsia" w:ascii="宋体" w:hAnsi="宋体"/>
                <w:color w:val="auto"/>
                <w:szCs w:val="21"/>
              </w:rPr>
              <w:t>实现自定义各类评估单的评估选项、单项评分以及总分计算方式、评估等级等。</w:t>
            </w:r>
          </w:p>
        </w:tc>
        <w:tc>
          <w:tcPr>
            <w:tcW w:w="776" w:type="dxa"/>
            <w:gridSpan w:val="2"/>
            <w:vMerge w:val="continue"/>
            <w:noWrap/>
            <w:vAlign w:val="center"/>
          </w:tcPr>
          <w:p w14:paraId="4C787B58">
            <w:pPr>
              <w:jc w:val="center"/>
              <w:rPr>
                <w:rFonts w:ascii="宋体" w:hAnsi="宋体"/>
                <w:color w:val="auto"/>
                <w:szCs w:val="21"/>
              </w:rPr>
            </w:pPr>
          </w:p>
        </w:tc>
      </w:tr>
      <w:tr w14:paraId="1345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06AECC08">
            <w:pPr>
              <w:jc w:val="left"/>
              <w:rPr>
                <w:rFonts w:ascii="宋体" w:hAnsi="宋体"/>
                <w:color w:val="auto"/>
                <w:szCs w:val="21"/>
              </w:rPr>
            </w:pPr>
          </w:p>
        </w:tc>
        <w:tc>
          <w:tcPr>
            <w:tcW w:w="1600" w:type="dxa"/>
            <w:gridSpan w:val="3"/>
            <w:noWrap/>
            <w:vAlign w:val="center"/>
          </w:tcPr>
          <w:p w14:paraId="36BD3415">
            <w:pPr>
              <w:rPr>
                <w:rFonts w:ascii="宋体" w:hAnsi="宋体"/>
                <w:color w:val="auto"/>
                <w:szCs w:val="21"/>
              </w:rPr>
            </w:pPr>
            <w:r>
              <w:rPr>
                <w:rFonts w:ascii="宋体" w:hAnsi="宋体"/>
                <w:color w:val="auto"/>
                <w:szCs w:val="21"/>
              </w:rPr>
              <w:t>各类量表</w:t>
            </w:r>
          </w:p>
        </w:tc>
        <w:tc>
          <w:tcPr>
            <w:tcW w:w="6521" w:type="dxa"/>
            <w:noWrap/>
            <w:vAlign w:val="center"/>
          </w:tcPr>
          <w:p w14:paraId="54571D2E">
            <w:pPr>
              <w:jc w:val="left"/>
              <w:rPr>
                <w:rFonts w:ascii="宋体" w:hAnsi="宋体"/>
                <w:color w:val="auto"/>
                <w:szCs w:val="21"/>
              </w:rPr>
            </w:pPr>
            <w:r>
              <w:rPr>
                <w:rFonts w:hint="eastAsia" w:ascii="宋体" w:hAnsi="宋体"/>
                <w:color w:val="auto"/>
                <w:szCs w:val="21"/>
              </w:rPr>
              <w:t>实现新建、修改、浏览各类量表，包括但不限于：昏迷量表、康复评估量表等。实现自定义各类量表。</w:t>
            </w:r>
          </w:p>
        </w:tc>
        <w:tc>
          <w:tcPr>
            <w:tcW w:w="776" w:type="dxa"/>
            <w:gridSpan w:val="2"/>
            <w:vMerge w:val="continue"/>
            <w:noWrap/>
            <w:vAlign w:val="center"/>
          </w:tcPr>
          <w:p w14:paraId="1F49313C">
            <w:pPr>
              <w:jc w:val="center"/>
              <w:rPr>
                <w:rFonts w:ascii="宋体" w:hAnsi="宋体"/>
                <w:color w:val="auto"/>
                <w:szCs w:val="21"/>
              </w:rPr>
            </w:pPr>
          </w:p>
        </w:tc>
      </w:tr>
      <w:tr w14:paraId="1FA6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041C5BC5">
            <w:pPr>
              <w:jc w:val="left"/>
              <w:rPr>
                <w:rFonts w:ascii="宋体" w:hAnsi="宋体"/>
                <w:color w:val="auto"/>
                <w:szCs w:val="21"/>
              </w:rPr>
            </w:pPr>
          </w:p>
        </w:tc>
        <w:tc>
          <w:tcPr>
            <w:tcW w:w="1600" w:type="dxa"/>
            <w:gridSpan w:val="3"/>
            <w:noWrap/>
            <w:vAlign w:val="center"/>
          </w:tcPr>
          <w:p w14:paraId="1DE6E66E">
            <w:pPr>
              <w:rPr>
                <w:rFonts w:ascii="宋体" w:hAnsi="宋体"/>
                <w:color w:val="auto"/>
                <w:szCs w:val="21"/>
              </w:rPr>
            </w:pPr>
            <w:r>
              <w:rPr>
                <w:rFonts w:ascii="宋体" w:hAnsi="宋体"/>
                <w:color w:val="auto"/>
                <w:szCs w:val="21"/>
              </w:rPr>
              <w:t>各类知情告知书</w:t>
            </w:r>
          </w:p>
        </w:tc>
        <w:tc>
          <w:tcPr>
            <w:tcW w:w="6521" w:type="dxa"/>
            <w:noWrap/>
            <w:vAlign w:val="center"/>
          </w:tcPr>
          <w:p w14:paraId="15823124">
            <w:pPr>
              <w:jc w:val="left"/>
              <w:rPr>
                <w:rFonts w:ascii="宋体" w:hAnsi="宋体"/>
                <w:color w:val="auto"/>
                <w:szCs w:val="21"/>
              </w:rPr>
            </w:pPr>
            <w:r>
              <w:rPr>
                <w:rFonts w:hint="eastAsia" w:ascii="宋体" w:hAnsi="宋体"/>
                <w:color w:val="auto"/>
                <w:szCs w:val="21"/>
              </w:rPr>
              <w:t>实现新建、自定义修改、浏览各类知情告知文书。</w:t>
            </w:r>
          </w:p>
        </w:tc>
        <w:tc>
          <w:tcPr>
            <w:tcW w:w="776" w:type="dxa"/>
            <w:gridSpan w:val="2"/>
            <w:vMerge w:val="continue"/>
            <w:noWrap/>
            <w:vAlign w:val="center"/>
          </w:tcPr>
          <w:p w14:paraId="7530E2DD">
            <w:pPr>
              <w:jc w:val="center"/>
              <w:rPr>
                <w:rFonts w:ascii="宋体" w:hAnsi="宋体"/>
                <w:color w:val="auto"/>
                <w:szCs w:val="21"/>
              </w:rPr>
            </w:pPr>
          </w:p>
        </w:tc>
      </w:tr>
      <w:tr w14:paraId="310C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36E78C59">
            <w:pPr>
              <w:jc w:val="left"/>
              <w:rPr>
                <w:rFonts w:ascii="宋体" w:hAnsi="宋体"/>
                <w:color w:val="auto"/>
                <w:szCs w:val="21"/>
              </w:rPr>
            </w:pPr>
          </w:p>
        </w:tc>
        <w:tc>
          <w:tcPr>
            <w:tcW w:w="1600" w:type="dxa"/>
            <w:gridSpan w:val="3"/>
            <w:noWrap/>
            <w:vAlign w:val="center"/>
          </w:tcPr>
          <w:p w14:paraId="43B37DB1">
            <w:pPr>
              <w:rPr>
                <w:rFonts w:ascii="宋体" w:hAnsi="宋体"/>
                <w:color w:val="auto"/>
                <w:szCs w:val="21"/>
              </w:rPr>
            </w:pPr>
            <w:r>
              <w:rPr>
                <w:rFonts w:hint="eastAsia" w:ascii="宋体" w:hAnsi="宋体"/>
                <w:color w:val="auto"/>
                <w:szCs w:val="21"/>
              </w:rPr>
              <w:t>数据生成</w:t>
            </w:r>
          </w:p>
        </w:tc>
        <w:tc>
          <w:tcPr>
            <w:tcW w:w="6521" w:type="dxa"/>
            <w:noWrap/>
            <w:vAlign w:val="center"/>
          </w:tcPr>
          <w:p w14:paraId="69E49408">
            <w:pPr>
              <w:jc w:val="left"/>
              <w:rPr>
                <w:rFonts w:ascii="宋体" w:hAnsi="宋体"/>
                <w:color w:val="auto"/>
                <w:szCs w:val="21"/>
              </w:rPr>
            </w:pPr>
            <w:r>
              <w:rPr>
                <w:rFonts w:hint="eastAsia" w:ascii="宋体" w:hAnsi="宋体"/>
                <w:color w:val="auto"/>
                <w:szCs w:val="21"/>
              </w:rPr>
              <w:t>编辑过程中自动生成评分（如有）、评估等级（如有）、记录时间和执行人，日期时间可修改，执行人签名处实现加载签名图片。</w:t>
            </w:r>
          </w:p>
        </w:tc>
        <w:tc>
          <w:tcPr>
            <w:tcW w:w="776" w:type="dxa"/>
            <w:gridSpan w:val="2"/>
            <w:vMerge w:val="continue"/>
            <w:noWrap/>
            <w:vAlign w:val="center"/>
          </w:tcPr>
          <w:p w14:paraId="523701C9">
            <w:pPr>
              <w:jc w:val="center"/>
              <w:rPr>
                <w:rFonts w:ascii="宋体" w:hAnsi="宋体"/>
                <w:color w:val="auto"/>
                <w:szCs w:val="21"/>
              </w:rPr>
            </w:pPr>
          </w:p>
        </w:tc>
      </w:tr>
      <w:tr w14:paraId="3F49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noWrap/>
            <w:vAlign w:val="center"/>
          </w:tcPr>
          <w:p w14:paraId="2DFD8A44">
            <w:pPr>
              <w:jc w:val="left"/>
              <w:rPr>
                <w:rFonts w:ascii="宋体" w:hAnsi="宋体"/>
                <w:color w:val="auto"/>
                <w:szCs w:val="21"/>
              </w:rPr>
            </w:pPr>
            <w:r>
              <w:rPr>
                <w:rFonts w:ascii="宋体" w:hAnsi="宋体"/>
                <w:color w:val="auto"/>
                <w:szCs w:val="21"/>
              </w:rPr>
              <w:t>听写</w:t>
            </w:r>
            <w:r>
              <w:rPr>
                <w:rFonts w:hint="eastAsia" w:ascii="宋体" w:hAnsi="宋体"/>
                <w:color w:val="auto"/>
                <w:szCs w:val="21"/>
              </w:rPr>
              <w:t>功能</w:t>
            </w:r>
          </w:p>
        </w:tc>
        <w:tc>
          <w:tcPr>
            <w:tcW w:w="1600" w:type="dxa"/>
            <w:gridSpan w:val="3"/>
            <w:noWrap/>
            <w:vAlign w:val="center"/>
          </w:tcPr>
          <w:p w14:paraId="23F65F20">
            <w:pPr>
              <w:jc w:val="left"/>
              <w:rPr>
                <w:rFonts w:ascii="宋体" w:hAnsi="宋体"/>
                <w:color w:val="auto"/>
                <w:szCs w:val="21"/>
              </w:rPr>
            </w:pPr>
            <w:r>
              <w:rPr>
                <w:rFonts w:ascii="宋体" w:hAnsi="宋体"/>
                <w:color w:val="auto"/>
                <w:szCs w:val="21"/>
              </w:rPr>
              <w:t>配备听写</w:t>
            </w:r>
            <w:r>
              <w:rPr>
                <w:rFonts w:hint="eastAsia" w:ascii="宋体" w:hAnsi="宋体"/>
                <w:color w:val="auto"/>
                <w:szCs w:val="21"/>
              </w:rPr>
              <w:t>功能</w:t>
            </w:r>
          </w:p>
        </w:tc>
        <w:tc>
          <w:tcPr>
            <w:tcW w:w="6521" w:type="dxa"/>
            <w:noWrap/>
            <w:vAlign w:val="center"/>
          </w:tcPr>
          <w:p w14:paraId="62535855">
            <w:pPr>
              <w:jc w:val="left"/>
              <w:rPr>
                <w:rFonts w:ascii="宋体" w:hAnsi="宋体"/>
                <w:color w:val="auto"/>
                <w:szCs w:val="21"/>
              </w:rPr>
            </w:pPr>
            <w:r>
              <w:rPr>
                <w:rFonts w:hint="eastAsia" w:ascii="宋体" w:hAnsi="宋体"/>
                <w:color w:val="auto"/>
                <w:szCs w:val="21"/>
              </w:rPr>
              <w:t>实现语音转化为文字的智能录入。</w:t>
            </w:r>
          </w:p>
        </w:tc>
        <w:tc>
          <w:tcPr>
            <w:tcW w:w="776" w:type="dxa"/>
            <w:gridSpan w:val="2"/>
            <w:vMerge w:val="continue"/>
            <w:noWrap/>
            <w:vAlign w:val="center"/>
          </w:tcPr>
          <w:p w14:paraId="05130735">
            <w:pPr>
              <w:jc w:val="center"/>
              <w:rPr>
                <w:rFonts w:ascii="宋体" w:hAnsi="宋体"/>
                <w:color w:val="auto"/>
                <w:szCs w:val="21"/>
              </w:rPr>
            </w:pPr>
          </w:p>
        </w:tc>
      </w:tr>
      <w:tr w14:paraId="319DD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restart"/>
            <w:noWrap/>
            <w:vAlign w:val="center"/>
          </w:tcPr>
          <w:p w14:paraId="11156650">
            <w:pPr>
              <w:jc w:val="center"/>
              <w:rPr>
                <w:rFonts w:ascii="宋体" w:hAnsi="宋体"/>
                <w:color w:val="auto"/>
                <w:szCs w:val="21"/>
              </w:rPr>
            </w:pPr>
            <w:r>
              <w:rPr>
                <w:rFonts w:hint="eastAsia" w:ascii="宋体" w:hAnsi="宋体"/>
                <w:color w:val="auto"/>
                <w:szCs w:val="21"/>
              </w:rPr>
              <w:t>知识库</w:t>
            </w:r>
          </w:p>
        </w:tc>
        <w:tc>
          <w:tcPr>
            <w:tcW w:w="1600" w:type="dxa"/>
            <w:gridSpan w:val="3"/>
            <w:vMerge w:val="restart"/>
            <w:noWrap/>
            <w:vAlign w:val="center"/>
          </w:tcPr>
          <w:p w14:paraId="5FEC9EB0">
            <w:pPr>
              <w:jc w:val="center"/>
              <w:rPr>
                <w:rFonts w:ascii="宋体" w:hAnsi="宋体"/>
                <w:color w:val="auto"/>
                <w:szCs w:val="21"/>
              </w:rPr>
            </w:pPr>
            <w:r>
              <w:rPr>
                <w:rFonts w:hint="eastAsia" w:ascii="宋体" w:hAnsi="宋体"/>
                <w:color w:val="auto"/>
                <w:szCs w:val="21"/>
              </w:rPr>
              <w:t>知识库维护</w:t>
            </w:r>
          </w:p>
        </w:tc>
        <w:tc>
          <w:tcPr>
            <w:tcW w:w="6521" w:type="dxa"/>
            <w:noWrap/>
            <w:vAlign w:val="center"/>
          </w:tcPr>
          <w:p w14:paraId="7E6CF0A1">
            <w:pPr>
              <w:rPr>
                <w:rFonts w:ascii="宋体" w:hAnsi="宋体"/>
                <w:color w:val="auto"/>
                <w:szCs w:val="21"/>
              </w:rPr>
            </w:pPr>
            <w:r>
              <w:rPr>
                <w:rFonts w:hint="eastAsia" w:ascii="宋体" w:hAnsi="宋体"/>
                <w:color w:val="auto"/>
                <w:szCs w:val="21"/>
              </w:rPr>
              <w:t>系统自带临床医学、康复医学知识库。</w:t>
            </w:r>
          </w:p>
        </w:tc>
        <w:tc>
          <w:tcPr>
            <w:tcW w:w="776" w:type="dxa"/>
            <w:gridSpan w:val="2"/>
            <w:vMerge w:val="continue"/>
            <w:noWrap/>
            <w:vAlign w:val="center"/>
          </w:tcPr>
          <w:p w14:paraId="281261BD">
            <w:pPr>
              <w:jc w:val="center"/>
              <w:rPr>
                <w:rFonts w:ascii="宋体" w:hAnsi="宋体"/>
                <w:color w:val="auto"/>
                <w:szCs w:val="21"/>
              </w:rPr>
            </w:pPr>
          </w:p>
        </w:tc>
      </w:tr>
      <w:tr w14:paraId="2F47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6C5E18F5">
            <w:pPr>
              <w:jc w:val="center"/>
              <w:rPr>
                <w:rFonts w:ascii="宋体" w:hAnsi="宋体"/>
                <w:color w:val="auto"/>
                <w:szCs w:val="21"/>
              </w:rPr>
            </w:pPr>
          </w:p>
        </w:tc>
        <w:tc>
          <w:tcPr>
            <w:tcW w:w="1600" w:type="dxa"/>
            <w:gridSpan w:val="3"/>
            <w:vMerge w:val="continue"/>
            <w:noWrap/>
            <w:vAlign w:val="center"/>
          </w:tcPr>
          <w:p w14:paraId="3EFFA353">
            <w:pPr>
              <w:jc w:val="center"/>
              <w:rPr>
                <w:rFonts w:ascii="宋体" w:hAnsi="宋体"/>
                <w:color w:val="auto"/>
                <w:szCs w:val="21"/>
              </w:rPr>
            </w:pPr>
          </w:p>
        </w:tc>
        <w:tc>
          <w:tcPr>
            <w:tcW w:w="6521" w:type="dxa"/>
            <w:noWrap/>
            <w:vAlign w:val="center"/>
          </w:tcPr>
          <w:p w14:paraId="660F1331">
            <w:pPr>
              <w:rPr>
                <w:rFonts w:ascii="宋体" w:hAnsi="宋体"/>
                <w:color w:val="auto"/>
                <w:szCs w:val="21"/>
              </w:rPr>
            </w:pPr>
            <w:r>
              <w:rPr>
                <w:rFonts w:hint="eastAsia" w:ascii="宋体" w:hAnsi="宋体"/>
                <w:color w:val="auto"/>
                <w:szCs w:val="21"/>
              </w:rPr>
              <w:t>实现快速搜索、定位知识条目。</w:t>
            </w:r>
          </w:p>
        </w:tc>
        <w:tc>
          <w:tcPr>
            <w:tcW w:w="776" w:type="dxa"/>
            <w:gridSpan w:val="2"/>
            <w:vMerge w:val="continue"/>
            <w:noWrap/>
            <w:vAlign w:val="center"/>
          </w:tcPr>
          <w:p w14:paraId="3C274D9C">
            <w:pPr>
              <w:jc w:val="center"/>
              <w:rPr>
                <w:rFonts w:ascii="宋体" w:hAnsi="宋体"/>
                <w:color w:val="auto"/>
                <w:szCs w:val="21"/>
              </w:rPr>
            </w:pPr>
          </w:p>
        </w:tc>
      </w:tr>
      <w:tr w14:paraId="6932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446F4183">
            <w:pPr>
              <w:jc w:val="center"/>
              <w:rPr>
                <w:rFonts w:ascii="宋体" w:hAnsi="宋体"/>
                <w:color w:val="auto"/>
                <w:szCs w:val="21"/>
              </w:rPr>
            </w:pPr>
          </w:p>
        </w:tc>
        <w:tc>
          <w:tcPr>
            <w:tcW w:w="1600" w:type="dxa"/>
            <w:gridSpan w:val="3"/>
            <w:vMerge w:val="continue"/>
            <w:noWrap/>
            <w:vAlign w:val="center"/>
          </w:tcPr>
          <w:p w14:paraId="47C77C01">
            <w:pPr>
              <w:jc w:val="center"/>
              <w:rPr>
                <w:rFonts w:ascii="宋体" w:hAnsi="宋体"/>
                <w:color w:val="auto"/>
                <w:szCs w:val="21"/>
              </w:rPr>
            </w:pPr>
          </w:p>
        </w:tc>
        <w:tc>
          <w:tcPr>
            <w:tcW w:w="6521" w:type="dxa"/>
            <w:noWrap/>
            <w:vAlign w:val="center"/>
          </w:tcPr>
          <w:p w14:paraId="7944493E">
            <w:pPr>
              <w:rPr>
                <w:rFonts w:ascii="宋体" w:hAnsi="宋体"/>
                <w:color w:val="auto"/>
                <w:szCs w:val="21"/>
              </w:rPr>
            </w:pPr>
            <w:r>
              <w:rPr>
                <w:rFonts w:hint="eastAsia" w:ascii="宋体" w:hAnsi="宋体"/>
                <w:color w:val="auto"/>
                <w:szCs w:val="21"/>
              </w:rPr>
              <w:t>实现引用知识库内容。</w:t>
            </w:r>
          </w:p>
        </w:tc>
        <w:tc>
          <w:tcPr>
            <w:tcW w:w="776" w:type="dxa"/>
            <w:gridSpan w:val="2"/>
            <w:vMerge w:val="continue"/>
            <w:noWrap/>
            <w:vAlign w:val="center"/>
          </w:tcPr>
          <w:p w14:paraId="1621854B">
            <w:pPr>
              <w:jc w:val="center"/>
              <w:rPr>
                <w:rFonts w:ascii="宋体" w:hAnsi="宋体"/>
                <w:color w:val="auto"/>
                <w:szCs w:val="21"/>
              </w:rPr>
            </w:pPr>
          </w:p>
        </w:tc>
      </w:tr>
      <w:tr w14:paraId="34A1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2F247219">
            <w:pPr>
              <w:jc w:val="center"/>
              <w:rPr>
                <w:rFonts w:ascii="宋体" w:hAnsi="宋体"/>
                <w:color w:val="auto"/>
                <w:szCs w:val="21"/>
              </w:rPr>
            </w:pPr>
          </w:p>
        </w:tc>
        <w:tc>
          <w:tcPr>
            <w:tcW w:w="1600" w:type="dxa"/>
            <w:gridSpan w:val="3"/>
            <w:vMerge w:val="continue"/>
            <w:noWrap/>
            <w:vAlign w:val="center"/>
          </w:tcPr>
          <w:p w14:paraId="218F391A">
            <w:pPr>
              <w:jc w:val="center"/>
              <w:rPr>
                <w:rFonts w:ascii="宋体" w:hAnsi="宋体"/>
                <w:color w:val="auto"/>
                <w:szCs w:val="21"/>
              </w:rPr>
            </w:pPr>
          </w:p>
        </w:tc>
        <w:tc>
          <w:tcPr>
            <w:tcW w:w="6521" w:type="dxa"/>
            <w:noWrap/>
            <w:vAlign w:val="center"/>
          </w:tcPr>
          <w:p w14:paraId="0DFDE4E9">
            <w:pPr>
              <w:rPr>
                <w:rFonts w:ascii="宋体" w:hAnsi="宋体"/>
                <w:color w:val="auto"/>
                <w:szCs w:val="21"/>
              </w:rPr>
            </w:pPr>
            <w:r>
              <w:rPr>
                <w:rFonts w:hint="eastAsia" w:ascii="宋体" w:hAnsi="宋体"/>
                <w:color w:val="auto"/>
                <w:szCs w:val="21"/>
              </w:rPr>
              <w:t>实现个人知识库模板建立与编辑。</w:t>
            </w:r>
          </w:p>
        </w:tc>
        <w:tc>
          <w:tcPr>
            <w:tcW w:w="776" w:type="dxa"/>
            <w:gridSpan w:val="2"/>
            <w:vMerge w:val="continue"/>
            <w:noWrap/>
            <w:vAlign w:val="center"/>
          </w:tcPr>
          <w:p w14:paraId="10EA942A">
            <w:pPr>
              <w:jc w:val="center"/>
              <w:rPr>
                <w:rFonts w:ascii="宋体" w:hAnsi="宋体"/>
                <w:color w:val="auto"/>
                <w:szCs w:val="21"/>
              </w:rPr>
            </w:pPr>
          </w:p>
        </w:tc>
      </w:tr>
      <w:tr w14:paraId="1D9F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restart"/>
            <w:noWrap/>
            <w:vAlign w:val="center"/>
          </w:tcPr>
          <w:p w14:paraId="5DDED590">
            <w:pPr>
              <w:jc w:val="center"/>
              <w:rPr>
                <w:rFonts w:ascii="宋体" w:hAnsi="宋体"/>
                <w:color w:val="auto"/>
                <w:szCs w:val="21"/>
              </w:rPr>
            </w:pPr>
            <w:r>
              <w:rPr>
                <w:rFonts w:ascii="宋体" w:hAnsi="宋体"/>
                <w:color w:val="auto"/>
                <w:szCs w:val="21"/>
              </w:rPr>
              <w:t>会诊管理</w:t>
            </w:r>
          </w:p>
        </w:tc>
        <w:tc>
          <w:tcPr>
            <w:tcW w:w="1600" w:type="dxa"/>
            <w:gridSpan w:val="3"/>
            <w:noWrap/>
            <w:vAlign w:val="center"/>
          </w:tcPr>
          <w:p w14:paraId="4322C022">
            <w:pPr>
              <w:jc w:val="center"/>
              <w:rPr>
                <w:rFonts w:ascii="宋体" w:hAnsi="宋体"/>
                <w:color w:val="auto"/>
                <w:szCs w:val="21"/>
              </w:rPr>
            </w:pPr>
            <w:r>
              <w:rPr>
                <w:rFonts w:ascii="宋体" w:hAnsi="宋体"/>
                <w:color w:val="auto"/>
                <w:szCs w:val="21"/>
              </w:rPr>
              <w:t>申请会诊</w:t>
            </w:r>
          </w:p>
        </w:tc>
        <w:tc>
          <w:tcPr>
            <w:tcW w:w="6521" w:type="dxa"/>
            <w:noWrap/>
            <w:vAlign w:val="center"/>
          </w:tcPr>
          <w:p w14:paraId="3E5E2A1A">
            <w:pPr>
              <w:rPr>
                <w:rFonts w:ascii="宋体" w:hAnsi="宋体"/>
                <w:color w:val="auto"/>
                <w:szCs w:val="21"/>
              </w:rPr>
            </w:pPr>
            <w:r>
              <w:rPr>
                <w:rFonts w:hint="eastAsia" w:ascii="宋体" w:hAnsi="宋体"/>
                <w:color w:val="auto"/>
                <w:szCs w:val="21"/>
              </w:rPr>
              <w:t xml:space="preserve">实现申请、修改会诊类申请表。   </w:t>
            </w:r>
          </w:p>
        </w:tc>
        <w:tc>
          <w:tcPr>
            <w:tcW w:w="776" w:type="dxa"/>
            <w:gridSpan w:val="2"/>
            <w:vMerge w:val="continue"/>
            <w:noWrap/>
            <w:vAlign w:val="center"/>
          </w:tcPr>
          <w:p w14:paraId="128FBD8B">
            <w:pPr>
              <w:jc w:val="center"/>
              <w:rPr>
                <w:rFonts w:ascii="宋体" w:hAnsi="宋体"/>
                <w:color w:val="auto"/>
                <w:szCs w:val="21"/>
              </w:rPr>
            </w:pPr>
          </w:p>
        </w:tc>
      </w:tr>
      <w:tr w14:paraId="624AD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780DB112">
            <w:pPr>
              <w:jc w:val="center"/>
              <w:rPr>
                <w:rFonts w:ascii="宋体" w:hAnsi="宋体"/>
                <w:color w:val="auto"/>
                <w:szCs w:val="21"/>
              </w:rPr>
            </w:pPr>
          </w:p>
        </w:tc>
        <w:tc>
          <w:tcPr>
            <w:tcW w:w="1600" w:type="dxa"/>
            <w:gridSpan w:val="3"/>
            <w:noWrap/>
            <w:vAlign w:val="center"/>
          </w:tcPr>
          <w:p w14:paraId="6BA7E749">
            <w:pPr>
              <w:jc w:val="center"/>
              <w:rPr>
                <w:rFonts w:ascii="宋体" w:hAnsi="宋体"/>
                <w:color w:val="auto"/>
                <w:szCs w:val="21"/>
              </w:rPr>
            </w:pPr>
            <w:r>
              <w:rPr>
                <w:rFonts w:ascii="宋体" w:hAnsi="宋体"/>
                <w:color w:val="auto"/>
                <w:szCs w:val="21"/>
              </w:rPr>
              <w:t>查看会诊</w:t>
            </w:r>
          </w:p>
        </w:tc>
        <w:tc>
          <w:tcPr>
            <w:tcW w:w="6521" w:type="dxa"/>
            <w:noWrap/>
            <w:vAlign w:val="center"/>
          </w:tcPr>
          <w:p w14:paraId="43369768">
            <w:pPr>
              <w:rPr>
                <w:rFonts w:ascii="宋体" w:hAnsi="宋体"/>
                <w:color w:val="auto"/>
                <w:szCs w:val="21"/>
              </w:rPr>
            </w:pPr>
            <w:r>
              <w:rPr>
                <w:rFonts w:hint="eastAsia" w:ascii="宋体" w:hAnsi="宋体"/>
                <w:color w:val="auto"/>
                <w:szCs w:val="21"/>
              </w:rPr>
              <w:t>实现查看会诊意见。</w:t>
            </w:r>
          </w:p>
        </w:tc>
        <w:tc>
          <w:tcPr>
            <w:tcW w:w="776" w:type="dxa"/>
            <w:gridSpan w:val="2"/>
            <w:vMerge w:val="continue"/>
            <w:noWrap/>
            <w:vAlign w:val="center"/>
          </w:tcPr>
          <w:p w14:paraId="3B145AF3">
            <w:pPr>
              <w:jc w:val="center"/>
              <w:rPr>
                <w:rFonts w:ascii="宋体" w:hAnsi="宋体"/>
                <w:color w:val="auto"/>
                <w:szCs w:val="21"/>
              </w:rPr>
            </w:pPr>
          </w:p>
        </w:tc>
      </w:tr>
      <w:tr w14:paraId="2282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28A8FB26">
            <w:pPr>
              <w:jc w:val="center"/>
              <w:rPr>
                <w:rFonts w:ascii="宋体" w:hAnsi="宋体"/>
                <w:color w:val="auto"/>
                <w:szCs w:val="21"/>
              </w:rPr>
            </w:pPr>
          </w:p>
        </w:tc>
        <w:tc>
          <w:tcPr>
            <w:tcW w:w="1600" w:type="dxa"/>
            <w:gridSpan w:val="3"/>
            <w:noWrap/>
            <w:vAlign w:val="center"/>
          </w:tcPr>
          <w:p w14:paraId="6C441E5A">
            <w:pPr>
              <w:jc w:val="center"/>
              <w:rPr>
                <w:rFonts w:ascii="宋体" w:hAnsi="宋体"/>
                <w:color w:val="auto"/>
                <w:szCs w:val="21"/>
              </w:rPr>
            </w:pPr>
            <w:r>
              <w:rPr>
                <w:rFonts w:ascii="宋体" w:hAnsi="宋体"/>
                <w:color w:val="auto"/>
                <w:szCs w:val="21"/>
              </w:rPr>
              <w:t>书写会诊</w:t>
            </w:r>
          </w:p>
        </w:tc>
        <w:tc>
          <w:tcPr>
            <w:tcW w:w="6521" w:type="dxa"/>
            <w:noWrap/>
            <w:vAlign w:val="center"/>
          </w:tcPr>
          <w:p w14:paraId="7345D570">
            <w:pPr>
              <w:rPr>
                <w:rFonts w:ascii="宋体" w:hAnsi="宋体"/>
                <w:color w:val="auto"/>
                <w:szCs w:val="21"/>
              </w:rPr>
            </w:pPr>
            <w:r>
              <w:rPr>
                <w:rFonts w:hint="eastAsia" w:ascii="宋体" w:hAnsi="宋体"/>
                <w:color w:val="auto"/>
                <w:szCs w:val="21"/>
              </w:rPr>
              <w:t>实现会诊意见书写及修改；可通过会诊界面查看病人全部资料。</w:t>
            </w:r>
          </w:p>
        </w:tc>
        <w:tc>
          <w:tcPr>
            <w:tcW w:w="776" w:type="dxa"/>
            <w:gridSpan w:val="2"/>
            <w:vMerge w:val="continue"/>
            <w:noWrap/>
            <w:vAlign w:val="center"/>
          </w:tcPr>
          <w:p w14:paraId="6E7FF4CC">
            <w:pPr>
              <w:jc w:val="center"/>
              <w:rPr>
                <w:rFonts w:ascii="宋体" w:hAnsi="宋体"/>
                <w:color w:val="auto"/>
                <w:szCs w:val="21"/>
              </w:rPr>
            </w:pPr>
          </w:p>
        </w:tc>
      </w:tr>
      <w:tr w14:paraId="288D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restart"/>
            <w:noWrap/>
            <w:vAlign w:val="center"/>
          </w:tcPr>
          <w:p w14:paraId="2BD2C8FA">
            <w:pPr>
              <w:jc w:val="center"/>
              <w:rPr>
                <w:rFonts w:ascii="宋体" w:hAnsi="宋体"/>
                <w:color w:val="auto"/>
                <w:szCs w:val="21"/>
              </w:rPr>
            </w:pPr>
            <w:r>
              <w:rPr>
                <w:rFonts w:ascii="宋体" w:hAnsi="宋体"/>
                <w:color w:val="auto"/>
                <w:szCs w:val="21"/>
              </w:rPr>
              <w:t>智能提醒</w:t>
            </w:r>
          </w:p>
        </w:tc>
        <w:tc>
          <w:tcPr>
            <w:tcW w:w="1600" w:type="dxa"/>
            <w:gridSpan w:val="3"/>
            <w:noWrap/>
            <w:vAlign w:val="center"/>
          </w:tcPr>
          <w:p w14:paraId="1CFC0AE8">
            <w:pPr>
              <w:jc w:val="center"/>
              <w:rPr>
                <w:rFonts w:ascii="宋体" w:hAnsi="宋体"/>
                <w:color w:val="auto"/>
                <w:szCs w:val="21"/>
              </w:rPr>
            </w:pPr>
            <w:r>
              <w:rPr>
                <w:rFonts w:hint="eastAsia" w:ascii="宋体" w:hAnsi="宋体"/>
                <w:color w:val="auto"/>
                <w:szCs w:val="21"/>
              </w:rPr>
              <w:t>规则配置</w:t>
            </w:r>
          </w:p>
        </w:tc>
        <w:tc>
          <w:tcPr>
            <w:tcW w:w="6521" w:type="dxa"/>
            <w:noWrap/>
            <w:vAlign w:val="center"/>
          </w:tcPr>
          <w:p w14:paraId="381F7444">
            <w:pPr>
              <w:rPr>
                <w:rFonts w:ascii="宋体" w:hAnsi="宋体"/>
                <w:color w:val="auto"/>
                <w:szCs w:val="21"/>
              </w:rPr>
            </w:pPr>
            <w:r>
              <w:rPr>
                <w:rFonts w:hint="eastAsia" w:ascii="宋体" w:hAnsi="宋体"/>
                <w:color w:val="auto"/>
                <w:szCs w:val="21"/>
              </w:rPr>
              <w:t>配置智能提醒任务清单的生成规则。</w:t>
            </w:r>
          </w:p>
        </w:tc>
        <w:tc>
          <w:tcPr>
            <w:tcW w:w="776" w:type="dxa"/>
            <w:gridSpan w:val="2"/>
            <w:vMerge w:val="continue"/>
            <w:noWrap/>
            <w:vAlign w:val="center"/>
          </w:tcPr>
          <w:p w14:paraId="4C75853A">
            <w:pPr>
              <w:jc w:val="center"/>
              <w:rPr>
                <w:rFonts w:ascii="宋体" w:hAnsi="宋体"/>
                <w:color w:val="auto"/>
                <w:szCs w:val="21"/>
              </w:rPr>
            </w:pPr>
          </w:p>
        </w:tc>
      </w:tr>
      <w:tr w14:paraId="6284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724818D1">
            <w:pPr>
              <w:jc w:val="center"/>
              <w:rPr>
                <w:rFonts w:ascii="宋体" w:hAnsi="宋体"/>
                <w:color w:val="auto"/>
                <w:szCs w:val="21"/>
              </w:rPr>
            </w:pPr>
          </w:p>
        </w:tc>
        <w:tc>
          <w:tcPr>
            <w:tcW w:w="1600" w:type="dxa"/>
            <w:gridSpan w:val="3"/>
            <w:vMerge w:val="restart"/>
            <w:noWrap/>
            <w:vAlign w:val="center"/>
          </w:tcPr>
          <w:p w14:paraId="64C685B9">
            <w:pPr>
              <w:jc w:val="center"/>
              <w:rPr>
                <w:rFonts w:ascii="宋体" w:hAnsi="宋体"/>
                <w:color w:val="auto"/>
                <w:szCs w:val="21"/>
              </w:rPr>
            </w:pPr>
            <w:r>
              <w:rPr>
                <w:rFonts w:hint="eastAsia" w:ascii="宋体" w:hAnsi="宋体"/>
                <w:color w:val="auto"/>
                <w:szCs w:val="21"/>
              </w:rPr>
              <w:t>任务清单</w:t>
            </w:r>
          </w:p>
        </w:tc>
        <w:tc>
          <w:tcPr>
            <w:tcW w:w="6521" w:type="dxa"/>
            <w:noWrap/>
            <w:vAlign w:val="center"/>
          </w:tcPr>
          <w:p w14:paraId="673D97F9">
            <w:pPr>
              <w:rPr>
                <w:rFonts w:ascii="宋体" w:hAnsi="宋体"/>
                <w:color w:val="auto"/>
                <w:szCs w:val="21"/>
              </w:rPr>
            </w:pPr>
            <w:r>
              <w:rPr>
                <w:rFonts w:hint="eastAsia" w:ascii="宋体" w:hAnsi="宋体"/>
                <w:color w:val="auto"/>
                <w:szCs w:val="21"/>
              </w:rPr>
              <w:t>可添加、编辑个人自定义提醒清单。</w:t>
            </w:r>
          </w:p>
        </w:tc>
        <w:tc>
          <w:tcPr>
            <w:tcW w:w="776" w:type="dxa"/>
            <w:gridSpan w:val="2"/>
            <w:vMerge w:val="continue"/>
            <w:noWrap/>
            <w:vAlign w:val="center"/>
          </w:tcPr>
          <w:p w14:paraId="65EA8096">
            <w:pPr>
              <w:jc w:val="center"/>
              <w:rPr>
                <w:rFonts w:ascii="宋体" w:hAnsi="宋体"/>
                <w:color w:val="auto"/>
                <w:szCs w:val="21"/>
              </w:rPr>
            </w:pPr>
          </w:p>
        </w:tc>
      </w:tr>
      <w:tr w14:paraId="1390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02882E25">
            <w:pPr>
              <w:jc w:val="center"/>
              <w:rPr>
                <w:rFonts w:ascii="宋体" w:hAnsi="宋体"/>
                <w:color w:val="auto"/>
                <w:szCs w:val="21"/>
              </w:rPr>
            </w:pPr>
          </w:p>
        </w:tc>
        <w:tc>
          <w:tcPr>
            <w:tcW w:w="1600" w:type="dxa"/>
            <w:gridSpan w:val="3"/>
            <w:vMerge w:val="continue"/>
            <w:noWrap/>
            <w:vAlign w:val="center"/>
          </w:tcPr>
          <w:p w14:paraId="7871B60B">
            <w:pPr>
              <w:jc w:val="center"/>
              <w:rPr>
                <w:rFonts w:ascii="宋体" w:hAnsi="宋体"/>
                <w:color w:val="auto"/>
                <w:szCs w:val="21"/>
              </w:rPr>
            </w:pPr>
          </w:p>
        </w:tc>
        <w:tc>
          <w:tcPr>
            <w:tcW w:w="6521" w:type="dxa"/>
            <w:noWrap/>
            <w:vAlign w:val="center"/>
          </w:tcPr>
          <w:p w14:paraId="22E0B681">
            <w:pPr>
              <w:rPr>
                <w:rFonts w:ascii="宋体" w:hAnsi="宋体"/>
                <w:color w:val="auto"/>
                <w:szCs w:val="21"/>
              </w:rPr>
            </w:pPr>
            <w:r>
              <w:rPr>
                <w:rFonts w:hint="eastAsia" w:ascii="宋体" w:hAnsi="宋体"/>
                <w:color w:val="auto"/>
                <w:szCs w:val="21"/>
              </w:rPr>
              <w:t>在患者详情页面信息栏，可查看该患者当天所有待完成事项及数量。</w:t>
            </w:r>
          </w:p>
        </w:tc>
        <w:tc>
          <w:tcPr>
            <w:tcW w:w="776" w:type="dxa"/>
            <w:gridSpan w:val="2"/>
            <w:vMerge w:val="continue"/>
            <w:noWrap/>
            <w:vAlign w:val="center"/>
          </w:tcPr>
          <w:p w14:paraId="27992660">
            <w:pPr>
              <w:jc w:val="center"/>
              <w:rPr>
                <w:rFonts w:ascii="宋体" w:hAnsi="宋体"/>
                <w:color w:val="auto"/>
                <w:szCs w:val="21"/>
              </w:rPr>
            </w:pPr>
          </w:p>
        </w:tc>
      </w:tr>
      <w:tr w14:paraId="362C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71D9BC64">
            <w:pPr>
              <w:jc w:val="center"/>
              <w:rPr>
                <w:rFonts w:ascii="宋体" w:hAnsi="宋体"/>
                <w:color w:val="auto"/>
                <w:szCs w:val="21"/>
              </w:rPr>
            </w:pPr>
          </w:p>
        </w:tc>
        <w:tc>
          <w:tcPr>
            <w:tcW w:w="1600" w:type="dxa"/>
            <w:gridSpan w:val="3"/>
            <w:noWrap/>
            <w:vAlign w:val="center"/>
          </w:tcPr>
          <w:p w14:paraId="5E3005AB">
            <w:pPr>
              <w:jc w:val="center"/>
              <w:rPr>
                <w:rFonts w:ascii="宋体" w:hAnsi="宋体"/>
                <w:color w:val="auto"/>
                <w:szCs w:val="21"/>
              </w:rPr>
            </w:pPr>
            <w:r>
              <w:rPr>
                <w:rFonts w:ascii="宋体" w:hAnsi="宋体"/>
                <w:color w:val="auto"/>
                <w:szCs w:val="21"/>
              </w:rPr>
              <w:t>会诊超时提醒</w:t>
            </w:r>
          </w:p>
        </w:tc>
        <w:tc>
          <w:tcPr>
            <w:tcW w:w="6521" w:type="dxa"/>
            <w:noWrap/>
            <w:vAlign w:val="center"/>
          </w:tcPr>
          <w:p w14:paraId="0ACB3C55">
            <w:pPr>
              <w:rPr>
                <w:rFonts w:ascii="宋体" w:hAnsi="宋体"/>
                <w:color w:val="auto"/>
                <w:szCs w:val="21"/>
              </w:rPr>
            </w:pPr>
            <w:r>
              <w:rPr>
                <w:rFonts w:hint="eastAsia" w:ascii="宋体" w:hAnsi="宋体"/>
                <w:color w:val="auto"/>
                <w:szCs w:val="21"/>
              </w:rPr>
              <w:t>提醒主管医生及会诊医生已超时或即将超时的会诊申请。</w:t>
            </w:r>
          </w:p>
        </w:tc>
        <w:tc>
          <w:tcPr>
            <w:tcW w:w="776" w:type="dxa"/>
            <w:gridSpan w:val="2"/>
            <w:vMerge w:val="continue"/>
            <w:noWrap/>
            <w:vAlign w:val="center"/>
          </w:tcPr>
          <w:p w14:paraId="127A1E77">
            <w:pPr>
              <w:jc w:val="center"/>
              <w:rPr>
                <w:rFonts w:ascii="宋体" w:hAnsi="宋体"/>
                <w:color w:val="auto"/>
                <w:szCs w:val="21"/>
              </w:rPr>
            </w:pPr>
          </w:p>
        </w:tc>
      </w:tr>
      <w:tr w14:paraId="658C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7F601987">
            <w:pPr>
              <w:jc w:val="center"/>
              <w:rPr>
                <w:rFonts w:ascii="宋体" w:hAnsi="宋体"/>
                <w:color w:val="auto"/>
                <w:szCs w:val="21"/>
              </w:rPr>
            </w:pPr>
          </w:p>
        </w:tc>
        <w:tc>
          <w:tcPr>
            <w:tcW w:w="1600" w:type="dxa"/>
            <w:gridSpan w:val="3"/>
            <w:noWrap/>
            <w:vAlign w:val="center"/>
          </w:tcPr>
          <w:p w14:paraId="4960858E">
            <w:pPr>
              <w:jc w:val="center"/>
              <w:rPr>
                <w:rFonts w:ascii="宋体" w:hAnsi="宋体"/>
                <w:color w:val="auto"/>
                <w:szCs w:val="21"/>
              </w:rPr>
            </w:pPr>
            <w:r>
              <w:rPr>
                <w:rFonts w:ascii="宋体" w:hAnsi="宋体"/>
                <w:color w:val="auto"/>
                <w:szCs w:val="21"/>
              </w:rPr>
              <w:t>病程提醒</w:t>
            </w:r>
          </w:p>
        </w:tc>
        <w:tc>
          <w:tcPr>
            <w:tcW w:w="6521" w:type="dxa"/>
            <w:noWrap/>
            <w:vAlign w:val="center"/>
          </w:tcPr>
          <w:p w14:paraId="5472EAFF">
            <w:pPr>
              <w:rPr>
                <w:rFonts w:ascii="宋体" w:hAnsi="宋体"/>
                <w:color w:val="auto"/>
                <w:szCs w:val="21"/>
              </w:rPr>
            </w:pPr>
            <w:r>
              <w:rPr>
                <w:rFonts w:hint="eastAsia" w:ascii="宋体" w:hAnsi="宋体" w:cs="宋体"/>
                <w:color w:val="auto"/>
                <w:szCs w:val="21"/>
              </w:rPr>
              <w:t>对医师每日需完成的所有病程进行提醒。</w:t>
            </w:r>
          </w:p>
        </w:tc>
        <w:tc>
          <w:tcPr>
            <w:tcW w:w="776" w:type="dxa"/>
            <w:gridSpan w:val="2"/>
            <w:vMerge w:val="continue"/>
            <w:noWrap/>
            <w:vAlign w:val="center"/>
          </w:tcPr>
          <w:p w14:paraId="194D4D2F">
            <w:pPr>
              <w:jc w:val="center"/>
              <w:rPr>
                <w:rFonts w:ascii="宋体" w:hAnsi="宋体"/>
                <w:color w:val="auto"/>
                <w:szCs w:val="21"/>
              </w:rPr>
            </w:pPr>
          </w:p>
        </w:tc>
      </w:tr>
      <w:tr w14:paraId="6A12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2BACDFC6">
            <w:pPr>
              <w:jc w:val="center"/>
              <w:rPr>
                <w:rFonts w:ascii="宋体" w:hAnsi="宋体"/>
                <w:color w:val="auto"/>
                <w:szCs w:val="21"/>
              </w:rPr>
            </w:pPr>
          </w:p>
        </w:tc>
        <w:tc>
          <w:tcPr>
            <w:tcW w:w="1600" w:type="dxa"/>
            <w:gridSpan w:val="3"/>
            <w:noWrap/>
            <w:vAlign w:val="center"/>
          </w:tcPr>
          <w:p w14:paraId="51D7D093">
            <w:pPr>
              <w:jc w:val="center"/>
              <w:rPr>
                <w:rFonts w:ascii="宋体" w:hAnsi="宋体"/>
                <w:color w:val="auto"/>
                <w:szCs w:val="21"/>
              </w:rPr>
            </w:pPr>
            <w:r>
              <w:rPr>
                <w:rFonts w:ascii="宋体" w:hAnsi="宋体"/>
                <w:color w:val="auto"/>
                <w:szCs w:val="21"/>
              </w:rPr>
              <w:t>首页填写提醒</w:t>
            </w:r>
          </w:p>
        </w:tc>
        <w:tc>
          <w:tcPr>
            <w:tcW w:w="6521" w:type="dxa"/>
            <w:noWrap/>
            <w:vAlign w:val="center"/>
          </w:tcPr>
          <w:p w14:paraId="1F0E5A6D">
            <w:pPr>
              <w:spacing w:line="380" w:lineRule="exact"/>
              <w:rPr>
                <w:rFonts w:ascii="宋体" w:hAnsi="宋体"/>
                <w:color w:val="auto"/>
                <w:kern w:val="0"/>
                <w:szCs w:val="21"/>
              </w:rPr>
            </w:pPr>
            <w:r>
              <w:rPr>
                <w:rFonts w:hint="eastAsia" w:ascii="宋体" w:hAnsi="宋体" w:cs="宋体"/>
                <w:color w:val="auto"/>
                <w:szCs w:val="21"/>
              </w:rPr>
              <w:t>对未完成的病案首页在出院24小时内进行提醒。</w:t>
            </w:r>
          </w:p>
        </w:tc>
        <w:tc>
          <w:tcPr>
            <w:tcW w:w="776" w:type="dxa"/>
            <w:gridSpan w:val="2"/>
            <w:vMerge w:val="continue"/>
            <w:noWrap/>
            <w:vAlign w:val="center"/>
          </w:tcPr>
          <w:p w14:paraId="34CAC359">
            <w:pPr>
              <w:jc w:val="center"/>
              <w:rPr>
                <w:rFonts w:ascii="宋体" w:hAnsi="宋体"/>
                <w:color w:val="auto"/>
                <w:szCs w:val="21"/>
              </w:rPr>
            </w:pPr>
          </w:p>
        </w:tc>
      </w:tr>
      <w:tr w14:paraId="103F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3E6FAEB9">
            <w:pPr>
              <w:jc w:val="center"/>
              <w:rPr>
                <w:rFonts w:ascii="宋体" w:hAnsi="宋体"/>
                <w:color w:val="auto"/>
                <w:szCs w:val="21"/>
              </w:rPr>
            </w:pPr>
          </w:p>
        </w:tc>
        <w:tc>
          <w:tcPr>
            <w:tcW w:w="1600" w:type="dxa"/>
            <w:gridSpan w:val="3"/>
            <w:noWrap/>
            <w:vAlign w:val="center"/>
          </w:tcPr>
          <w:p w14:paraId="39914205">
            <w:pPr>
              <w:jc w:val="center"/>
              <w:rPr>
                <w:rFonts w:ascii="宋体" w:hAnsi="宋体"/>
                <w:color w:val="auto"/>
                <w:szCs w:val="21"/>
              </w:rPr>
            </w:pPr>
            <w:r>
              <w:rPr>
                <w:rFonts w:ascii="宋体" w:hAnsi="宋体"/>
                <w:color w:val="auto"/>
                <w:szCs w:val="21"/>
              </w:rPr>
              <w:t>签名超时提示</w:t>
            </w:r>
          </w:p>
        </w:tc>
        <w:tc>
          <w:tcPr>
            <w:tcW w:w="6521" w:type="dxa"/>
            <w:noWrap/>
            <w:vAlign w:val="center"/>
          </w:tcPr>
          <w:p w14:paraId="56E601FD">
            <w:pPr>
              <w:rPr>
                <w:rFonts w:ascii="宋体" w:hAnsi="宋体"/>
                <w:color w:val="auto"/>
                <w:szCs w:val="21"/>
              </w:rPr>
            </w:pPr>
            <w:r>
              <w:rPr>
                <w:rFonts w:hint="eastAsia" w:ascii="宋体" w:hAnsi="宋体"/>
                <w:color w:val="auto"/>
                <w:szCs w:val="21"/>
              </w:rPr>
              <w:t>超24小时未签名的病历文书进行</w:t>
            </w:r>
            <w:r>
              <w:rPr>
                <w:rFonts w:hint="eastAsia" w:ascii="宋体" w:hAnsi="宋体" w:cs="宋体"/>
                <w:color w:val="auto"/>
                <w:szCs w:val="21"/>
              </w:rPr>
              <w:t>提醒。</w:t>
            </w:r>
          </w:p>
        </w:tc>
        <w:tc>
          <w:tcPr>
            <w:tcW w:w="776" w:type="dxa"/>
            <w:gridSpan w:val="2"/>
            <w:vMerge w:val="continue"/>
            <w:noWrap/>
            <w:vAlign w:val="center"/>
          </w:tcPr>
          <w:p w14:paraId="345A838E">
            <w:pPr>
              <w:jc w:val="center"/>
              <w:rPr>
                <w:rFonts w:ascii="宋体" w:hAnsi="宋体"/>
                <w:color w:val="auto"/>
                <w:szCs w:val="21"/>
              </w:rPr>
            </w:pPr>
          </w:p>
        </w:tc>
      </w:tr>
      <w:tr w14:paraId="33D4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0" w:type="dxa"/>
            <w:gridSpan w:val="2"/>
            <w:vMerge w:val="continue"/>
            <w:noWrap/>
            <w:vAlign w:val="center"/>
          </w:tcPr>
          <w:p w14:paraId="38512C7B">
            <w:pPr>
              <w:jc w:val="center"/>
              <w:rPr>
                <w:rFonts w:ascii="宋体" w:hAnsi="宋体"/>
                <w:color w:val="auto"/>
                <w:szCs w:val="21"/>
              </w:rPr>
            </w:pPr>
          </w:p>
        </w:tc>
        <w:tc>
          <w:tcPr>
            <w:tcW w:w="1600" w:type="dxa"/>
            <w:gridSpan w:val="3"/>
            <w:noWrap/>
            <w:vAlign w:val="center"/>
          </w:tcPr>
          <w:p w14:paraId="6A20EEB8">
            <w:pPr>
              <w:jc w:val="center"/>
              <w:rPr>
                <w:rFonts w:ascii="宋体" w:hAnsi="宋体"/>
                <w:color w:val="auto"/>
                <w:szCs w:val="21"/>
              </w:rPr>
            </w:pPr>
            <w:r>
              <w:rPr>
                <w:rFonts w:hint="eastAsia" w:ascii="宋体" w:hAnsi="宋体"/>
                <w:color w:val="auto"/>
                <w:szCs w:val="21"/>
              </w:rPr>
              <w:t>必填项提醒</w:t>
            </w:r>
          </w:p>
        </w:tc>
        <w:tc>
          <w:tcPr>
            <w:tcW w:w="6521" w:type="dxa"/>
            <w:noWrap/>
            <w:vAlign w:val="center"/>
          </w:tcPr>
          <w:p w14:paraId="49695893">
            <w:pPr>
              <w:rPr>
                <w:rFonts w:ascii="宋体" w:hAnsi="宋体"/>
                <w:color w:val="auto"/>
                <w:szCs w:val="21"/>
              </w:rPr>
            </w:pPr>
            <w:r>
              <w:rPr>
                <w:rFonts w:hint="eastAsia" w:ascii="宋体" w:hAnsi="宋体"/>
                <w:color w:val="auto"/>
                <w:szCs w:val="21"/>
              </w:rPr>
              <w:t>可设置病历、文书、表格类的必填项目，在保存时提醒漏填的项目。</w:t>
            </w:r>
          </w:p>
        </w:tc>
        <w:tc>
          <w:tcPr>
            <w:tcW w:w="776" w:type="dxa"/>
            <w:gridSpan w:val="2"/>
            <w:vMerge w:val="continue"/>
            <w:noWrap/>
            <w:vAlign w:val="center"/>
          </w:tcPr>
          <w:p w14:paraId="50FBDB76">
            <w:pPr>
              <w:jc w:val="center"/>
              <w:rPr>
                <w:rFonts w:ascii="宋体" w:hAnsi="宋体"/>
                <w:color w:val="auto"/>
                <w:szCs w:val="21"/>
              </w:rPr>
            </w:pPr>
          </w:p>
        </w:tc>
      </w:tr>
      <w:tr w14:paraId="5895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152E8A4F">
            <w:pPr>
              <w:jc w:val="center"/>
              <w:rPr>
                <w:rFonts w:ascii="宋体" w:hAnsi="宋体"/>
                <w:color w:val="auto"/>
                <w:szCs w:val="21"/>
              </w:rPr>
            </w:pPr>
          </w:p>
        </w:tc>
        <w:tc>
          <w:tcPr>
            <w:tcW w:w="1600" w:type="dxa"/>
            <w:gridSpan w:val="3"/>
            <w:noWrap/>
            <w:vAlign w:val="center"/>
          </w:tcPr>
          <w:p w14:paraId="6A1F0263">
            <w:pPr>
              <w:jc w:val="center"/>
              <w:rPr>
                <w:rFonts w:ascii="宋体" w:hAnsi="宋体"/>
                <w:color w:val="auto"/>
                <w:szCs w:val="21"/>
              </w:rPr>
            </w:pPr>
            <w:r>
              <w:rPr>
                <w:rFonts w:hint="eastAsia" w:ascii="宋体" w:hAnsi="宋体"/>
                <w:color w:val="auto"/>
                <w:szCs w:val="21"/>
              </w:rPr>
              <w:t>质控提醒</w:t>
            </w:r>
          </w:p>
        </w:tc>
        <w:tc>
          <w:tcPr>
            <w:tcW w:w="6521" w:type="dxa"/>
            <w:noWrap/>
            <w:vAlign w:val="center"/>
          </w:tcPr>
          <w:p w14:paraId="40CFF238">
            <w:pPr>
              <w:jc w:val="left"/>
              <w:rPr>
                <w:rFonts w:ascii="宋体" w:hAnsi="宋体"/>
                <w:color w:val="auto"/>
                <w:szCs w:val="21"/>
              </w:rPr>
            </w:pPr>
            <w:r>
              <w:rPr>
                <w:rFonts w:hint="eastAsia" w:ascii="宋体" w:hAnsi="宋体" w:cs="宋体"/>
                <w:color w:val="auto"/>
                <w:szCs w:val="21"/>
              </w:rPr>
              <w:t>提供病历保存质控提醒，针对病历中的重要缺陷或漏填项，实现医生病历保存时的质控提醒。</w:t>
            </w:r>
          </w:p>
        </w:tc>
        <w:tc>
          <w:tcPr>
            <w:tcW w:w="776" w:type="dxa"/>
            <w:gridSpan w:val="2"/>
            <w:vMerge w:val="continue"/>
            <w:noWrap/>
            <w:vAlign w:val="center"/>
          </w:tcPr>
          <w:p w14:paraId="762B94A9">
            <w:pPr>
              <w:jc w:val="center"/>
              <w:rPr>
                <w:rFonts w:ascii="宋体" w:hAnsi="宋体"/>
                <w:color w:val="auto"/>
                <w:szCs w:val="21"/>
              </w:rPr>
            </w:pPr>
          </w:p>
        </w:tc>
      </w:tr>
      <w:tr w14:paraId="4716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restart"/>
            <w:noWrap/>
            <w:vAlign w:val="center"/>
          </w:tcPr>
          <w:p w14:paraId="2431E74A">
            <w:pPr>
              <w:jc w:val="center"/>
              <w:rPr>
                <w:rFonts w:ascii="宋体" w:hAnsi="宋体"/>
                <w:color w:val="auto"/>
                <w:szCs w:val="21"/>
              </w:rPr>
            </w:pPr>
            <w:r>
              <w:rPr>
                <w:rFonts w:hint="eastAsia" w:ascii="宋体" w:hAnsi="宋体"/>
                <w:color w:val="auto"/>
                <w:szCs w:val="21"/>
              </w:rPr>
              <w:t>体征信息</w:t>
            </w:r>
          </w:p>
        </w:tc>
        <w:tc>
          <w:tcPr>
            <w:tcW w:w="1600" w:type="dxa"/>
            <w:gridSpan w:val="3"/>
            <w:noWrap/>
            <w:vAlign w:val="center"/>
          </w:tcPr>
          <w:p w14:paraId="1D40B100">
            <w:pPr>
              <w:jc w:val="center"/>
              <w:rPr>
                <w:rFonts w:ascii="宋体" w:hAnsi="宋体"/>
                <w:color w:val="auto"/>
                <w:szCs w:val="21"/>
              </w:rPr>
            </w:pPr>
            <w:r>
              <w:rPr>
                <w:rFonts w:hint="eastAsia" w:ascii="宋体" w:hAnsi="宋体"/>
                <w:color w:val="auto"/>
                <w:szCs w:val="21"/>
              </w:rPr>
              <w:t>体征数据查询</w:t>
            </w:r>
          </w:p>
        </w:tc>
        <w:tc>
          <w:tcPr>
            <w:tcW w:w="6521" w:type="dxa"/>
            <w:noWrap/>
            <w:vAlign w:val="center"/>
          </w:tcPr>
          <w:p w14:paraId="14B8BCF6">
            <w:pPr>
              <w:jc w:val="left"/>
              <w:rPr>
                <w:rFonts w:ascii="宋体" w:hAnsi="宋体"/>
                <w:color w:val="auto"/>
                <w:szCs w:val="21"/>
              </w:rPr>
            </w:pPr>
            <w:r>
              <w:rPr>
                <w:rFonts w:hint="eastAsia" w:ascii="宋体" w:hAnsi="宋体"/>
                <w:color w:val="auto"/>
                <w:szCs w:val="21"/>
              </w:rPr>
              <w:t xml:space="preserve"> 根据临床业务显示体征数据，包括：体温（包括物理降温），脉搏（心跳/房颤），呼吸，血压、血糖、血氧饱和度等基本生命体征。可查询CVP、出入量等每日需监测的数据。</w:t>
            </w:r>
          </w:p>
        </w:tc>
        <w:tc>
          <w:tcPr>
            <w:tcW w:w="776" w:type="dxa"/>
            <w:gridSpan w:val="2"/>
            <w:vMerge w:val="continue"/>
            <w:noWrap/>
            <w:vAlign w:val="center"/>
          </w:tcPr>
          <w:p w14:paraId="014655AE">
            <w:pPr>
              <w:jc w:val="center"/>
              <w:rPr>
                <w:rFonts w:ascii="宋体" w:hAnsi="宋体"/>
                <w:color w:val="auto"/>
                <w:szCs w:val="21"/>
              </w:rPr>
            </w:pPr>
          </w:p>
        </w:tc>
      </w:tr>
      <w:tr w14:paraId="267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6AA43BAD">
            <w:pPr>
              <w:jc w:val="center"/>
              <w:rPr>
                <w:rFonts w:ascii="宋体" w:hAnsi="宋体"/>
                <w:color w:val="auto"/>
                <w:szCs w:val="21"/>
              </w:rPr>
            </w:pPr>
          </w:p>
        </w:tc>
        <w:tc>
          <w:tcPr>
            <w:tcW w:w="1600" w:type="dxa"/>
            <w:gridSpan w:val="3"/>
            <w:noWrap/>
            <w:vAlign w:val="center"/>
          </w:tcPr>
          <w:p w14:paraId="61C72D44">
            <w:pPr>
              <w:jc w:val="center"/>
              <w:rPr>
                <w:rFonts w:ascii="宋体" w:hAnsi="宋体"/>
                <w:color w:val="auto"/>
                <w:szCs w:val="21"/>
              </w:rPr>
            </w:pPr>
            <w:r>
              <w:rPr>
                <w:rFonts w:hint="eastAsia" w:ascii="宋体" w:hAnsi="宋体"/>
                <w:color w:val="auto"/>
                <w:szCs w:val="21"/>
              </w:rPr>
              <w:t>连续体温单显示</w:t>
            </w:r>
          </w:p>
        </w:tc>
        <w:tc>
          <w:tcPr>
            <w:tcW w:w="6521" w:type="dxa"/>
            <w:noWrap/>
            <w:vAlign w:val="center"/>
          </w:tcPr>
          <w:p w14:paraId="123189D2">
            <w:pPr>
              <w:jc w:val="left"/>
              <w:rPr>
                <w:rFonts w:ascii="宋体" w:hAnsi="宋体"/>
                <w:color w:val="auto"/>
                <w:szCs w:val="21"/>
              </w:rPr>
            </w:pPr>
            <w:r>
              <w:rPr>
                <w:rFonts w:hint="eastAsia" w:ascii="宋体" w:hAnsi="宋体"/>
                <w:color w:val="auto"/>
                <w:szCs w:val="21"/>
              </w:rPr>
              <w:t xml:space="preserve"> 可以将患者体温等信息绘制在同一张体温单上的连续显示，不需要进行翻页操作</w:t>
            </w:r>
          </w:p>
        </w:tc>
        <w:tc>
          <w:tcPr>
            <w:tcW w:w="776" w:type="dxa"/>
            <w:gridSpan w:val="2"/>
            <w:vMerge w:val="continue"/>
            <w:noWrap/>
            <w:vAlign w:val="center"/>
          </w:tcPr>
          <w:p w14:paraId="6A16E558">
            <w:pPr>
              <w:jc w:val="center"/>
              <w:rPr>
                <w:rFonts w:ascii="宋体" w:hAnsi="宋体"/>
                <w:color w:val="auto"/>
                <w:szCs w:val="21"/>
              </w:rPr>
            </w:pPr>
          </w:p>
        </w:tc>
      </w:tr>
      <w:tr w14:paraId="4F55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49E289E1">
            <w:pPr>
              <w:jc w:val="center"/>
              <w:rPr>
                <w:rFonts w:ascii="宋体" w:hAnsi="宋体"/>
                <w:color w:val="auto"/>
                <w:szCs w:val="21"/>
              </w:rPr>
            </w:pPr>
          </w:p>
        </w:tc>
        <w:tc>
          <w:tcPr>
            <w:tcW w:w="1600" w:type="dxa"/>
            <w:gridSpan w:val="3"/>
            <w:noWrap/>
            <w:vAlign w:val="center"/>
          </w:tcPr>
          <w:p w14:paraId="13C50C2D">
            <w:pPr>
              <w:jc w:val="center"/>
              <w:rPr>
                <w:rFonts w:ascii="宋体" w:hAnsi="宋体"/>
                <w:color w:val="auto"/>
                <w:szCs w:val="21"/>
              </w:rPr>
            </w:pPr>
            <w:r>
              <w:rPr>
                <w:rFonts w:hint="eastAsia" w:ascii="宋体" w:hAnsi="宋体"/>
                <w:color w:val="auto"/>
                <w:szCs w:val="21"/>
              </w:rPr>
              <w:t>体征图表查询</w:t>
            </w:r>
          </w:p>
        </w:tc>
        <w:tc>
          <w:tcPr>
            <w:tcW w:w="6521" w:type="dxa"/>
            <w:noWrap/>
            <w:vAlign w:val="center"/>
          </w:tcPr>
          <w:p w14:paraId="3034D22D">
            <w:pPr>
              <w:jc w:val="left"/>
              <w:rPr>
                <w:rFonts w:ascii="宋体" w:hAnsi="宋体"/>
                <w:color w:val="auto"/>
                <w:szCs w:val="21"/>
              </w:rPr>
            </w:pPr>
            <w:r>
              <w:rPr>
                <w:rFonts w:hint="eastAsia" w:ascii="宋体" w:hAnsi="宋体"/>
                <w:color w:val="auto"/>
                <w:szCs w:val="21"/>
              </w:rPr>
              <w:t xml:space="preserve"> 可以查询患者关键体征（体温、脉搏、呼吸、血压）每小时变化情况</w:t>
            </w:r>
          </w:p>
        </w:tc>
        <w:tc>
          <w:tcPr>
            <w:tcW w:w="776" w:type="dxa"/>
            <w:gridSpan w:val="2"/>
            <w:vMerge w:val="continue"/>
            <w:noWrap/>
            <w:vAlign w:val="center"/>
          </w:tcPr>
          <w:p w14:paraId="398F5AA1">
            <w:pPr>
              <w:jc w:val="center"/>
              <w:rPr>
                <w:rFonts w:ascii="宋体" w:hAnsi="宋体"/>
                <w:color w:val="auto"/>
                <w:szCs w:val="21"/>
              </w:rPr>
            </w:pPr>
          </w:p>
        </w:tc>
      </w:tr>
      <w:tr w14:paraId="1FE5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restart"/>
            <w:noWrap/>
            <w:vAlign w:val="center"/>
          </w:tcPr>
          <w:p w14:paraId="26BE2270">
            <w:pPr>
              <w:jc w:val="center"/>
              <w:rPr>
                <w:rFonts w:ascii="宋体" w:hAnsi="宋体"/>
                <w:color w:val="auto"/>
                <w:szCs w:val="21"/>
              </w:rPr>
            </w:pPr>
            <w:r>
              <w:rPr>
                <w:rFonts w:hint="eastAsia" w:ascii="宋体" w:hAnsi="宋体"/>
                <w:color w:val="auto"/>
                <w:szCs w:val="21"/>
              </w:rPr>
              <w:t>病历检索</w:t>
            </w:r>
          </w:p>
        </w:tc>
        <w:tc>
          <w:tcPr>
            <w:tcW w:w="1600" w:type="dxa"/>
            <w:gridSpan w:val="3"/>
            <w:noWrap/>
            <w:vAlign w:val="center"/>
          </w:tcPr>
          <w:p w14:paraId="60D9453A">
            <w:pPr>
              <w:jc w:val="center"/>
              <w:rPr>
                <w:rFonts w:ascii="宋体" w:hAnsi="宋体"/>
                <w:color w:val="auto"/>
                <w:szCs w:val="21"/>
              </w:rPr>
            </w:pPr>
            <w:r>
              <w:rPr>
                <w:rFonts w:hint="eastAsia" w:ascii="宋体" w:hAnsi="宋体"/>
                <w:color w:val="auto"/>
                <w:szCs w:val="21"/>
              </w:rPr>
              <w:t>患者电子病历内容检索</w:t>
            </w:r>
          </w:p>
        </w:tc>
        <w:tc>
          <w:tcPr>
            <w:tcW w:w="6521" w:type="dxa"/>
            <w:noWrap/>
            <w:vAlign w:val="center"/>
          </w:tcPr>
          <w:p w14:paraId="30D43BC6">
            <w:pPr>
              <w:rPr>
                <w:rFonts w:ascii="宋体" w:hAnsi="宋体"/>
                <w:color w:val="auto"/>
                <w:szCs w:val="21"/>
              </w:rPr>
            </w:pPr>
            <w:r>
              <w:rPr>
                <w:rFonts w:hint="eastAsia" w:ascii="宋体" w:hAnsi="宋体"/>
                <w:color w:val="auto"/>
                <w:szCs w:val="21"/>
              </w:rPr>
              <w:t xml:space="preserve"> 患者电子病历内容检索帮助医生可以快速查询患者一次病案中内容，如：体温、红细胞、CT报告、过敏史等等信息。</w:t>
            </w:r>
          </w:p>
        </w:tc>
        <w:tc>
          <w:tcPr>
            <w:tcW w:w="776" w:type="dxa"/>
            <w:gridSpan w:val="2"/>
            <w:vMerge w:val="continue"/>
            <w:noWrap/>
            <w:vAlign w:val="center"/>
          </w:tcPr>
          <w:p w14:paraId="4B2BCB27">
            <w:pPr>
              <w:jc w:val="center"/>
              <w:rPr>
                <w:rFonts w:ascii="宋体" w:hAnsi="宋体"/>
                <w:color w:val="auto"/>
                <w:szCs w:val="21"/>
              </w:rPr>
            </w:pPr>
          </w:p>
        </w:tc>
      </w:tr>
      <w:tr w14:paraId="3C06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vMerge w:val="continue"/>
            <w:noWrap/>
            <w:vAlign w:val="center"/>
          </w:tcPr>
          <w:p w14:paraId="5F297108">
            <w:pPr>
              <w:jc w:val="center"/>
              <w:rPr>
                <w:rFonts w:ascii="宋体" w:hAnsi="宋体"/>
                <w:color w:val="auto"/>
                <w:szCs w:val="21"/>
              </w:rPr>
            </w:pPr>
          </w:p>
        </w:tc>
        <w:tc>
          <w:tcPr>
            <w:tcW w:w="1600" w:type="dxa"/>
            <w:gridSpan w:val="3"/>
            <w:noWrap/>
            <w:vAlign w:val="center"/>
          </w:tcPr>
          <w:p w14:paraId="51EEFEF4">
            <w:pPr>
              <w:jc w:val="center"/>
              <w:rPr>
                <w:rFonts w:ascii="宋体" w:hAnsi="宋体"/>
                <w:color w:val="auto"/>
                <w:szCs w:val="21"/>
              </w:rPr>
            </w:pPr>
            <w:r>
              <w:rPr>
                <w:rFonts w:hint="eastAsia" w:ascii="宋体" w:hAnsi="宋体"/>
                <w:color w:val="auto"/>
                <w:szCs w:val="21"/>
              </w:rPr>
              <w:t>历史病历检索</w:t>
            </w:r>
          </w:p>
        </w:tc>
        <w:tc>
          <w:tcPr>
            <w:tcW w:w="6521" w:type="dxa"/>
            <w:noWrap/>
            <w:vAlign w:val="center"/>
          </w:tcPr>
          <w:p w14:paraId="44BAC1E3">
            <w:pPr>
              <w:rPr>
                <w:rFonts w:ascii="宋体" w:hAnsi="宋体"/>
                <w:color w:val="auto"/>
                <w:szCs w:val="21"/>
              </w:rPr>
            </w:pPr>
            <w:r>
              <w:rPr>
                <w:rFonts w:hint="eastAsia" w:ascii="宋体" w:hAnsi="宋体"/>
                <w:color w:val="auto"/>
                <w:szCs w:val="21"/>
              </w:rPr>
              <w:t xml:space="preserve"> 患者历史病历检索可以帮助医生查询到患者的历次门诊住院病案信息。</w:t>
            </w:r>
          </w:p>
        </w:tc>
        <w:tc>
          <w:tcPr>
            <w:tcW w:w="776" w:type="dxa"/>
            <w:gridSpan w:val="2"/>
            <w:vMerge w:val="continue"/>
            <w:noWrap/>
            <w:vAlign w:val="center"/>
          </w:tcPr>
          <w:p w14:paraId="1F67F9B1">
            <w:pPr>
              <w:jc w:val="center"/>
              <w:rPr>
                <w:rFonts w:ascii="宋体" w:hAnsi="宋体"/>
                <w:color w:val="auto"/>
                <w:szCs w:val="21"/>
              </w:rPr>
            </w:pPr>
          </w:p>
        </w:tc>
      </w:tr>
      <w:tr w14:paraId="645D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noWrap/>
            <w:vAlign w:val="center"/>
          </w:tcPr>
          <w:p w14:paraId="4C31DB95">
            <w:pPr>
              <w:jc w:val="center"/>
              <w:rPr>
                <w:rFonts w:ascii="宋体" w:hAnsi="宋体"/>
                <w:color w:val="auto"/>
                <w:szCs w:val="21"/>
              </w:rPr>
            </w:pPr>
            <w:r>
              <w:rPr>
                <w:rFonts w:ascii="宋体" w:hAnsi="宋体"/>
                <w:color w:val="auto"/>
                <w:szCs w:val="21"/>
              </w:rPr>
              <w:t>查房速记本</w:t>
            </w:r>
          </w:p>
        </w:tc>
        <w:tc>
          <w:tcPr>
            <w:tcW w:w="8121" w:type="dxa"/>
            <w:gridSpan w:val="4"/>
            <w:noWrap/>
            <w:vAlign w:val="center"/>
          </w:tcPr>
          <w:p w14:paraId="26CA6A8C">
            <w:pPr>
              <w:rPr>
                <w:rFonts w:ascii="宋体" w:hAnsi="宋体"/>
                <w:color w:val="auto"/>
                <w:szCs w:val="21"/>
              </w:rPr>
            </w:pPr>
            <w:r>
              <w:rPr>
                <w:rFonts w:hint="eastAsia" w:ascii="宋体" w:hAnsi="宋体"/>
                <w:color w:val="auto"/>
                <w:szCs w:val="21"/>
              </w:rPr>
              <w:t>实现建立查房速记本，查看某个患者时可通过腕带扫码建立该病人的查房速记本，查房结束后可按病人姓名、床号进行整合，并可导入PC端查看。</w:t>
            </w:r>
          </w:p>
        </w:tc>
        <w:tc>
          <w:tcPr>
            <w:tcW w:w="776" w:type="dxa"/>
            <w:gridSpan w:val="2"/>
            <w:vMerge w:val="continue"/>
            <w:noWrap/>
            <w:vAlign w:val="center"/>
          </w:tcPr>
          <w:p w14:paraId="44E436CF">
            <w:pPr>
              <w:jc w:val="center"/>
              <w:rPr>
                <w:rFonts w:ascii="宋体" w:hAnsi="宋体"/>
                <w:color w:val="auto"/>
                <w:szCs w:val="21"/>
              </w:rPr>
            </w:pPr>
          </w:p>
        </w:tc>
      </w:tr>
      <w:tr w14:paraId="66FF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noWrap/>
            <w:vAlign w:val="center"/>
          </w:tcPr>
          <w:p w14:paraId="4C6FD216">
            <w:pPr>
              <w:jc w:val="center"/>
              <w:rPr>
                <w:rFonts w:ascii="宋体" w:hAnsi="宋体"/>
                <w:color w:val="auto"/>
                <w:szCs w:val="21"/>
              </w:rPr>
            </w:pPr>
            <w:r>
              <w:rPr>
                <w:rFonts w:hint="eastAsia" w:ascii="宋体" w:hAnsi="宋体"/>
                <w:color w:val="auto"/>
                <w:szCs w:val="21"/>
              </w:rPr>
              <w:t>设备安全设置</w:t>
            </w:r>
          </w:p>
        </w:tc>
        <w:tc>
          <w:tcPr>
            <w:tcW w:w="8121" w:type="dxa"/>
            <w:gridSpan w:val="4"/>
            <w:noWrap/>
            <w:vAlign w:val="center"/>
          </w:tcPr>
          <w:p w14:paraId="3F7DD99A">
            <w:pPr>
              <w:rPr>
                <w:rFonts w:ascii="宋体" w:hAnsi="宋体"/>
                <w:color w:val="auto"/>
                <w:szCs w:val="21"/>
              </w:rPr>
            </w:pPr>
            <w:r>
              <w:rPr>
                <w:rFonts w:hint="eastAsia" w:ascii="宋体" w:hAnsi="宋体"/>
                <w:color w:val="auto"/>
                <w:szCs w:val="21"/>
              </w:rPr>
              <w:t>建立受信任</w:t>
            </w:r>
            <w:r>
              <w:rPr>
                <w:rFonts w:ascii="宋体" w:hAnsi="宋体"/>
                <w:color w:val="auto"/>
                <w:szCs w:val="21"/>
              </w:rPr>
              <w:t>PDA</w:t>
            </w:r>
            <w:r>
              <w:rPr>
                <w:rFonts w:hint="eastAsia" w:ascii="宋体" w:hAnsi="宋体"/>
                <w:color w:val="auto"/>
                <w:szCs w:val="21"/>
              </w:rPr>
              <w:t>终端；在PDA端的任何录入操作可在PC端查询到具体端口、录入时间及录入者；可对PDA端使用的</w:t>
            </w:r>
            <w:r>
              <w:rPr>
                <w:rFonts w:ascii="宋体" w:hAnsi="宋体"/>
                <w:color w:val="auto"/>
                <w:szCs w:val="21"/>
              </w:rPr>
              <w:t>地理</w:t>
            </w:r>
            <w:r>
              <w:rPr>
                <w:rFonts w:hint="eastAsia" w:ascii="宋体" w:hAnsi="宋体"/>
                <w:color w:val="auto"/>
                <w:szCs w:val="21"/>
              </w:rPr>
              <w:t>范围进行自定义设置</w:t>
            </w:r>
            <w:r>
              <w:rPr>
                <w:rFonts w:ascii="宋体" w:hAnsi="宋体"/>
                <w:color w:val="auto"/>
                <w:szCs w:val="21"/>
              </w:rPr>
              <w:t>。</w:t>
            </w:r>
          </w:p>
        </w:tc>
        <w:tc>
          <w:tcPr>
            <w:tcW w:w="776" w:type="dxa"/>
            <w:gridSpan w:val="2"/>
            <w:vMerge w:val="continue"/>
            <w:noWrap/>
            <w:vAlign w:val="center"/>
          </w:tcPr>
          <w:p w14:paraId="160031B7">
            <w:pPr>
              <w:jc w:val="center"/>
              <w:rPr>
                <w:rFonts w:ascii="宋体" w:hAnsi="宋体"/>
                <w:color w:val="auto"/>
                <w:szCs w:val="21"/>
              </w:rPr>
            </w:pPr>
          </w:p>
        </w:tc>
      </w:tr>
      <w:tr w14:paraId="6DDA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810" w:type="dxa"/>
            <w:gridSpan w:val="2"/>
            <w:noWrap/>
            <w:vAlign w:val="center"/>
          </w:tcPr>
          <w:p w14:paraId="54D2A89D">
            <w:pPr>
              <w:jc w:val="center"/>
              <w:rPr>
                <w:rFonts w:ascii="宋体" w:hAnsi="宋体"/>
                <w:color w:val="auto"/>
                <w:szCs w:val="21"/>
              </w:rPr>
            </w:pPr>
            <w:r>
              <w:rPr>
                <w:rFonts w:hint="eastAsia" w:ascii="宋体" w:hAnsi="宋体"/>
                <w:color w:val="auto"/>
                <w:szCs w:val="21"/>
              </w:rPr>
              <w:t>床旁</w:t>
            </w:r>
            <w:r>
              <w:rPr>
                <w:rFonts w:ascii="宋体" w:hAnsi="宋体"/>
                <w:color w:val="auto"/>
                <w:szCs w:val="21"/>
              </w:rPr>
              <w:t>推送闭环设置</w:t>
            </w:r>
          </w:p>
        </w:tc>
        <w:tc>
          <w:tcPr>
            <w:tcW w:w="8121" w:type="dxa"/>
            <w:gridSpan w:val="4"/>
            <w:noWrap/>
            <w:vAlign w:val="center"/>
          </w:tcPr>
          <w:p w14:paraId="7BE5455C">
            <w:pPr>
              <w:rPr>
                <w:rFonts w:ascii="宋体" w:hAnsi="宋体"/>
                <w:color w:val="auto"/>
                <w:szCs w:val="21"/>
              </w:rPr>
            </w:pPr>
            <w:r>
              <w:rPr>
                <w:rFonts w:hint="eastAsia" w:ascii="宋体" w:hAnsi="宋体"/>
                <w:color w:val="auto"/>
                <w:szCs w:val="21"/>
              </w:rPr>
              <w:t>医生</w:t>
            </w:r>
            <w:r>
              <w:rPr>
                <w:rFonts w:ascii="宋体" w:hAnsi="宋体"/>
                <w:color w:val="auto"/>
                <w:szCs w:val="21"/>
              </w:rPr>
              <w:t>查房</w:t>
            </w:r>
            <w:r>
              <w:rPr>
                <w:rFonts w:hint="eastAsia" w:ascii="宋体" w:hAnsi="宋体"/>
                <w:color w:val="auto"/>
                <w:szCs w:val="21"/>
              </w:rPr>
              <w:t>对</w:t>
            </w:r>
            <w:r>
              <w:rPr>
                <w:rFonts w:ascii="宋体" w:hAnsi="宋体"/>
                <w:color w:val="auto"/>
                <w:szCs w:val="21"/>
              </w:rPr>
              <w:t>患者的</w:t>
            </w:r>
            <w:r>
              <w:rPr>
                <w:rFonts w:hint="eastAsia" w:ascii="宋体" w:hAnsi="宋体"/>
                <w:color w:val="auto"/>
                <w:szCs w:val="21"/>
              </w:rPr>
              <w:t>住院</w:t>
            </w:r>
            <w:r>
              <w:rPr>
                <w:rFonts w:ascii="宋体" w:hAnsi="宋体"/>
                <w:color w:val="auto"/>
                <w:szCs w:val="21"/>
              </w:rPr>
              <w:t>营养、护理、康复建议</w:t>
            </w:r>
            <w:r>
              <w:rPr>
                <w:rFonts w:hint="eastAsia" w:ascii="宋体" w:hAnsi="宋体"/>
                <w:color w:val="auto"/>
                <w:szCs w:val="21"/>
              </w:rPr>
              <w:t>和</w:t>
            </w:r>
            <w:r>
              <w:rPr>
                <w:rFonts w:ascii="宋体" w:hAnsi="宋体"/>
                <w:color w:val="auto"/>
                <w:szCs w:val="21"/>
              </w:rPr>
              <w:t>要求可直接推送至</w:t>
            </w:r>
            <w:r>
              <w:rPr>
                <w:rFonts w:hint="eastAsia" w:ascii="宋体" w:hAnsi="宋体"/>
                <w:color w:val="auto"/>
                <w:szCs w:val="21"/>
              </w:rPr>
              <w:t>病床</w:t>
            </w:r>
            <w:r>
              <w:rPr>
                <w:rFonts w:ascii="宋体" w:hAnsi="宋体"/>
                <w:color w:val="auto"/>
                <w:szCs w:val="21"/>
              </w:rPr>
              <w:t>的智慧床头显示设备</w:t>
            </w:r>
            <w:r>
              <w:rPr>
                <w:rFonts w:hint="eastAsia" w:ascii="宋体" w:hAnsi="宋体"/>
                <w:color w:val="auto"/>
                <w:szCs w:val="21"/>
              </w:rPr>
              <w:t>，</w:t>
            </w:r>
            <w:r>
              <w:rPr>
                <w:rFonts w:ascii="宋体" w:hAnsi="宋体"/>
                <w:color w:val="auto"/>
                <w:szCs w:val="21"/>
              </w:rPr>
              <w:t>形成闭环</w:t>
            </w:r>
            <w:r>
              <w:rPr>
                <w:rFonts w:hint="eastAsia" w:ascii="宋体" w:hAnsi="宋体"/>
                <w:color w:val="auto"/>
                <w:szCs w:val="21"/>
              </w:rPr>
              <w:t>。</w:t>
            </w:r>
          </w:p>
        </w:tc>
        <w:tc>
          <w:tcPr>
            <w:tcW w:w="776" w:type="dxa"/>
            <w:gridSpan w:val="2"/>
            <w:vMerge w:val="continue"/>
            <w:noWrap/>
            <w:vAlign w:val="center"/>
          </w:tcPr>
          <w:p w14:paraId="1F2E2238">
            <w:pPr>
              <w:jc w:val="center"/>
              <w:rPr>
                <w:rFonts w:ascii="宋体" w:hAnsi="宋体"/>
                <w:color w:val="auto"/>
                <w:szCs w:val="21"/>
              </w:rPr>
            </w:pPr>
          </w:p>
        </w:tc>
      </w:tr>
      <w:tr w14:paraId="5A15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810" w:type="dxa"/>
            <w:gridSpan w:val="2"/>
            <w:noWrap/>
            <w:vAlign w:val="center"/>
          </w:tcPr>
          <w:p w14:paraId="191EEC8C">
            <w:pPr>
              <w:jc w:val="center"/>
              <w:rPr>
                <w:rFonts w:ascii="宋体" w:hAnsi="宋体"/>
                <w:color w:val="auto"/>
                <w:szCs w:val="21"/>
              </w:rPr>
            </w:pPr>
            <w:r>
              <w:rPr>
                <w:rFonts w:hint="eastAsia" w:ascii="宋体" w:hAnsi="宋体"/>
                <w:color w:val="auto"/>
                <w:szCs w:val="21"/>
              </w:rPr>
              <w:t>系统功能</w:t>
            </w:r>
          </w:p>
        </w:tc>
        <w:tc>
          <w:tcPr>
            <w:tcW w:w="1600" w:type="dxa"/>
            <w:gridSpan w:val="3"/>
            <w:noWrap/>
            <w:vAlign w:val="center"/>
          </w:tcPr>
          <w:p w14:paraId="54EB3058">
            <w:pPr>
              <w:rPr>
                <w:rFonts w:ascii="宋体" w:hAnsi="宋体"/>
                <w:color w:val="auto"/>
                <w:szCs w:val="21"/>
              </w:rPr>
            </w:pPr>
          </w:p>
        </w:tc>
        <w:tc>
          <w:tcPr>
            <w:tcW w:w="6521" w:type="dxa"/>
            <w:noWrap/>
            <w:vAlign w:val="center"/>
          </w:tcPr>
          <w:p w14:paraId="67DE93C8">
            <w:pPr>
              <w:rPr>
                <w:rFonts w:ascii="宋体" w:hAnsi="宋体"/>
                <w:color w:val="auto"/>
                <w:szCs w:val="21"/>
              </w:rPr>
            </w:pPr>
            <w:r>
              <w:rPr>
                <w:rFonts w:hint="eastAsia" w:ascii="宋体" w:hAnsi="宋体"/>
                <w:color w:val="auto"/>
                <w:szCs w:val="21"/>
              </w:rPr>
              <w:t>系统满足电子病历系统功能应用水平分级评价</w:t>
            </w:r>
            <w:r>
              <w:rPr>
                <w:rFonts w:ascii="宋体" w:hAnsi="宋体"/>
                <w:color w:val="auto"/>
                <w:szCs w:val="21"/>
              </w:rPr>
              <w:t>5</w:t>
            </w:r>
            <w:r>
              <w:rPr>
                <w:rFonts w:hint="eastAsia" w:ascii="宋体" w:hAnsi="宋体"/>
                <w:color w:val="auto"/>
                <w:szCs w:val="21"/>
              </w:rPr>
              <w:t>级以上相关要求</w:t>
            </w:r>
            <w:r>
              <w:rPr>
                <w:rFonts w:ascii="宋体" w:hAnsi="宋体"/>
                <w:color w:val="auto"/>
                <w:szCs w:val="21"/>
              </w:rPr>
              <w:t>、</w:t>
            </w:r>
            <w:r>
              <w:rPr>
                <w:rFonts w:hint="eastAsia" w:ascii="宋体" w:hAnsi="宋体"/>
                <w:color w:val="auto"/>
                <w:szCs w:val="21"/>
              </w:rPr>
              <w:t>系统满足互联互通标准化成熟度四级甲等以上标准相关要求</w:t>
            </w:r>
            <w:r>
              <w:rPr>
                <w:rFonts w:ascii="宋体" w:hAnsi="宋体"/>
                <w:color w:val="auto"/>
                <w:szCs w:val="21"/>
              </w:rPr>
              <w:t>、</w:t>
            </w:r>
            <w:r>
              <w:rPr>
                <w:rFonts w:hint="eastAsia" w:ascii="宋体" w:hAnsi="宋体"/>
                <w:color w:val="auto"/>
                <w:szCs w:val="21"/>
              </w:rPr>
              <w:t>系统满足医院智慧服务分级评估</w:t>
            </w:r>
            <w:r>
              <w:rPr>
                <w:rFonts w:ascii="宋体" w:hAnsi="宋体"/>
                <w:color w:val="auto"/>
                <w:szCs w:val="21"/>
              </w:rPr>
              <w:t>3</w:t>
            </w:r>
            <w:r>
              <w:rPr>
                <w:rFonts w:hint="eastAsia" w:ascii="宋体" w:hAnsi="宋体"/>
                <w:color w:val="auto"/>
                <w:szCs w:val="21"/>
              </w:rPr>
              <w:t>级以上相关要求</w:t>
            </w:r>
            <w:r>
              <w:rPr>
                <w:rFonts w:ascii="宋体" w:hAnsi="宋体"/>
                <w:color w:val="auto"/>
                <w:szCs w:val="21"/>
              </w:rPr>
              <w:t>。</w:t>
            </w:r>
          </w:p>
          <w:p w14:paraId="50FCBD4E">
            <w:pPr>
              <w:rPr>
                <w:rFonts w:ascii="宋体" w:hAnsi="宋体"/>
                <w:color w:val="auto"/>
                <w:szCs w:val="21"/>
              </w:rPr>
            </w:pPr>
            <w:r>
              <w:rPr>
                <w:rFonts w:hint="eastAsia" w:ascii="宋体" w:hAnsi="宋体"/>
                <w:color w:val="auto"/>
                <w:szCs w:val="21"/>
              </w:rPr>
              <w:t>系统免费与医院相关系统无缝对接</w:t>
            </w:r>
            <w:r>
              <w:rPr>
                <w:rFonts w:ascii="宋体" w:hAnsi="宋体"/>
                <w:color w:val="auto"/>
                <w:szCs w:val="21"/>
              </w:rPr>
              <w:t>，</w:t>
            </w:r>
            <w:r>
              <w:rPr>
                <w:rFonts w:hint="eastAsia" w:ascii="宋体" w:hAnsi="宋体"/>
                <w:color w:val="auto"/>
                <w:szCs w:val="21"/>
              </w:rPr>
              <w:t>包含但不限于</w:t>
            </w:r>
            <w:r>
              <w:rPr>
                <w:rFonts w:ascii="宋体" w:hAnsi="宋体"/>
                <w:color w:val="auto"/>
                <w:szCs w:val="21"/>
              </w:rPr>
              <w:t>：</w:t>
            </w:r>
            <w:r>
              <w:rPr>
                <w:rFonts w:hint="eastAsia" w:ascii="宋体" w:hAnsi="宋体"/>
                <w:color w:val="auto"/>
                <w:szCs w:val="21"/>
              </w:rPr>
              <w:t>集成平台</w:t>
            </w:r>
            <w:r>
              <w:rPr>
                <w:rFonts w:ascii="宋体" w:hAnsi="宋体"/>
                <w:color w:val="auto"/>
                <w:szCs w:val="21"/>
              </w:rPr>
              <w:t>、</w:t>
            </w:r>
            <w:r>
              <w:rPr>
                <w:rFonts w:hint="eastAsia" w:ascii="宋体" w:hAnsi="宋体"/>
                <w:color w:val="auto"/>
                <w:szCs w:val="21"/>
              </w:rPr>
              <w:t>数据中心</w:t>
            </w:r>
            <w:r>
              <w:rPr>
                <w:rFonts w:ascii="宋体" w:hAnsi="宋体"/>
                <w:color w:val="auto"/>
                <w:szCs w:val="21"/>
              </w:rPr>
              <w:t>、his</w:t>
            </w:r>
            <w:r>
              <w:rPr>
                <w:rFonts w:hint="eastAsia" w:ascii="宋体" w:hAnsi="宋体"/>
                <w:color w:val="auto"/>
                <w:szCs w:val="21"/>
              </w:rPr>
              <w:t>系统</w:t>
            </w:r>
            <w:r>
              <w:rPr>
                <w:rFonts w:ascii="宋体" w:hAnsi="宋体"/>
                <w:color w:val="auto"/>
                <w:szCs w:val="21"/>
              </w:rPr>
              <w:t>、pacs</w:t>
            </w:r>
            <w:r>
              <w:rPr>
                <w:rFonts w:hint="eastAsia" w:ascii="宋体" w:hAnsi="宋体"/>
                <w:color w:val="auto"/>
                <w:szCs w:val="21"/>
              </w:rPr>
              <w:t>系统</w:t>
            </w:r>
            <w:r>
              <w:rPr>
                <w:rFonts w:ascii="宋体" w:hAnsi="宋体"/>
                <w:color w:val="auto"/>
                <w:szCs w:val="21"/>
              </w:rPr>
              <w:t>、</w:t>
            </w:r>
            <w:r>
              <w:rPr>
                <w:rFonts w:hint="eastAsia" w:ascii="宋体" w:hAnsi="宋体"/>
                <w:color w:val="auto"/>
                <w:szCs w:val="21"/>
              </w:rPr>
              <w:t>lis系统</w:t>
            </w:r>
            <w:r>
              <w:rPr>
                <w:rFonts w:ascii="宋体" w:hAnsi="宋体"/>
                <w:color w:val="auto"/>
                <w:szCs w:val="21"/>
              </w:rPr>
              <w:t>、</w:t>
            </w:r>
            <w:r>
              <w:rPr>
                <w:rFonts w:hint="eastAsia" w:ascii="宋体" w:hAnsi="宋体"/>
                <w:color w:val="auto"/>
                <w:szCs w:val="21"/>
              </w:rPr>
              <w:t>病理系统</w:t>
            </w:r>
            <w:r>
              <w:rPr>
                <w:rFonts w:ascii="宋体" w:hAnsi="宋体"/>
                <w:color w:val="auto"/>
                <w:szCs w:val="21"/>
              </w:rPr>
              <w:t>、</w:t>
            </w:r>
            <w:r>
              <w:rPr>
                <w:rFonts w:hint="eastAsia" w:ascii="宋体" w:hAnsi="宋体"/>
                <w:color w:val="auto"/>
                <w:szCs w:val="21"/>
              </w:rPr>
              <w:t>心电图系统</w:t>
            </w:r>
            <w:r>
              <w:rPr>
                <w:rFonts w:ascii="宋体" w:hAnsi="宋体"/>
                <w:color w:val="auto"/>
                <w:szCs w:val="21"/>
              </w:rPr>
              <w:t>、</w:t>
            </w:r>
            <w:r>
              <w:rPr>
                <w:rFonts w:hint="eastAsia" w:ascii="宋体" w:hAnsi="宋体"/>
                <w:color w:val="auto"/>
                <w:szCs w:val="21"/>
              </w:rPr>
              <w:t>电子病历系统无缝对接等</w:t>
            </w:r>
            <w:r>
              <w:rPr>
                <w:rFonts w:ascii="宋体" w:hAnsi="宋体"/>
                <w:color w:val="auto"/>
                <w:szCs w:val="21"/>
              </w:rPr>
              <w:t>，</w:t>
            </w:r>
            <w:r>
              <w:rPr>
                <w:rFonts w:hint="eastAsia" w:ascii="宋体" w:hAnsi="宋体"/>
                <w:color w:val="auto"/>
                <w:szCs w:val="21"/>
              </w:rPr>
              <w:t>具体以医院实际需求为准</w:t>
            </w:r>
            <w:r>
              <w:rPr>
                <w:rFonts w:ascii="宋体" w:hAnsi="宋体"/>
                <w:color w:val="auto"/>
                <w:szCs w:val="21"/>
              </w:rPr>
              <w:t>。</w:t>
            </w:r>
          </w:p>
          <w:p w14:paraId="18D8D7D8">
            <w:pPr>
              <w:rPr>
                <w:rFonts w:ascii="宋体" w:hAnsi="宋体"/>
                <w:color w:val="auto"/>
                <w:szCs w:val="21"/>
              </w:rPr>
            </w:pPr>
            <w:r>
              <w:rPr>
                <w:rFonts w:hint="eastAsia" w:ascii="宋体" w:hAnsi="宋体"/>
                <w:color w:val="auto"/>
                <w:szCs w:val="21"/>
              </w:rPr>
              <w:t>提供本地化开发服务</w:t>
            </w:r>
            <w:r>
              <w:rPr>
                <w:rFonts w:ascii="宋体" w:hAnsi="宋体"/>
                <w:color w:val="auto"/>
                <w:szCs w:val="21"/>
              </w:rPr>
              <w:t>，</w:t>
            </w:r>
            <w:r>
              <w:rPr>
                <w:rFonts w:hint="eastAsia" w:ascii="宋体" w:hAnsi="宋体"/>
                <w:color w:val="auto"/>
                <w:szCs w:val="21"/>
              </w:rPr>
              <w:t>功能或需求以医院实际需要为准</w:t>
            </w:r>
            <w:r>
              <w:rPr>
                <w:rFonts w:ascii="宋体" w:hAnsi="宋体"/>
                <w:color w:val="auto"/>
                <w:szCs w:val="21"/>
              </w:rPr>
              <w:t>。</w:t>
            </w:r>
          </w:p>
          <w:p w14:paraId="41FDF0C6">
            <w:pPr>
              <w:rPr>
                <w:rFonts w:ascii="宋体" w:hAnsi="宋体"/>
                <w:color w:val="auto"/>
                <w:szCs w:val="21"/>
              </w:rPr>
            </w:pPr>
            <w:r>
              <w:rPr>
                <w:rFonts w:ascii="宋体" w:hAnsi="宋体"/>
                <w:color w:val="auto"/>
                <w:szCs w:val="21"/>
              </w:rPr>
              <w:t>提供从系统验收合格之日起软件系统原厂3年的免费质保服务。</w:t>
            </w:r>
            <w:r>
              <w:rPr>
                <w:rFonts w:ascii="宋体" w:hAnsi="宋体"/>
                <w:color w:val="auto"/>
                <w:szCs w:val="21"/>
              </w:rPr>
              <w:br w:type="textWrapping"/>
            </w:r>
            <w:r>
              <w:rPr>
                <w:rFonts w:ascii="宋体" w:hAnsi="宋体"/>
                <w:color w:val="auto"/>
                <w:szCs w:val="21"/>
              </w:rPr>
              <w:t>本项目所有软件、系统和平台必须安装在院内运行。不能运行在未经医院允许的第三方平台。</w:t>
            </w:r>
          </w:p>
          <w:p w14:paraId="5A334AC1">
            <w:pPr>
              <w:rPr>
                <w:rFonts w:ascii="宋体" w:hAnsi="宋体"/>
                <w:color w:val="auto"/>
                <w:szCs w:val="21"/>
              </w:rPr>
            </w:pPr>
            <w:r>
              <w:rPr>
                <w:rFonts w:ascii="宋体" w:hAnsi="宋体"/>
                <w:color w:val="auto"/>
                <w:szCs w:val="21"/>
              </w:rPr>
              <w:t>中标人承诺本次提供软件产品为公司最新产品，实施阶段如有新版本产生，需免费帮升级到最新版本。</w:t>
            </w:r>
            <w:r>
              <w:rPr>
                <w:rFonts w:ascii="宋体" w:hAnsi="宋体"/>
                <w:color w:val="auto"/>
                <w:szCs w:val="21"/>
              </w:rPr>
              <w:br w:type="textWrapping"/>
            </w:r>
            <w:r>
              <w:rPr>
                <w:rFonts w:hint="eastAsia" w:ascii="宋体" w:hAnsi="宋体"/>
                <w:color w:val="auto"/>
                <w:szCs w:val="21"/>
              </w:rPr>
              <w:t>满足多院区使用；本软件提供给全院每个病区使用</w:t>
            </w:r>
            <w:r>
              <w:rPr>
                <w:rFonts w:ascii="宋体" w:hAnsi="宋体"/>
                <w:color w:val="auto"/>
                <w:szCs w:val="21"/>
              </w:rPr>
              <w:t>，</w:t>
            </w:r>
            <w:r>
              <w:rPr>
                <w:rFonts w:hint="eastAsia" w:ascii="宋体" w:hAnsi="宋体"/>
                <w:color w:val="auto"/>
                <w:szCs w:val="21"/>
              </w:rPr>
              <w:t>提供各病区定制化配置；质保期内后续每增加一个病区不增加费用。</w:t>
            </w:r>
          </w:p>
          <w:p w14:paraId="00964640">
            <w:pPr>
              <w:rPr>
                <w:rFonts w:ascii="宋体" w:hAnsi="宋体"/>
                <w:color w:val="auto"/>
                <w:szCs w:val="21"/>
              </w:rPr>
            </w:pPr>
            <w:r>
              <w:rPr>
                <w:rFonts w:ascii="宋体" w:hAnsi="宋体"/>
                <w:color w:val="auto"/>
                <w:szCs w:val="21"/>
              </w:rPr>
              <w:t>承诺软件产品没有侵权问题。如有，中标人承担所有法律责任。</w:t>
            </w:r>
          </w:p>
        </w:tc>
        <w:tc>
          <w:tcPr>
            <w:tcW w:w="776" w:type="dxa"/>
            <w:gridSpan w:val="2"/>
            <w:vMerge w:val="continue"/>
            <w:noWrap/>
            <w:vAlign w:val="center"/>
          </w:tcPr>
          <w:p w14:paraId="1E2089C3">
            <w:pPr>
              <w:jc w:val="center"/>
              <w:rPr>
                <w:rFonts w:ascii="宋体" w:hAnsi="宋体"/>
                <w:color w:val="auto"/>
                <w:szCs w:val="21"/>
              </w:rPr>
            </w:pPr>
          </w:p>
        </w:tc>
      </w:tr>
      <w:tr w14:paraId="7613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9707" w:type="dxa"/>
            <w:gridSpan w:val="8"/>
            <w:noWrap/>
            <w:vAlign w:val="center"/>
          </w:tcPr>
          <w:p w14:paraId="53A3E489">
            <w:pPr>
              <w:jc w:val="left"/>
              <w:rPr>
                <w:rFonts w:ascii="宋体" w:hAnsi="宋体"/>
                <w:b/>
                <w:color w:val="auto"/>
                <w:szCs w:val="21"/>
              </w:rPr>
            </w:pPr>
          </w:p>
        </w:tc>
      </w:tr>
      <w:tr w14:paraId="06A37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9707" w:type="dxa"/>
            <w:gridSpan w:val="8"/>
            <w:noWrap/>
            <w:vAlign w:val="center"/>
          </w:tcPr>
          <w:p w14:paraId="46620390">
            <w:pPr>
              <w:spacing w:line="320" w:lineRule="exact"/>
              <w:jc w:val="left"/>
              <w:rPr>
                <w:rFonts w:ascii="宋体" w:hAnsi="宋体"/>
                <w:color w:val="auto"/>
                <w:szCs w:val="21"/>
              </w:rPr>
            </w:pPr>
            <w:r>
              <w:rPr>
                <w:rFonts w:hint="eastAsia" w:ascii="宋体" w:hAnsi="宋体"/>
                <w:color w:val="auto"/>
                <w:szCs w:val="21"/>
              </w:rPr>
              <w:t xml:space="preserve">售后服务及其他要求： </w:t>
            </w:r>
          </w:p>
          <w:p w14:paraId="29F44037">
            <w:pPr>
              <w:spacing w:line="320" w:lineRule="exact"/>
              <w:jc w:val="left"/>
              <w:rPr>
                <w:rFonts w:ascii="宋体" w:hAnsi="宋体"/>
                <w:color w:val="auto"/>
                <w:szCs w:val="21"/>
              </w:rPr>
            </w:pPr>
            <w:r>
              <w:rPr>
                <w:rFonts w:hint="eastAsia" w:ascii="宋体" w:hAnsi="宋体"/>
                <w:color w:val="auto"/>
                <w:szCs w:val="21"/>
              </w:rPr>
              <w:t>1、系统维护期为</w:t>
            </w:r>
            <w:r>
              <w:rPr>
                <w:rFonts w:ascii="宋体" w:hAnsi="宋体"/>
                <w:color w:val="auto"/>
                <w:szCs w:val="21"/>
              </w:rPr>
              <w:t>3</w:t>
            </w:r>
            <w:r>
              <w:rPr>
                <w:rFonts w:hint="eastAsia" w:ascii="宋体" w:hAnsi="宋体"/>
                <w:color w:val="auto"/>
                <w:szCs w:val="21"/>
              </w:rPr>
              <w:t>年，起始时间从系统验收合格之日起计算；</w:t>
            </w:r>
          </w:p>
          <w:p w14:paraId="244F9F51">
            <w:pPr>
              <w:spacing w:line="320" w:lineRule="exact"/>
              <w:jc w:val="left"/>
              <w:rPr>
                <w:rFonts w:ascii="宋体" w:hAnsi="宋体"/>
                <w:color w:val="auto"/>
                <w:szCs w:val="21"/>
              </w:rPr>
            </w:pPr>
            <w:r>
              <w:rPr>
                <w:rFonts w:hint="eastAsia" w:ascii="宋体" w:hAnsi="宋体"/>
                <w:color w:val="auto"/>
                <w:szCs w:val="21"/>
              </w:rPr>
              <w:t>2、维护期内因信息系统本身缺陷造成各种故障由投标人提供技术服务和维修；</w:t>
            </w:r>
          </w:p>
          <w:p w14:paraId="60BF0F7D">
            <w:pPr>
              <w:spacing w:line="360" w:lineRule="auto"/>
              <w:outlineLvl w:val="0"/>
              <w:rPr>
                <w:rFonts w:ascii="宋体" w:hAnsi="宋体"/>
                <w:color w:val="auto"/>
                <w:szCs w:val="21"/>
              </w:rPr>
            </w:pPr>
            <w:r>
              <w:rPr>
                <w:rFonts w:hint="eastAsia" w:ascii="宋体" w:hAnsi="宋体"/>
                <w:color w:val="auto"/>
                <w:szCs w:val="21"/>
              </w:rPr>
              <w:t>3、系统试运行期内及质量保修期内投标人应免费提供与第三方系统的接口开发服务；</w:t>
            </w:r>
          </w:p>
          <w:p w14:paraId="63D3CB5D">
            <w:pPr>
              <w:spacing w:line="360" w:lineRule="auto"/>
              <w:outlineLvl w:val="0"/>
              <w:rPr>
                <w:rFonts w:ascii="宋体" w:hAnsi="宋体"/>
                <w:color w:val="auto"/>
                <w:szCs w:val="21"/>
              </w:rPr>
            </w:pPr>
            <w:r>
              <w:rPr>
                <w:rFonts w:hint="eastAsia" w:ascii="宋体" w:hAnsi="宋体"/>
                <w:color w:val="auto"/>
                <w:szCs w:val="21"/>
              </w:rPr>
              <w:t>4、系统试运行期内及质量保修期内投标人应免费提供系统软件升级服务；</w:t>
            </w:r>
          </w:p>
          <w:p w14:paraId="6E1856D0">
            <w:pPr>
              <w:jc w:val="left"/>
              <w:rPr>
                <w:rFonts w:ascii="宋体" w:hAnsi="宋体"/>
                <w:color w:val="auto"/>
                <w:szCs w:val="21"/>
              </w:rPr>
            </w:pPr>
            <w:r>
              <w:rPr>
                <w:rFonts w:ascii="宋体" w:hAnsi="宋体"/>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bl>
    <w:p w14:paraId="022015CA">
      <w:pPr>
        <w:rPr>
          <w:color w:val="auto"/>
          <w:szCs w:val="21"/>
        </w:rPr>
      </w:pPr>
      <w:r>
        <w:rPr>
          <w:color w:val="auto"/>
          <w:szCs w:val="21"/>
        </w:rPr>
        <w:br w:type="page"/>
      </w:r>
    </w:p>
    <w:tbl>
      <w:tblPr>
        <w:tblStyle w:val="9"/>
        <w:tblW w:w="4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6045"/>
        <w:gridCol w:w="738"/>
      </w:tblGrid>
      <w:tr w14:paraId="04EC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000" w:type="pct"/>
            <w:gridSpan w:val="3"/>
            <w:noWrap/>
            <w:vAlign w:val="center"/>
          </w:tcPr>
          <w:p w14:paraId="31B7D9BB">
            <w:pPr>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5</w:t>
            </w:r>
            <w:r>
              <w:rPr>
                <w:rFonts w:hint="eastAsia" w:asciiTheme="majorEastAsia" w:hAnsiTheme="majorEastAsia" w:eastAsiaTheme="majorEastAsia"/>
                <w:color w:val="auto"/>
                <w:szCs w:val="21"/>
              </w:rPr>
              <w:t>移动护理PDA技术参数</w:t>
            </w:r>
          </w:p>
        </w:tc>
      </w:tr>
      <w:tr w14:paraId="6E48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3081225E">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指标项</w:t>
            </w:r>
          </w:p>
        </w:tc>
        <w:tc>
          <w:tcPr>
            <w:tcW w:w="3712" w:type="pct"/>
            <w:noWrap/>
            <w:vAlign w:val="center"/>
          </w:tcPr>
          <w:p w14:paraId="4012926A">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技术要求</w:t>
            </w:r>
          </w:p>
        </w:tc>
        <w:tc>
          <w:tcPr>
            <w:tcW w:w="451" w:type="pct"/>
            <w:noWrap/>
            <w:vAlign w:val="center"/>
          </w:tcPr>
          <w:p w14:paraId="17FB431A">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数量</w:t>
            </w:r>
          </w:p>
        </w:tc>
      </w:tr>
      <w:tr w14:paraId="74CB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031CB801">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处理器</w:t>
            </w:r>
          </w:p>
        </w:tc>
        <w:tc>
          <w:tcPr>
            <w:tcW w:w="3712" w:type="pct"/>
            <w:noWrap/>
            <w:vAlign w:val="center"/>
          </w:tcPr>
          <w:p w14:paraId="38EB114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≥8核处理器，频率≥2.3GHZ</w:t>
            </w:r>
          </w:p>
        </w:tc>
        <w:tc>
          <w:tcPr>
            <w:tcW w:w="451" w:type="pct"/>
            <w:vMerge w:val="restart"/>
            <w:noWrap/>
            <w:vAlign w:val="center"/>
          </w:tcPr>
          <w:p w14:paraId="7E7807E1">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140</w:t>
            </w:r>
            <w:r>
              <w:rPr>
                <w:rFonts w:hint="eastAsia" w:asciiTheme="majorEastAsia" w:hAnsiTheme="majorEastAsia" w:eastAsiaTheme="majorEastAsia"/>
                <w:color w:val="auto"/>
                <w:szCs w:val="21"/>
              </w:rPr>
              <w:t>台</w:t>
            </w:r>
          </w:p>
        </w:tc>
      </w:tr>
      <w:tr w14:paraId="7B59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0C42CC4D">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内存容量</w:t>
            </w:r>
          </w:p>
        </w:tc>
        <w:tc>
          <w:tcPr>
            <w:tcW w:w="3712" w:type="pct"/>
            <w:noWrap/>
            <w:vAlign w:val="center"/>
          </w:tcPr>
          <w:p w14:paraId="6AC7F87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≥3GB RAM，≥32GB ROM</w:t>
            </w:r>
          </w:p>
        </w:tc>
        <w:tc>
          <w:tcPr>
            <w:tcW w:w="451" w:type="pct"/>
            <w:vMerge w:val="continue"/>
            <w:noWrap/>
            <w:vAlign w:val="center"/>
          </w:tcPr>
          <w:p w14:paraId="2B44C491">
            <w:pPr>
              <w:spacing w:line="440" w:lineRule="exact"/>
              <w:jc w:val="center"/>
              <w:rPr>
                <w:rFonts w:asciiTheme="majorEastAsia" w:hAnsiTheme="majorEastAsia" w:eastAsiaTheme="majorEastAsia"/>
                <w:color w:val="auto"/>
                <w:szCs w:val="21"/>
              </w:rPr>
            </w:pPr>
          </w:p>
        </w:tc>
      </w:tr>
      <w:tr w14:paraId="12DB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1CE91111">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续航能力</w:t>
            </w:r>
          </w:p>
        </w:tc>
        <w:tc>
          <w:tcPr>
            <w:tcW w:w="3712" w:type="pct"/>
            <w:noWrap/>
            <w:vAlign w:val="center"/>
          </w:tcPr>
          <w:p w14:paraId="069F312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可充电的锂离子电池，容量≥4100mAh</w:t>
            </w:r>
          </w:p>
        </w:tc>
        <w:tc>
          <w:tcPr>
            <w:tcW w:w="451" w:type="pct"/>
            <w:vMerge w:val="continue"/>
            <w:noWrap/>
            <w:vAlign w:val="center"/>
          </w:tcPr>
          <w:p w14:paraId="1210BB40">
            <w:pPr>
              <w:spacing w:line="440" w:lineRule="exact"/>
              <w:jc w:val="center"/>
              <w:rPr>
                <w:rFonts w:asciiTheme="majorEastAsia" w:hAnsiTheme="majorEastAsia" w:eastAsiaTheme="majorEastAsia"/>
                <w:color w:val="auto"/>
                <w:szCs w:val="21"/>
              </w:rPr>
            </w:pPr>
          </w:p>
        </w:tc>
      </w:tr>
      <w:tr w14:paraId="6007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678295BC">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按键</w:t>
            </w:r>
          </w:p>
        </w:tc>
        <w:tc>
          <w:tcPr>
            <w:tcW w:w="3712" w:type="pct"/>
            <w:noWrap/>
            <w:vAlign w:val="center"/>
          </w:tcPr>
          <w:p w14:paraId="485FD6D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电源键，扫描键（左右），手电筒键，快捷功能键</w:t>
            </w:r>
          </w:p>
        </w:tc>
        <w:tc>
          <w:tcPr>
            <w:tcW w:w="451" w:type="pct"/>
            <w:vMerge w:val="continue"/>
            <w:noWrap/>
            <w:vAlign w:val="center"/>
          </w:tcPr>
          <w:p w14:paraId="1B301CD9">
            <w:pPr>
              <w:spacing w:line="440" w:lineRule="exact"/>
              <w:jc w:val="center"/>
              <w:rPr>
                <w:rFonts w:asciiTheme="majorEastAsia" w:hAnsiTheme="majorEastAsia" w:eastAsiaTheme="majorEastAsia"/>
                <w:color w:val="auto"/>
                <w:szCs w:val="21"/>
              </w:rPr>
            </w:pPr>
          </w:p>
        </w:tc>
      </w:tr>
      <w:tr w14:paraId="14D0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30F20B8B">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屏幕</w:t>
            </w:r>
          </w:p>
        </w:tc>
        <w:tc>
          <w:tcPr>
            <w:tcW w:w="3712" w:type="pct"/>
            <w:noWrap/>
            <w:vAlign w:val="center"/>
          </w:tcPr>
          <w:p w14:paraId="16D4FCC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≥5英寸，电容多点触控，采用玻璃盖板</w:t>
            </w:r>
          </w:p>
        </w:tc>
        <w:tc>
          <w:tcPr>
            <w:tcW w:w="451" w:type="pct"/>
            <w:vMerge w:val="continue"/>
            <w:noWrap/>
            <w:vAlign w:val="center"/>
          </w:tcPr>
          <w:p w14:paraId="58174DA5">
            <w:pPr>
              <w:spacing w:line="440" w:lineRule="exact"/>
              <w:jc w:val="center"/>
              <w:rPr>
                <w:rFonts w:asciiTheme="majorEastAsia" w:hAnsiTheme="majorEastAsia" w:eastAsiaTheme="majorEastAsia"/>
                <w:color w:val="auto"/>
                <w:szCs w:val="21"/>
              </w:rPr>
            </w:pPr>
          </w:p>
        </w:tc>
      </w:tr>
      <w:tr w14:paraId="4CFE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62C826B7">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分辨率</w:t>
            </w:r>
          </w:p>
        </w:tc>
        <w:tc>
          <w:tcPr>
            <w:tcW w:w="3712" w:type="pct"/>
            <w:noWrap/>
            <w:vAlign w:val="center"/>
          </w:tcPr>
          <w:p w14:paraId="64EC53B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≥1280 x7</w:t>
            </w:r>
            <w:r>
              <w:rPr>
                <w:rFonts w:asciiTheme="majorEastAsia" w:hAnsiTheme="majorEastAsia" w:eastAsiaTheme="majorEastAsia"/>
                <w:color w:val="auto"/>
                <w:szCs w:val="21"/>
              </w:rPr>
              <w:t>0</w:t>
            </w:r>
            <w:r>
              <w:rPr>
                <w:rFonts w:hint="eastAsia" w:asciiTheme="majorEastAsia" w:hAnsiTheme="majorEastAsia" w:eastAsiaTheme="majorEastAsia"/>
                <w:color w:val="auto"/>
                <w:szCs w:val="21"/>
              </w:rPr>
              <w:t>0</w:t>
            </w:r>
          </w:p>
        </w:tc>
        <w:tc>
          <w:tcPr>
            <w:tcW w:w="451" w:type="pct"/>
            <w:vMerge w:val="continue"/>
            <w:noWrap/>
            <w:vAlign w:val="center"/>
          </w:tcPr>
          <w:p w14:paraId="3B86A99D">
            <w:pPr>
              <w:spacing w:line="440" w:lineRule="exact"/>
              <w:jc w:val="center"/>
              <w:rPr>
                <w:rFonts w:asciiTheme="majorEastAsia" w:hAnsiTheme="majorEastAsia" w:eastAsiaTheme="majorEastAsia"/>
                <w:color w:val="auto"/>
                <w:szCs w:val="21"/>
              </w:rPr>
            </w:pPr>
          </w:p>
        </w:tc>
      </w:tr>
      <w:tr w14:paraId="0A88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232F9674">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摄像头</w:t>
            </w:r>
          </w:p>
        </w:tc>
        <w:tc>
          <w:tcPr>
            <w:tcW w:w="3712" w:type="pct"/>
            <w:noWrap/>
            <w:vAlign w:val="center"/>
          </w:tcPr>
          <w:p w14:paraId="387FEA6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≥1300万像素，自动对焦摄像头</w:t>
            </w:r>
          </w:p>
        </w:tc>
        <w:tc>
          <w:tcPr>
            <w:tcW w:w="451" w:type="pct"/>
            <w:vMerge w:val="continue"/>
            <w:noWrap/>
            <w:vAlign w:val="center"/>
          </w:tcPr>
          <w:p w14:paraId="3D80B30C">
            <w:pPr>
              <w:spacing w:line="440" w:lineRule="exact"/>
              <w:jc w:val="center"/>
              <w:rPr>
                <w:rFonts w:asciiTheme="majorEastAsia" w:hAnsiTheme="majorEastAsia" w:eastAsiaTheme="majorEastAsia"/>
                <w:color w:val="auto"/>
                <w:szCs w:val="21"/>
              </w:rPr>
            </w:pPr>
          </w:p>
        </w:tc>
      </w:tr>
      <w:tr w14:paraId="463F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096D3689">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手电筒</w:t>
            </w:r>
          </w:p>
        </w:tc>
        <w:tc>
          <w:tcPr>
            <w:tcW w:w="3712" w:type="pct"/>
            <w:noWrap/>
            <w:vAlign w:val="center"/>
          </w:tcPr>
          <w:p w14:paraId="6FED253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双手电筒设置，分别方便护士察看病人瞳孔和夜间查房；在关机状态下也可以正常使用瞳孔手电筒。其中瞳孔手电为独立物理按键控制；查房手电为软件控制</w:t>
            </w:r>
          </w:p>
        </w:tc>
        <w:tc>
          <w:tcPr>
            <w:tcW w:w="451" w:type="pct"/>
            <w:vMerge w:val="continue"/>
            <w:noWrap/>
            <w:vAlign w:val="center"/>
          </w:tcPr>
          <w:p w14:paraId="2484170E">
            <w:pPr>
              <w:spacing w:line="440" w:lineRule="exact"/>
              <w:jc w:val="center"/>
              <w:rPr>
                <w:rFonts w:asciiTheme="majorEastAsia" w:hAnsiTheme="majorEastAsia" w:eastAsiaTheme="majorEastAsia"/>
                <w:color w:val="auto"/>
                <w:szCs w:val="21"/>
              </w:rPr>
            </w:pPr>
          </w:p>
        </w:tc>
      </w:tr>
      <w:tr w14:paraId="4F298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537E1786">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重量</w:t>
            </w:r>
          </w:p>
        </w:tc>
        <w:tc>
          <w:tcPr>
            <w:tcW w:w="3712" w:type="pct"/>
            <w:noWrap/>
            <w:vAlign w:val="center"/>
          </w:tcPr>
          <w:p w14:paraId="6A61481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≤230g（含标准电池）</w:t>
            </w:r>
          </w:p>
        </w:tc>
        <w:tc>
          <w:tcPr>
            <w:tcW w:w="451" w:type="pct"/>
            <w:vMerge w:val="continue"/>
            <w:noWrap/>
            <w:vAlign w:val="center"/>
          </w:tcPr>
          <w:p w14:paraId="287A17B5">
            <w:pPr>
              <w:spacing w:line="440" w:lineRule="exact"/>
              <w:jc w:val="center"/>
              <w:rPr>
                <w:rFonts w:asciiTheme="majorEastAsia" w:hAnsiTheme="majorEastAsia" w:eastAsiaTheme="majorEastAsia"/>
                <w:color w:val="auto"/>
                <w:szCs w:val="21"/>
              </w:rPr>
            </w:pPr>
          </w:p>
        </w:tc>
      </w:tr>
      <w:tr w14:paraId="31EA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3AAE1300">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防摔抗震</w:t>
            </w:r>
          </w:p>
        </w:tc>
        <w:tc>
          <w:tcPr>
            <w:tcW w:w="3712" w:type="pct"/>
            <w:noWrap/>
            <w:vAlign w:val="center"/>
          </w:tcPr>
          <w:p w14:paraId="524121A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可承受1.2m高处到地面的多次跌落；1000次0.5米滚桶测试</w:t>
            </w:r>
          </w:p>
        </w:tc>
        <w:tc>
          <w:tcPr>
            <w:tcW w:w="451" w:type="pct"/>
            <w:vMerge w:val="continue"/>
            <w:noWrap/>
            <w:vAlign w:val="center"/>
          </w:tcPr>
          <w:p w14:paraId="28C4CA79">
            <w:pPr>
              <w:spacing w:line="440" w:lineRule="exact"/>
              <w:jc w:val="center"/>
              <w:rPr>
                <w:rFonts w:asciiTheme="majorEastAsia" w:hAnsiTheme="majorEastAsia" w:eastAsiaTheme="majorEastAsia"/>
                <w:color w:val="auto"/>
                <w:szCs w:val="21"/>
              </w:rPr>
            </w:pPr>
          </w:p>
        </w:tc>
      </w:tr>
      <w:tr w14:paraId="41E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67EEE2F4">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WIFI网络</w:t>
            </w:r>
          </w:p>
        </w:tc>
        <w:tc>
          <w:tcPr>
            <w:tcW w:w="3712" w:type="pct"/>
            <w:noWrap/>
            <w:vAlign w:val="center"/>
          </w:tcPr>
          <w:p w14:paraId="6F13A14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支持802.11a/b/g/n/ac协议，2.4G/5G双频</w:t>
            </w:r>
          </w:p>
        </w:tc>
        <w:tc>
          <w:tcPr>
            <w:tcW w:w="451" w:type="pct"/>
            <w:vMerge w:val="continue"/>
            <w:noWrap/>
            <w:vAlign w:val="center"/>
          </w:tcPr>
          <w:p w14:paraId="0903AA6C">
            <w:pPr>
              <w:spacing w:line="440" w:lineRule="exact"/>
              <w:jc w:val="center"/>
              <w:rPr>
                <w:rFonts w:asciiTheme="majorEastAsia" w:hAnsiTheme="majorEastAsia" w:eastAsiaTheme="majorEastAsia"/>
                <w:color w:val="auto"/>
                <w:szCs w:val="21"/>
              </w:rPr>
            </w:pPr>
          </w:p>
        </w:tc>
      </w:tr>
      <w:tr w14:paraId="072A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56069B9B">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无线广域网</w:t>
            </w:r>
          </w:p>
        </w:tc>
        <w:tc>
          <w:tcPr>
            <w:tcW w:w="3712" w:type="pct"/>
            <w:noWrap/>
            <w:vAlign w:val="center"/>
          </w:tcPr>
          <w:p w14:paraId="2540DEE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支持4G全网通</w:t>
            </w:r>
          </w:p>
        </w:tc>
        <w:tc>
          <w:tcPr>
            <w:tcW w:w="451" w:type="pct"/>
            <w:vMerge w:val="continue"/>
            <w:noWrap/>
            <w:vAlign w:val="center"/>
          </w:tcPr>
          <w:p w14:paraId="47A5E6E2">
            <w:pPr>
              <w:spacing w:line="440" w:lineRule="exact"/>
              <w:jc w:val="center"/>
              <w:rPr>
                <w:rFonts w:asciiTheme="majorEastAsia" w:hAnsiTheme="majorEastAsia" w:eastAsiaTheme="majorEastAsia"/>
                <w:color w:val="auto"/>
                <w:szCs w:val="21"/>
              </w:rPr>
            </w:pPr>
          </w:p>
        </w:tc>
      </w:tr>
      <w:tr w14:paraId="5BAF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3AF5AEB1">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蓝牙</w:t>
            </w:r>
          </w:p>
        </w:tc>
        <w:tc>
          <w:tcPr>
            <w:tcW w:w="3712" w:type="pct"/>
            <w:noWrap/>
            <w:vAlign w:val="center"/>
          </w:tcPr>
          <w:p w14:paraId="23E5075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≥Bluetooth 4.1+LE+HS+EDR</w:t>
            </w:r>
          </w:p>
        </w:tc>
        <w:tc>
          <w:tcPr>
            <w:tcW w:w="451" w:type="pct"/>
            <w:vMerge w:val="continue"/>
            <w:noWrap/>
            <w:vAlign w:val="center"/>
          </w:tcPr>
          <w:p w14:paraId="59E1A74C">
            <w:pPr>
              <w:spacing w:line="440" w:lineRule="exact"/>
              <w:jc w:val="center"/>
              <w:rPr>
                <w:rFonts w:asciiTheme="majorEastAsia" w:hAnsiTheme="majorEastAsia" w:eastAsiaTheme="majorEastAsia"/>
                <w:color w:val="auto"/>
                <w:szCs w:val="21"/>
              </w:rPr>
            </w:pPr>
          </w:p>
        </w:tc>
      </w:tr>
      <w:tr w14:paraId="7EC2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756827F9">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条码扫描引擎</w:t>
            </w:r>
          </w:p>
        </w:tc>
        <w:tc>
          <w:tcPr>
            <w:tcW w:w="3712" w:type="pct"/>
            <w:noWrap/>
            <w:vAlign w:val="center"/>
          </w:tcPr>
          <w:p w14:paraId="0F59F79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扫描头；扫描范围：≥40°（水平）, ≥ 30° （垂直）；扫描角度：旋转角度360°，上下倾角：±45°，左右倾角：±60°;</w:t>
            </w:r>
          </w:p>
        </w:tc>
        <w:tc>
          <w:tcPr>
            <w:tcW w:w="451" w:type="pct"/>
            <w:vMerge w:val="continue"/>
            <w:noWrap/>
            <w:vAlign w:val="center"/>
          </w:tcPr>
          <w:p w14:paraId="2D14402B">
            <w:pPr>
              <w:spacing w:line="440" w:lineRule="exact"/>
              <w:jc w:val="center"/>
              <w:rPr>
                <w:rFonts w:asciiTheme="majorEastAsia" w:hAnsiTheme="majorEastAsia" w:eastAsiaTheme="majorEastAsia"/>
                <w:color w:val="auto"/>
                <w:szCs w:val="21"/>
              </w:rPr>
            </w:pPr>
          </w:p>
        </w:tc>
      </w:tr>
      <w:tr w14:paraId="0369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71ED1C3B">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条码扫描窗</w:t>
            </w:r>
          </w:p>
        </w:tc>
        <w:tc>
          <w:tcPr>
            <w:tcW w:w="3712" w:type="pct"/>
            <w:noWrap/>
            <w:vAlign w:val="center"/>
          </w:tcPr>
          <w:p w14:paraId="734208D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为方便医护人员无需弯曲手腕即可完成扫描，扫描窗口采用斜切角15°设计。</w:t>
            </w:r>
          </w:p>
        </w:tc>
        <w:tc>
          <w:tcPr>
            <w:tcW w:w="451" w:type="pct"/>
            <w:vMerge w:val="continue"/>
            <w:noWrap/>
            <w:vAlign w:val="center"/>
          </w:tcPr>
          <w:p w14:paraId="311342F3">
            <w:pPr>
              <w:spacing w:line="440" w:lineRule="exact"/>
              <w:jc w:val="center"/>
              <w:rPr>
                <w:rFonts w:asciiTheme="majorEastAsia" w:hAnsiTheme="majorEastAsia" w:eastAsiaTheme="majorEastAsia"/>
                <w:color w:val="auto"/>
                <w:szCs w:val="21"/>
              </w:rPr>
            </w:pPr>
          </w:p>
        </w:tc>
      </w:tr>
      <w:tr w14:paraId="5611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2DBD682A">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连续扫描</w:t>
            </w:r>
          </w:p>
        </w:tc>
        <w:tc>
          <w:tcPr>
            <w:tcW w:w="3712" w:type="pct"/>
            <w:noWrap/>
            <w:vAlign w:val="center"/>
          </w:tcPr>
          <w:p w14:paraId="5829F68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可支持条码屏幕倒转扫描和自动连续扫描，速度分快速、中速、慢速</w:t>
            </w:r>
          </w:p>
        </w:tc>
        <w:tc>
          <w:tcPr>
            <w:tcW w:w="451" w:type="pct"/>
            <w:vMerge w:val="continue"/>
            <w:noWrap/>
            <w:vAlign w:val="center"/>
          </w:tcPr>
          <w:p w14:paraId="3BB0A3DF">
            <w:pPr>
              <w:spacing w:line="440" w:lineRule="exact"/>
              <w:jc w:val="center"/>
              <w:rPr>
                <w:rFonts w:asciiTheme="majorEastAsia" w:hAnsiTheme="majorEastAsia" w:eastAsiaTheme="majorEastAsia"/>
                <w:color w:val="auto"/>
                <w:szCs w:val="21"/>
              </w:rPr>
            </w:pPr>
          </w:p>
        </w:tc>
      </w:tr>
      <w:tr w14:paraId="0AF9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3D541F36">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操作系统</w:t>
            </w:r>
          </w:p>
        </w:tc>
        <w:tc>
          <w:tcPr>
            <w:tcW w:w="3712" w:type="pct"/>
            <w:noWrap/>
            <w:vAlign w:val="center"/>
          </w:tcPr>
          <w:p w14:paraId="35C0418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Android7.1或以上操作系统</w:t>
            </w:r>
          </w:p>
        </w:tc>
        <w:tc>
          <w:tcPr>
            <w:tcW w:w="451" w:type="pct"/>
            <w:vMerge w:val="continue"/>
            <w:noWrap/>
            <w:vAlign w:val="center"/>
          </w:tcPr>
          <w:p w14:paraId="6FEC24CE">
            <w:pPr>
              <w:spacing w:line="440" w:lineRule="exact"/>
              <w:jc w:val="center"/>
              <w:rPr>
                <w:rFonts w:asciiTheme="majorEastAsia" w:hAnsiTheme="majorEastAsia" w:eastAsiaTheme="majorEastAsia"/>
                <w:color w:val="auto"/>
                <w:szCs w:val="21"/>
              </w:rPr>
            </w:pPr>
          </w:p>
        </w:tc>
      </w:tr>
      <w:tr w14:paraId="6607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24508DC5">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超级用户</w:t>
            </w:r>
          </w:p>
        </w:tc>
        <w:tc>
          <w:tcPr>
            <w:tcW w:w="3712" w:type="pct"/>
            <w:noWrap/>
            <w:vAlign w:val="center"/>
          </w:tcPr>
          <w:p w14:paraId="63D314B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内置超级用户程序，防止用户忘记密码时解锁不了设备</w:t>
            </w:r>
          </w:p>
        </w:tc>
        <w:tc>
          <w:tcPr>
            <w:tcW w:w="451" w:type="pct"/>
            <w:vMerge w:val="continue"/>
            <w:noWrap/>
            <w:vAlign w:val="center"/>
          </w:tcPr>
          <w:p w14:paraId="2F64DB16">
            <w:pPr>
              <w:spacing w:line="440" w:lineRule="exact"/>
              <w:jc w:val="center"/>
              <w:rPr>
                <w:rFonts w:asciiTheme="majorEastAsia" w:hAnsiTheme="majorEastAsia" w:eastAsiaTheme="majorEastAsia"/>
                <w:color w:val="auto"/>
                <w:szCs w:val="21"/>
              </w:rPr>
            </w:pPr>
          </w:p>
        </w:tc>
      </w:tr>
      <w:tr w14:paraId="161E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509E75F0">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一键启动</w:t>
            </w:r>
          </w:p>
        </w:tc>
        <w:tc>
          <w:tcPr>
            <w:tcW w:w="3712" w:type="pct"/>
            <w:noWrap/>
            <w:vAlign w:val="center"/>
          </w:tcPr>
          <w:p w14:paraId="0FECF32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设备具有一键启动功能，用户可自由设置相关软件的一键启动</w:t>
            </w:r>
          </w:p>
        </w:tc>
        <w:tc>
          <w:tcPr>
            <w:tcW w:w="451" w:type="pct"/>
            <w:vMerge w:val="continue"/>
            <w:noWrap/>
            <w:vAlign w:val="center"/>
          </w:tcPr>
          <w:p w14:paraId="5582485A">
            <w:pPr>
              <w:spacing w:line="440" w:lineRule="exact"/>
              <w:jc w:val="center"/>
              <w:rPr>
                <w:rFonts w:asciiTheme="majorEastAsia" w:hAnsiTheme="majorEastAsia" w:eastAsiaTheme="majorEastAsia"/>
                <w:color w:val="auto"/>
                <w:szCs w:val="21"/>
              </w:rPr>
            </w:pPr>
          </w:p>
        </w:tc>
      </w:tr>
      <w:tr w14:paraId="068E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274EBF49">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网络安全管理</w:t>
            </w:r>
          </w:p>
        </w:tc>
        <w:tc>
          <w:tcPr>
            <w:tcW w:w="3712" w:type="pct"/>
            <w:noWrap/>
            <w:vAlign w:val="center"/>
          </w:tcPr>
          <w:p w14:paraId="5FCA16D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不借助任何第三方软件即可实现对医院Wlan指定SSID和MAC地址双向绑定，确保设备广西壮族自治区江滨医院院内医疗使用。（需提供功能截图证明文件）</w:t>
            </w:r>
          </w:p>
        </w:tc>
        <w:tc>
          <w:tcPr>
            <w:tcW w:w="451" w:type="pct"/>
            <w:vMerge w:val="continue"/>
            <w:noWrap/>
            <w:vAlign w:val="center"/>
          </w:tcPr>
          <w:p w14:paraId="78AEA5C6">
            <w:pPr>
              <w:spacing w:line="440" w:lineRule="exact"/>
              <w:jc w:val="center"/>
              <w:rPr>
                <w:rFonts w:asciiTheme="majorEastAsia" w:hAnsiTheme="majorEastAsia" w:eastAsiaTheme="majorEastAsia"/>
                <w:color w:val="auto"/>
                <w:szCs w:val="21"/>
              </w:rPr>
            </w:pPr>
          </w:p>
        </w:tc>
      </w:tr>
      <w:tr w14:paraId="14E8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7770D404">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设备安全管理</w:t>
            </w:r>
          </w:p>
        </w:tc>
        <w:tc>
          <w:tcPr>
            <w:tcW w:w="3712" w:type="pct"/>
            <w:noWrap/>
            <w:vAlign w:val="center"/>
          </w:tcPr>
          <w:p w14:paraId="1B7BF6E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提供设备安全管理方案，对软件的安装/卸载、设置、USB数据传输、文件管理（复制、修改、删除文件）进行密码保护。</w:t>
            </w:r>
          </w:p>
        </w:tc>
        <w:tc>
          <w:tcPr>
            <w:tcW w:w="451" w:type="pct"/>
            <w:vMerge w:val="continue"/>
            <w:noWrap/>
            <w:vAlign w:val="center"/>
          </w:tcPr>
          <w:p w14:paraId="58947C8D">
            <w:pPr>
              <w:spacing w:line="440" w:lineRule="exact"/>
              <w:jc w:val="center"/>
              <w:rPr>
                <w:rFonts w:asciiTheme="majorEastAsia" w:hAnsiTheme="majorEastAsia" w:eastAsiaTheme="majorEastAsia"/>
                <w:color w:val="auto"/>
                <w:szCs w:val="21"/>
              </w:rPr>
            </w:pPr>
          </w:p>
        </w:tc>
      </w:tr>
      <w:tr w14:paraId="7B6E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6006F7E8">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强制性认证</w:t>
            </w:r>
          </w:p>
        </w:tc>
        <w:tc>
          <w:tcPr>
            <w:tcW w:w="3712" w:type="pct"/>
            <w:noWrap/>
            <w:vAlign w:val="center"/>
          </w:tcPr>
          <w:p w14:paraId="02F68B5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投标时提供投标产品具有CCC认证证书</w:t>
            </w:r>
          </w:p>
        </w:tc>
        <w:tc>
          <w:tcPr>
            <w:tcW w:w="451" w:type="pct"/>
            <w:vMerge w:val="continue"/>
            <w:noWrap/>
            <w:vAlign w:val="center"/>
          </w:tcPr>
          <w:p w14:paraId="59E0B8B4">
            <w:pPr>
              <w:spacing w:line="440" w:lineRule="exact"/>
              <w:jc w:val="center"/>
              <w:rPr>
                <w:rFonts w:asciiTheme="majorEastAsia" w:hAnsiTheme="majorEastAsia" w:eastAsiaTheme="majorEastAsia"/>
                <w:color w:val="auto"/>
                <w:szCs w:val="21"/>
              </w:rPr>
            </w:pPr>
          </w:p>
        </w:tc>
      </w:tr>
      <w:tr w14:paraId="6F6B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01DBC21A">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医用电气安全</w:t>
            </w:r>
          </w:p>
        </w:tc>
        <w:tc>
          <w:tcPr>
            <w:tcW w:w="3712" w:type="pct"/>
            <w:noWrap/>
            <w:vAlign w:val="center"/>
          </w:tcPr>
          <w:p w14:paraId="6C23CA5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投标产品通过YY0505-2012医用电气安全检测</w:t>
            </w:r>
          </w:p>
        </w:tc>
        <w:tc>
          <w:tcPr>
            <w:tcW w:w="451" w:type="pct"/>
            <w:vMerge w:val="continue"/>
            <w:noWrap/>
            <w:vAlign w:val="center"/>
          </w:tcPr>
          <w:p w14:paraId="3D908B62">
            <w:pPr>
              <w:spacing w:line="440" w:lineRule="exact"/>
              <w:jc w:val="center"/>
              <w:rPr>
                <w:rFonts w:asciiTheme="majorEastAsia" w:hAnsiTheme="majorEastAsia" w:eastAsiaTheme="majorEastAsia"/>
                <w:color w:val="auto"/>
                <w:szCs w:val="21"/>
              </w:rPr>
            </w:pPr>
          </w:p>
        </w:tc>
      </w:tr>
      <w:tr w14:paraId="2A90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47DBDB95">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辐射安全</w:t>
            </w:r>
          </w:p>
        </w:tc>
        <w:tc>
          <w:tcPr>
            <w:tcW w:w="3712" w:type="pct"/>
            <w:noWrap/>
            <w:vAlign w:val="center"/>
          </w:tcPr>
          <w:p w14:paraId="171B3DE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投标时提供产品的国家政府部门颁发的辐射安全许可证，需提供证书复印件加盖原厂公章。</w:t>
            </w:r>
          </w:p>
        </w:tc>
        <w:tc>
          <w:tcPr>
            <w:tcW w:w="451" w:type="pct"/>
            <w:vMerge w:val="continue"/>
            <w:noWrap/>
            <w:vAlign w:val="center"/>
          </w:tcPr>
          <w:p w14:paraId="6C3A448D">
            <w:pPr>
              <w:spacing w:line="440" w:lineRule="exact"/>
              <w:jc w:val="center"/>
              <w:rPr>
                <w:rFonts w:asciiTheme="majorEastAsia" w:hAnsiTheme="majorEastAsia" w:eastAsiaTheme="majorEastAsia"/>
                <w:color w:val="auto"/>
                <w:szCs w:val="21"/>
              </w:rPr>
            </w:pPr>
          </w:p>
        </w:tc>
      </w:tr>
      <w:tr w14:paraId="12E0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vAlign w:val="center"/>
          </w:tcPr>
          <w:p w14:paraId="23100403">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平均无故障</w:t>
            </w:r>
          </w:p>
        </w:tc>
        <w:tc>
          <w:tcPr>
            <w:tcW w:w="3712" w:type="pct"/>
            <w:noWrap/>
            <w:vAlign w:val="center"/>
          </w:tcPr>
          <w:p w14:paraId="33B0189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MTBF≥20万小时</w:t>
            </w:r>
          </w:p>
        </w:tc>
        <w:tc>
          <w:tcPr>
            <w:tcW w:w="451" w:type="pct"/>
            <w:vMerge w:val="continue"/>
            <w:noWrap/>
            <w:vAlign w:val="center"/>
          </w:tcPr>
          <w:p w14:paraId="0E74EE83">
            <w:pPr>
              <w:spacing w:line="440" w:lineRule="exact"/>
              <w:jc w:val="center"/>
              <w:rPr>
                <w:rFonts w:asciiTheme="majorEastAsia" w:hAnsiTheme="majorEastAsia" w:eastAsiaTheme="majorEastAsia"/>
                <w:color w:val="auto"/>
                <w:szCs w:val="21"/>
              </w:rPr>
            </w:pPr>
          </w:p>
        </w:tc>
      </w:tr>
      <w:tr w14:paraId="4A52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tcPr>
          <w:p w14:paraId="272F1523">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防护等级</w:t>
            </w:r>
          </w:p>
        </w:tc>
        <w:tc>
          <w:tcPr>
            <w:tcW w:w="3712" w:type="pct"/>
            <w:noWrap/>
          </w:tcPr>
          <w:p w14:paraId="245D24A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IP54</w:t>
            </w:r>
          </w:p>
        </w:tc>
        <w:tc>
          <w:tcPr>
            <w:tcW w:w="451" w:type="pct"/>
            <w:vMerge w:val="continue"/>
            <w:noWrap/>
          </w:tcPr>
          <w:p w14:paraId="71A0829B">
            <w:pPr>
              <w:spacing w:line="440" w:lineRule="exact"/>
              <w:jc w:val="center"/>
              <w:rPr>
                <w:rFonts w:asciiTheme="majorEastAsia" w:hAnsiTheme="majorEastAsia" w:eastAsiaTheme="majorEastAsia"/>
                <w:color w:val="auto"/>
                <w:szCs w:val="21"/>
              </w:rPr>
            </w:pPr>
          </w:p>
        </w:tc>
      </w:tr>
      <w:tr w14:paraId="5D94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5" w:type="pct"/>
            <w:noWrap/>
          </w:tcPr>
          <w:p w14:paraId="08EA384D">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配件</w:t>
            </w:r>
          </w:p>
        </w:tc>
        <w:tc>
          <w:tcPr>
            <w:tcW w:w="3712" w:type="pct"/>
            <w:noWrap/>
          </w:tcPr>
          <w:p w14:paraId="46FD0C1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须配备PDA保护套与保护屏</w:t>
            </w:r>
          </w:p>
        </w:tc>
        <w:tc>
          <w:tcPr>
            <w:tcW w:w="451" w:type="pct"/>
            <w:vMerge w:val="continue"/>
            <w:noWrap/>
          </w:tcPr>
          <w:p w14:paraId="7D697460">
            <w:pPr>
              <w:spacing w:line="440" w:lineRule="exact"/>
              <w:jc w:val="center"/>
              <w:rPr>
                <w:rFonts w:asciiTheme="majorEastAsia" w:hAnsiTheme="majorEastAsia" w:eastAsiaTheme="majorEastAsia"/>
                <w:color w:val="auto"/>
                <w:szCs w:val="21"/>
              </w:rPr>
            </w:pPr>
          </w:p>
        </w:tc>
      </w:tr>
      <w:tr w14:paraId="6FF31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3"/>
            <w:noWrap/>
          </w:tcPr>
          <w:p w14:paraId="158EE66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提供从</w:t>
            </w:r>
            <w:r>
              <w:rPr>
                <w:rFonts w:hint="eastAsia" w:asciiTheme="majorEastAsia" w:hAnsiTheme="majorEastAsia" w:eastAsiaTheme="majorEastAsia"/>
                <w:color w:val="auto"/>
                <w:szCs w:val="21"/>
              </w:rPr>
              <w:t>硬件设备</w:t>
            </w:r>
            <w:r>
              <w:rPr>
                <w:rFonts w:asciiTheme="majorEastAsia" w:hAnsiTheme="majorEastAsia" w:eastAsiaTheme="majorEastAsia"/>
                <w:color w:val="auto"/>
                <w:szCs w:val="21"/>
              </w:rPr>
              <w:t>验收合格之日起原厂1年的免费质保服务。</w:t>
            </w:r>
          </w:p>
        </w:tc>
      </w:tr>
    </w:tbl>
    <w:p w14:paraId="5CB85778">
      <w:pPr>
        <w:spacing w:line="440" w:lineRule="exact"/>
        <w:jc w:val="left"/>
        <w:rPr>
          <w:rFonts w:asciiTheme="majorEastAsia" w:hAnsiTheme="majorEastAsia" w:eastAsiaTheme="majorEastAsia"/>
          <w:color w:val="auto"/>
          <w:szCs w:val="21"/>
        </w:rPr>
      </w:pPr>
    </w:p>
    <w:p w14:paraId="270C5A40">
      <w:pPr>
        <w:ind w:firstLine="420" w:firstLineChars="200"/>
        <w:rPr>
          <w:color w:val="auto"/>
        </w:rPr>
      </w:pPr>
    </w:p>
    <w:tbl>
      <w:tblPr>
        <w:tblStyle w:val="9"/>
        <w:tblW w:w="4783" w:type="pct"/>
        <w:tblInd w:w="205"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576"/>
        <w:gridCol w:w="2058"/>
        <w:gridCol w:w="4502"/>
        <w:gridCol w:w="1016"/>
      </w:tblGrid>
      <w:tr w14:paraId="47661BF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82" w:hRule="atLeast"/>
        </w:trPr>
        <w:tc>
          <w:tcPr>
            <w:tcW w:w="5000" w:type="pct"/>
            <w:gridSpan w:val="4"/>
            <w:tcBorders>
              <w:tl2br w:val="nil"/>
              <w:tr2bl w:val="nil"/>
            </w:tcBorders>
            <w:shd w:val="clear" w:color="auto" w:fill="auto"/>
            <w:vAlign w:val="center"/>
          </w:tcPr>
          <w:p w14:paraId="6DB20216">
            <w:pPr>
              <w:spacing w:line="440" w:lineRule="exact"/>
              <w:jc w:val="left"/>
              <w:rPr>
                <w:rFonts w:ascii="宋体" w:hAnsi="宋体"/>
                <w:color w:val="auto"/>
                <w:szCs w:val="21"/>
              </w:rPr>
            </w:pPr>
            <w:r>
              <w:rPr>
                <w:rFonts w:ascii="宋体" w:hAnsi="宋体"/>
                <w:color w:val="auto"/>
                <w:szCs w:val="21"/>
              </w:rPr>
              <w:t>2</w:t>
            </w:r>
            <w:r>
              <w:rPr>
                <w:rFonts w:hint="eastAsia" w:ascii="宋体" w:hAnsi="宋体"/>
                <w:color w:val="auto"/>
                <w:szCs w:val="21"/>
              </w:rPr>
              <w:t>.6腕带打印机技术参数</w:t>
            </w:r>
          </w:p>
        </w:tc>
      </w:tr>
      <w:tr w14:paraId="20C5E13E">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82" w:hRule="atLeast"/>
        </w:trPr>
        <w:tc>
          <w:tcPr>
            <w:tcW w:w="354" w:type="pct"/>
            <w:tcBorders>
              <w:tl2br w:val="nil"/>
              <w:tr2bl w:val="nil"/>
            </w:tcBorders>
            <w:shd w:val="clear" w:color="auto" w:fill="auto"/>
            <w:vAlign w:val="center"/>
          </w:tcPr>
          <w:p w14:paraId="6ABC21B1">
            <w:pPr>
              <w:jc w:val="center"/>
              <w:rPr>
                <w:rFonts w:ascii="宋体" w:hAnsi="宋体"/>
                <w:color w:val="auto"/>
                <w:szCs w:val="21"/>
              </w:rPr>
            </w:pPr>
            <w:r>
              <w:rPr>
                <w:rFonts w:hint="eastAsia" w:ascii="宋体" w:hAnsi="宋体"/>
                <w:color w:val="auto"/>
                <w:szCs w:val="21"/>
              </w:rPr>
              <w:t>指标项</w:t>
            </w:r>
          </w:p>
        </w:tc>
        <w:tc>
          <w:tcPr>
            <w:tcW w:w="1262" w:type="pct"/>
            <w:tcBorders>
              <w:tl2br w:val="nil"/>
              <w:tr2bl w:val="nil"/>
            </w:tcBorders>
            <w:shd w:val="clear" w:color="auto" w:fill="auto"/>
            <w:vAlign w:val="center"/>
          </w:tcPr>
          <w:p w14:paraId="4D098637">
            <w:pPr>
              <w:spacing w:line="440" w:lineRule="exact"/>
              <w:jc w:val="center"/>
              <w:rPr>
                <w:rFonts w:ascii="宋体" w:hAnsi="宋体"/>
                <w:color w:val="auto"/>
                <w:szCs w:val="21"/>
              </w:rPr>
            </w:pPr>
            <w:r>
              <w:rPr>
                <w:rFonts w:hint="eastAsia" w:ascii="宋体" w:hAnsi="宋体"/>
                <w:color w:val="auto"/>
                <w:szCs w:val="21"/>
              </w:rPr>
              <w:t>指标内容</w:t>
            </w:r>
          </w:p>
        </w:tc>
        <w:tc>
          <w:tcPr>
            <w:tcW w:w="2761" w:type="pct"/>
            <w:tcBorders>
              <w:tl2br w:val="nil"/>
              <w:tr2bl w:val="nil"/>
            </w:tcBorders>
            <w:shd w:val="clear" w:color="auto" w:fill="auto"/>
            <w:vAlign w:val="center"/>
          </w:tcPr>
          <w:p w14:paraId="37842BF2">
            <w:pPr>
              <w:spacing w:line="440" w:lineRule="exact"/>
              <w:jc w:val="center"/>
              <w:rPr>
                <w:rFonts w:ascii="宋体" w:hAnsi="宋体"/>
                <w:color w:val="auto"/>
                <w:szCs w:val="21"/>
              </w:rPr>
            </w:pPr>
            <w:r>
              <w:rPr>
                <w:rFonts w:hint="eastAsia" w:ascii="宋体" w:hAnsi="宋体"/>
                <w:color w:val="auto"/>
                <w:szCs w:val="21"/>
              </w:rPr>
              <w:t>技术要求</w:t>
            </w:r>
          </w:p>
        </w:tc>
        <w:tc>
          <w:tcPr>
            <w:tcW w:w="623" w:type="pct"/>
            <w:tcBorders>
              <w:tl2br w:val="nil"/>
              <w:tr2bl w:val="nil"/>
            </w:tcBorders>
            <w:shd w:val="clear" w:color="auto" w:fill="auto"/>
            <w:vAlign w:val="center"/>
          </w:tcPr>
          <w:p w14:paraId="66D95B69">
            <w:pPr>
              <w:jc w:val="center"/>
              <w:rPr>
                <w:rFonts w:ascii="宋体" w:hAnsi="宋体"/>
                <w:color w:val="auto"/>
                <w:szCs w:val="21"/>
              </w:rPr>
            </w:pPr>
            <w:r>
              <w:rPr>
                <w:rFonts w:hint="eastAsia" w:ascii="宋体" w:hAnsi="宋体"/>
                <w:color w:val="auto"/>
                <w:szCs w:val="21"/>
              </w:rPr>
              <w:t>数量</w:t>
            </w:r>
          </w:p>
        </w:tc>
      </w:tr>
      <w:tr w14:paraId="186E7B7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82" w:hRule="atLeast"/>
        </w:trPr>
        <w:tc>
          <w:tcPr>
            <w:tcW w:w="354" w:type="pct"/>
            <w:vMerge w:val="restart"/>
            <w:tcBorders>
              <w:tl2br w:val="nil"/>
              <w:tr2bl w:val="nil"/>
            </w:tcBorders>
            <w:shd w:val="clear" w:color="auto" w:fill="auto"/>
            <w:vAlign w:val="center"/>
          </w:tcPr>
          <w:p w14:paraId="7A554ABC">
            <w:pPr>
              <w:jc w:val="center"/>
              <w:rPr>
                <w:rFonts w:ascii="宋体" w:hAnsi="宋体"/>
                <w:color w:val="auto"/>
                <w:szCs w:val="21"/>
              </w:rPr>
            </w:pPr>
            <w:r>
              <w:rPr>
                <w:rFonts w:hint="eastAsia" w:ascii="宋体" w:hAnsi="宋体"/>
                <w:color w:val="auto"/>
                <w:szCs w:val="21"/>
              </w:rPr>
              <w:t>规格参数</w:t>
            </w:r>
          </w:p>
        </w:tc>
        <w:tc>
          <w:tcPr>
            <w:tcW w:w="1262" w:type="pct"/>
            <w:tcBorders>
              <w:tl2br w:val="nil"/>
              <w:tr2bl w:val="nil"/>
            </w:tcBorders>
            <w:shd w:val="clear" w:color="auto" w:fill="auto"/>
            <w:vAlign w:val="center"/>
          </w:tcPr>
          <w:p w14:paraId="74F8DE54">
            <w:pPr>
              <w:spacing w:line="440" w:lineRule="exact"/>
              <w:jc w:val="center"/>
              <w:rPr>
                <w:rFonts w:ascii="宋体" w:hAnsi="宋体"/>
                <w:color w:val="auto"/>
                <w:szCs w:val="21"/>
              </w:rPr>
            </w:pPr>
            <w:r>
              <w:rPr>
                <w:rFonts w:hint="eastAsia" w:ascii="宋体" w:hAnsi="宋体"/>
                <w:color w:val="auto"/>
                <w:szCs w:val="21"/>
              </w:rPr>
              <w:t>打印机体积尺寸</w:t>
            </w:r>
          </w:p>
        </w:tc>
        <w:tc>
          <w:tcPr>
            <w:tcW w:w="2761" w:type="pct"/>
            <w:tcBorders>
              <w:tl2br w:val="nil"/>
              <w:tr2bl w:val="nil"/>
            </w:tcBorders>
            <w:shd w:val="clear" w:color="auto" w:fill="auto"/>
            <w:vAlign w:val="center"/>
          </w:tcPr>
          <w:p w14:paraId="68E5B4CE">
            <w:pPr>
              <w:spacing w:line="440" w:lineRule="exact"/>
              <w:rPr>
                <w:rFonts w:ascii="宋体" w:hAnsi="宋体"/>
                <w:color w:val="auto"/>
                <w:szCs w:val="21"/>
              </w:rPr>
            </w:pPr>
            <w:r>
              <w:rPr>
                <w:rFonts w:hint="eastAsia" w:ascii="宋体" w:hAnsi="宋体"/>
                <w:color w:val="auto"/>
                <w:szCs w:val="21"/>
              </w:rPr>
              <w:t>约195mm(W)×180mm(H)×290mm(D)</w:t>
            </w:r>
          </w:p>
        </w:tc>
        <w:tc>
          <w:tcPr>
            <w:tcW w:w="623" w:type="pct"/>
            <w:vMerge w:val="restart"/>
            <w:tcBorders>
              <w:tl2br w:val="nil"/>
              <w:tr2bl w:val="nil"/>
            </w:tcBorders>
            <w:shd w:val="clear" w:color="auto" w:fill="auto"/>
            <w:vAlign w:val="center"/>
          </w:tcPr>
          <w:p w14:paraId="3B7CCC23">
            <w:pPr>
              <w:jc w:val="center"/>
              <w:rPr>
                <w:rFonts w:ascii="宋体" w:hAnsi="宋体"/>
                <w:color w:val="auto"/>
                <w:szCs w:val="21"/>
              </w:rPr>
            </w:pPr>
            <w:r>
              <w:rPr>
                <w:rFonts w:ascii="宋体" w:hAnsi="宋体"/>
                <w:color w:val="auto"/>
                <w:szCs w:val="21"/>
              </w:rPr>
              <w:t>52</w:t>
            </w:r>
            <w:r>
              <w:rPr>
                <w:rFonts w:hint="eastAsia" w:ascii="宋体" w:hAnsi="宋体"/>
                <w:color w:val="auto"/>
                <w:szCs w:val="21"/>
              </w:rPr>
              <w:t>台</w:t>
            </w:r>
          </w:p>
        </w:tc>
      </w:tr>
      <w:tr w14:paraId="28433C4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22D9E387">
            <w:pPr>
              <w:jc w:val="center"/>
              <w:rPr>
                <w:rFonts w:ascii="宋体" w:hAnsi="宋体"/>
                <w:color w:val="auto"/>
                <w:szCs w:val="21"/>
              </w:rPr>
            </w:pPr>
          </w:p>
        </w:tc>
        <w:tc>
          <w:tcPr>
            <w:tcW w:w="1262" w:type="pct"/>
            <w:tcBorders>
              <w:tl2br w:val="nil"/>
              <w:tr2bl w:val="nil"/>
            </w:tcBorders>
            <w:shd w:val="clear" w:color="auto" w:fill="auto"/>
            <w:vAlign w:val="center"/>
          </w:tcPr>
          <w:p w14:paraId="0DB8E489">
            <w:pPr>
              <w:widowControl/>
              <w:spacing w:line="440" w:lineRule="exact"/>
              <w:jc w:val="center"/>
              <w:textAlignment w:val="center"/>
              <w:rPr>
                <w:rFonts w:ascii="宋体" w:hAnsi="宋体"/>
                <w:color w:val="auto"/>
                <w:szCs w:val="21"/>
              </w:rPr>
            </w:pPr>
            <w:r>
              <w:rPr>
                <w:rFonts w:hint="eastAsia" w:ascii="宋体" w:hAnsi="宋体"/>
                <w:color w:val="auto"/>
                <w:szCs w:val="21"/>
              </w:rPr>
              <w:t>打印机重量</w:t>
            </w:r>
          </w:p>
        </w:tc>
        <w:tc>
          <w:tcPr>
            <w:tcW w:w="2761" w:type="pct"/>
            <w:tcBorders>
              <w:tl2br w:val="nil"/>
              <w:tr2bl w:val="nil"/>
            </w:tcBorders>
            <w:shd w:val="clear" w:color="auto" w:fill="auto"/>
            <w:vAlign w:val="center"/>
          </w:tcPr>
          <w:p w14:paraId="47F70CCA">
            <w:pPr>
              <w:widowControl/>
              <w:spacing w:line="440" w:lineRule="exact"/>
              <w:textAlignment w:val="center"/>
              <w:rPr>
                <w:rFonts w:ascii="宋体" w:hAnsi="宋体"/>
                <w:color w:val="auto"/>
                <w:szCs w:val="21"/>
              </w:rPr>
            </w:pPr>
            <w:r>
              <w:rPr>
                <w:rFonts w:hint="eastAsia" w:ascii="宋体" w:hAnsi="宋体"/>
                <w:color w:val="auto"/>
                <w:szCs w:val="21"/>
              </w:rPr>
              <w:t>约2.05KG</w:t>
            </w:r>
          </w:p>
        </w:tc>
        <w:tc>
          <w:tcPr>
            <w:tcW w:w="623" w:type="pct"/>
            <w:vMerge w:val="continue"/>
            <w:tcBorders>
              <w:tl2br w:val="nil"/>
              <w:tr2bl w:val="nil"/>
            </w:tcBorders>
            <w:shd w:val="clear" w:color="auto" w:fill="auto"/>
            <w:vAlign w:val="center"/>
          </w:tcPr>
          <w:p w14:paraId="3CAC11EE">
            <w:pPr>
              <w:widowControl/>
              <w:jc w:val="center"/>
              <w:textAlignment w:val="center"/>
              <w:rPr>
                <w:rFonts w:ascii="宋体" w:hAnsi="宋体"/>
                <w:color w:val="auto"/>
                <w:szCs w:val="21"/>
              </w:rPr>
            </w:pPr>
          </w:p>
        </w:tc>
      </w:tr>
      <w:tr w14:paraId="595D135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43" w:hRule="atLeast"/>
        </w:trPr>
        <w:tc>
          <w:tcPr>
            <w:tcW w:w="354" w:type="pct"/>
            <w:vMerge w:val="continue"/>
            <w:tcBorders>
              <w:tl2br w:val="nil"/>
              <w:tr2bl w:val="nil"/>
            </w:tcBorders>
            <w:shd w:val="clear" w:color="auto" w:fill="auto"/>
            <w:vAlign w:val="center"/>
          </w:tcPr>
          <w:p w14:paraId="1173D18D">
            <w:pPr>
              <w:jc w:val="center"/>
              <w:rPr>
                <w:rFonts w:ascii="宋体" w:hAnsi="宋体"/>
                <w:color w:val="auto"/>
                <w:szCs w:val="21"/>
              </w:rPr>
            </w:pPr>
          </w:p>
        </w:tc>
        <w:tc>
          <w:tcPr>
            <w:tcW w:w="1262" w:type="pct"/>
            <w:tcBorders>
              <w:tl2br w:val="nil"/>
              <w:tr2bl w:val="nil"/>
            </w:tcBorders>
            <w:shd w:val="clear" w:color="auto" w:fill="auto"/>
            <w:vAlign w:val="center"/>
          </w:tcPr>
          <w:p w14:paraId="0CC49129">
            <w:pPr>
              <w:widowControl/>
              <w:spacing w:line="440" w:lineRule="exact"/>
              <w:jc w:val="center"/>
              <w:textAlignment w:val="center"/>
              <w:rPr>
                <w:rFonts w:ascii="宋体" w:hAnsi="宋体"/>
                <w:color w:val="auto"/>
                <w:szCs w:val="21"/>
              </w:rPr>
            </w:pPr>
            <w:r>
              <w:rPr>
                <w:rFonts w:hint="eastAsia" w:ascii="宋体" w:hAnsi="宋体"/>
                <w:color w:val="auto"/>
                <w:szCs w:val="21"/>
              </w:rPr>
              <w:t>电源</w:t>
            </w:r>
          </w:p>
        </w:tc>
        <w:tc>
          <w:tcPr>
            <w:tcW w:w="2761" w:type="pct"/>
            <w:tcBorders>
              <w:tl2br w:val="nil"/>
              <w:tr2bl w:val="nil"/>
            </w:tcBorders>
            <w:shd w:val="clear" w:color="auto" w:fill="auto"/>
            <w:vAlign w:val="center"/>
          </w:tcPr>
          <w:p w14:paraId="0B93DEFD">
            <w:pPr>
              <w:widowControl/>
              <w:spacing w:line="440" w:lineRule="exact"/>
              <w:textAlignment w:val="center"/>
              <w:rPr>
                <w:rFonts w:ascii="宋体" w:hAnsi="宋体"/>
                <w:color w:val="auto"/>
                <w:szCs w:val="21"/>
              </w:rPr>
            </w:pPr>
            <w:r>
              <w:rPr>
                <w:rFonts w:hint="eastAsia" w:ascii="宋体" w:hAnsi="宋体"/>
                <w:color w:val="auto"/>
                <w:szCs w:val="21"/>
              </w:rPr>
              <w:t>内建电压自动切换电源供应器输入(Input)：AC 100-240V输出(Output)：DC 24V/2A</w:t>
            </w:r>
          </w:p>
        </w:tc>
        <w:tc>
          <w:tcPr>
            <w:tcW w:w="623" w:type="pct"/>
            <w:vMerge w:val="continue"/>
            <w:tcBorders>
              <w:tl2br w:val="nil"/>
              <w:tr2bl w:val="nil"/>
            </w:tcBorders>
            <w:shd w:val="clear" w:color="auto" w:fill="auto"/>
            <w:vAlign w:val="center"/>
          </w:tcPr>
          <w:p w14:paraId="3CD9F094">
            <w:pPr>
              <w:widowControl/>
              <w:jc w:val="center"/>
              <w:textAlignment w:val="center"/>
              <w:rPr>
                <w:rFonts w:ascii="宋体" w:hAnsi="宋体"/>
                <w:color w:val="auto"/>
                <w:szCs w:val="21"/>
              </w:rPr>
            </w:pPr>
          </w:p>
        </w:tc>
      </w:tr>
      <w:tr w14:paraId="5BFC038E">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6D53631D">
            <w:pPr>
              <w:jc w:val="center"/>
              <w:rPr>
                <w:rFonts w:ascii="宋体" w:hAnsi="宋体"/>
                <w:color w:val="auto"/>
                <w:szCs w:val="21"/>
              </w:rPr>
            </w:pPr>
          </w:p>
        </w:tc>
        <w:tc>
          <w:tcPr>
            <w:tcW w:w="1262" w:type="pct"/>
            <w:tcBorders>
              <w:tl2br w:val="nil"/>
              <w:tr2bl w:val="nil"/>
            </w:tcBorders>
            <w:shd w:val="clear" w:color="auto" w:fill="auto"/>
            <w:vAlign w:val="center"/>
          </w:tcPr>
          <w:p w14:paraId="260F6135">
            <w:pPr>
              <w:widowControl/>
              <w:spacing w:line="440" w:lineRule="exact"/>
              <w:jc w:val="center"/>
              <w:textAlignment w:val="center"/>
              <w:rPr>
                <w:rFonts w:ascii="宋体" w:hAnsi="宋体"/>
                <w:color w:val="auto"/>
                <w:szCs w:val="21"/>
              </w:rPr>
            </w:pPr>
            <w:r>
              <w:rPr>
                <w:rFonts w:hint="eastAsia" w:ascii="宋体" w:hAnsi="宋体"/>
                <w:color w:val="auto"/>
                <w:szCs w:val="21"/>
              </w:rPr>
              <w:t>环境条件</w:t>
            </w:r>
          </w:p>
        </w:tc>
        <w:tc>
          <w:tcPr>
            <w:tcW w:w="2761" w:type="pct"/>
            <w:tcBorders>
              <w:tl2br w:val="nil"/>
              <w:tr2bl w:val="nil"/>
            </w:tcBorders>
            <w:shd w:val="clear" w:color="auto" w:fill="auto"/>
            <w:vAlign w:val="center"/>
          </w:tcPr>
          <w:p w14:paraId="1A89DEA6">
            <w:pPr>
              <w:widowControl/>
              <w:spacing w:line="440" w:lineRule="exact"/>
              <w:textAlignment w:val="center"/>
              <w:rPr>
                <w:rFonts w:ascii="宋体" w:hAnsi="宋体"/>
                <w:color w:val="auto"/>
                <w:szCs w:val="21"/>
              </w:rPr>
            </w:pPr>
            <w:r>
              <w:rPr>
                <w:rFonts w:hint="eastAsia" w:ascii="宋体" w:hAnsi="宋体"/>
                <w:color w:val="auto"/>
                <w:szCs w:val="21"/>
              </w:rPr>
              <w:t>操作环境：5-45℃，25-85%不结露储存环境：-10-50℃,10-90%不结露</w:t>
            </w:r>
          </w:p>
        </w:tc>
        <w:tc>
          <w:tcPr>
            <w:tcW w:w="623" w:type="pct"/>
            <w:vMerge w:val="continue"/>
            <w:tcBorders>
              <w:tl2br w:val="nil"/>
              <w:tr2bl w:val="nil"/>
            </w:tcBorders>
            <w:shd w:val="clear" w:color="auto" w:fill="auto"/>
            <w:vAlign w:val="center"/>
          </w:tcPr>
          <w:p w14:paraId="3FC2509C">
            <w:pPr>
              <w:widowControl/>
              <w:jc w:val="center"/>
              <w:textAlignment w:val="center"/>
              <w:rPr>
                <w:rFonts w:ascii="宋体" w:hAnsi="宋体"/>
                <w:color w:val="auto"/>
                <w:szCs w:val="21"/>
              </w:rPr>
            </w:pPr>
          </w:p>
        </w:tc>
      </w:tr>
      <w:tr w14:paraId="02D79F8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continue"/>
            <w:tcBorders>
              <w:tl2br w:val="nil"/>
              <w:tr2bl w:val="nil"/>
            </w:tcBorders>
            <w:shd w:val="clear" w:color="auto" w:fill="auto"/>
            <w:vAlign w:val="center"/>
          </w:tcPr>
          <w:p w14:paraId="63D37B18">
            <w:pPr>
              <w:jc w:val="center"/>
              <w:rPr>
                <w:rFonts w:ascii="宋体" w:hAnsi="宋体"/>
                <w:color w:val="auto"/>
                <w:szCs w:val="21"/>
              </w:rPr>
            </w:pPr>
          </w:p>
        </w:tc>
        <w:tc>
          <w:tcPr>
            <w:tcW w:w="1262" w:type="pct"/>
            <w:tcBorders>
              <w:tl2br w:val="nil"/>
              <w:tr2bl w:val="nil"/>
            </w:tcBorders>
            <w:shd w:val="clear" w:color="auto" w:fill="auto"/>
            <w:vAlign w:val="center"/>
          </w:tcPr>
          <w:p w14:paraId="068D1D1E">
            <w:pPr>
              <w:widowControl/>
              <w:spacing w:line="440" w:lineRule="exact"/>
              <w:jc w:val="center"/>
              <w:textAlignment w:val="center"/>
              <w:rPr>
                <w:rFonts w:ascii="宋体" w:hAnsi="宋体"/>
                <w:color w:val="auto"/>
                <w:szCs w:val="21"/>
              </w:rPr>
            </w:pPr>
            <w:r>
              <w:rPr>
                <w:rFonts w:hint="eastAsia" w:ascii="宋体" w:hAnsi="宋体"/>
                <w:color w:val="auto"/>
                <w:szCs w:val="21"/>
              </w:rPr>
              <w:t>接口</w:t>
            </w:r>
          </w:p>
        </w:tc>
        <w:tc>
          <w:tcPr>
            <w:tcW w:w="2761" w:type="pct"/>
            <w:tcBorders>
              <w:tl2br w:val="nil"/>
              <w:tr2bl w:val="nil"/>
            </w:tcBorders>
            <w:shd w:val="clear" w:color="auto" w:fill="auto"/>
            <w:vAlign w:val="center"/>
          </w:tcPr>
          <w:p w14:paraId="610D4A48">
            <w:pPr>
              <w:widowControl/>
              <w:spacing w:line="440" w:lineRule="exact"/>
              <w:textAlignment w:val="center"/>
              <w:rPr>
                <w:rFonts w:ascii="宋体" w:hAnsi="宋体"/>
                <w:color w:val="auto"/>
                <w:szCs w:val="21"/>
              </w:rPr>
            </w:pPr>
            <w:r>
              <w:rPr>
                <w:rFonts w:hint="eastAsia" w:ascii="宋体" w:hAnsi="宋体"/>
                <w:color w:val="auto"/>
                <w:szCs w:val="21"/>
              </w:rPr>
              <w:t>3接口（串口+USB+并口）</w:t>
            </w:r>
          </w:p>
        </w:tc>
        <w:tc>
          <w:tcPr>
            <w:tcW w:w="623" w:type="pct"/>
            <w:vMerge w:val="continue"/>
            <w:tcBorders>
              <w:tl2br w:val="nil"/>
              <w:tr2bl w:val="nil"/>
            </w:tcBorders>
            <w:shd w:val="clear" w:color="auto" w:fill="auto"/>
            <w:vAlign w:val="center"/>
          </w:tcPr>
          <w:p w14:paraId="6BF8DC46">
            <w:pPr>
              <w:widowControl/>
              <w:jc w:val="center"/>
              <w:textAlignment w:val="center"/>
              <w:rPr>
                <w:rFonts w:ascii="宋体" w:hAnsi="宋体"/>
                <w:color w:val="auto"/>
                <w:szCs w:val="21"/>
              </w:rPr>
            </w:pPr>
          </w:p>
        </w:tc>
      </w:tr>
      <w:tr w14:paraId="1285E020">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restart"/>
            <w:tcBorders>
              <w:tl2br w:val="nil"/>
              <w:tr2bl w:val="nil"/>
            </w:tcBorders>
            <w:shd w:val="clear" w:color="auto" w:fill="auto"/>
            <w:vAlign w:val="center"/>
          </w:tcPr>
          <w:p w14:paraId="31A92E53">
            <w:pPr>
              <w:jc w:val="center"/>
              <w:rPr>
                <w:rFonts w:ascii="宋体" w:hAnsi="宋体"/>
                <w:color w:val="auto"/>
                <w:szCs w:val="21"/>
              </w:rPr>
            </w:pPr>
            <w:r>
              <w:rPr>
                <w:rFonts w:hint="eastAsia" w:ascii="宋体" w:hAnsi="宋体"/>
                <w:color w:val="auto"/>
                <w:szCs w:val="21"/>
              </w:rPr>
              <w:t>打印参数</w:t>
            </w:r>
          </w:p>
        </w:tc>
        <w:tc>
          <w:tcPr>
            <w:tcW w:w="1262" w:type="pct"/>
            <w:tcBorders>
              <w:tl2br w:val="nil"/>
              <w:tr2bl w:val="nil"/>
            </w:tcBorders>
            <w:shd w:val="clear" w:color="auto" w:fill="auto"/>
            <w:vAlign w:val="center"/>
          </w:tcPr>
          <w:p w14:paraId="0ACE5737">
            <w:pPr>
              <w:spacing w:line="440" w:lineRule="exact"/>
              <w:jc w:val="center"/>
              <w:rPr>
                <w:rFonts w:ascii="宋体" w:hAnsi="宋体"/>
                <w:color w:val="auto"/>
                <w:szCs w:val="21"/>
              </w:rPr>
            </w:pPr>
            <w:r>
              <w:rPr>
                <w:rFonts w:hint="eastAsia" w:ascii="宋体" w:hAnsi="宋体"/>
                <w:color w:val="auto"/>
                <w:szCs w:val="21"/>
              </w:rPr>
              <w:t>打印头解析度</w:t>
            </w:r>
          </w:p>
        </w:tc>
        <w:tc>
          <w:tcPr>
            <w:tcW w:w="2761" w:type="pct"/>
            <w:tcBorders>
              <w:tl2br w:val="nil"/>
              <w:tr2bl w:val="nil"/>
            </w:tcBorders>
            <w:shd w:val="clear" w:color="auto" w:fill="auto"/>
            <w:vAlign w:val="center"/>
          </w:tcPr>
          <w:p w14:paraId="44946ED4">
            <w:pPr>
              <w:spacing w:line="440" w:lineRule="exact"/>
              <w:rPr>
                <w:rFonts w:ascii="宋体" w:hAnsi="宋体"/>
                <w:color w:val="auto"/>
                <w:szCs w:val="21"/>
              </w:rPr>
            </w:pPr>
            <w:r>
              <w:rPr>
                <w:rFonts w:hint="eastAsia" w:ascii="宋体" w:hAnsi="宋体"/>
                <w:color w:val="auto"/>
                <w:szCs w:val="21"/>
              </w:rPr>
              <w:t>203dots/inch（8dots/mm）</w:t>
            </w:r>
          </w:p>
        </w:tc>
        <w:tc>
          <w:tcPr>
            <w:tcW w:w="623" w:type="pct"/>
            <w:vMerge w:val="continue"/>
            <w:tcBorders>
              <w:tl2br w:val="nil"/>
              <w:tr2bl w:val="nil"/>
            </w:tcBorders>
            <w:shd w:val="clear" w:color="auto" w:fill="auto"/>
            <w:vAlign w:val="center"/>
          </w:tcPr>
          <w:p w14:paraId="08003AC1">
            <w:pPr>
              <w:jc w:val="center"/>
              <w:rPr>
                <w:rFonts w:ascii="宋体" w:hAnsi="宋体"/>
                <w:color w:val="auto"/>
                <w:szCs w:val="21"/>
              </w:rPr>
            </w:pPr>
          </w:p>
        </w:tc>
      </w:tr>
      <w:tr w14:paraId="023EAA18">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continue"/>
            <w:tcBorders>
              <w:tl2br w:val="nil"/>
              <w:tr2bl w:val="nil"/>
            </w:tcBorders>
            <w:shd w:val="clear" w:color="auto" w:fill="auto"/>
            <w:vAlign w:val="center"/>
          </w:tcPr>
          <w:p w14:paraId="4A617F78">
            <w:pPr>
              <w:jc w:val="center"/>
              <w:rPr>
                <w:rFonts w:ascii="宋体" w:hAnsi="宋体"/>
                <w:color w:val="auto"/>
                <w:szCs w:val="21"/>
              </w:rPr>
            </w:pPr>
          </w:p>
        </w:tc>
        <w:tc>
          <w:tcPr>
            <w:tcW w:w="1262" w:type="pct"/>
            <w:tcBorders>
              <w:tl2br w:val="nil"/>
              <w:tr2bl w:val="nil"/>
            </w:tcBorders>
            <w:shd w:val="clear" w:color="auto" w:fill="auto"/>
            <w:vAlign w:val="center"/>
          </w:tcPr>
          <w:p w14:paraId="68E97E80">
            <w:pPr>
              <w:widowControl/>
              <w:spacing w:line="440" w:lineRule="exact"/>
              <w:jc w:val="center"/>
              <w:textAlignment w:val="center"/>
              <w:rPr>
                <w:rFonts w:ascii="宋体" w:hAnsi="宋体"/>
                <w:color w:val="auto"/>
                <w:szCs w:val="21"/>
              </w:rPr>
            </w:pPr>
            <w:r>
              <w:rPr>
                <w:rFonts w:hint="eastAsia" w:ascii="宋体" w:hAnsi="宋体"/>
                <w:color w:val="auto"/>
                <w:szCs w:val="21"/>
              </w:rPr>
              <w:t>打印模式</w:t>
            </w:r>
          </w:p>
        </w:tc>
        <w:tc>
          <w:tcPr>
            <w:tcW w:w="2761" w:type="pct"/>
            <w:tcBorders>
              <w:tl2br w:val="nil"/>
              <w:tr2bl w:val="nil"/>
            </w:tcBorders>
            <w:shd w:val="clear" w:color="auto" w:fill="auto"/>
            <w:vAlign w:val="center"/>
          </w:tcPr>
          <w:p w14:paraId="4BF0E4D5">
            <w:pPr>
              <w:widowControl/>
              <w:spacing w:line="440" w:lineRule="exact"/>
              <w:textAlignment w:val="center"/>
              <w:rPr>
                <w:rFonts w:ascii="宋体" w:hAnsi="宋体"/>
                <w:color w:val="auto"/>
                <w:szCs w:val="21"/>
              </w:rPr>
            </w:pPr>
            <w:r>
              <w:rPr>
                <w:rFonts w:hint="eastAsia" w:ascii="宋体" w:hAnsi="宋体"/>
                <w:color w:val="auto"/>
                <w:szCs w:val="21"/>
              </w:rPr>
              <w:t>支持碳带和热敏两种模式</w:t>
            </w:r>
          </w:p>
        </w:tc>
        <w:tc>
          <w:tcPr>
            <w:tcW w:w="623" w:type="pct"/>
            <w:vMerge w:val="continue"/>
            <w:tcBorders>
              <w:tl2br w:val="nil"/>
              <w:tr2bl w:val="nil"/>
            </w:tcBorders>
            <w:shd w:val="clear" w:color="auto" w:fill="auto"/>
            <w:vAlign w:val="center"/>
          </w:tcPr>
          <w:p w14:paraId="74A7BBAB">
            <w:pPr>
              <w:widowControl/>
              <w:jc w:val="center"/>
              <w:textAlignment w:val="center"/>
              <w:rPr>
                <w:rFonts w:ascii="宋体" w:hAnsi="宋体"/>
                <w:color w:val="auto"/>
                <w:szCs w:val="21"/>
              </w:rPr>
            </w:pPr>
          </w:p>
        </w:tc>
      </w:tr>
      <w:tr w14:paraId="14783B4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43" w:hRule="atLeast"/>
        </w:trPr>
        <w:tc>
          <w:tcPr>
            <w:tcW w:w="354" w:type="pct"/>
            <w:vMerge w:val="continue"/>
            <w:tcBorders>
              <w:tl2br w:val="nil"/>
              <w:tr2bl w:val="nil"/>
            </w:tcBorders>
            <w:shd w:val="clear" w:color="auto" w:fill="auto"/>
            <w:vAlign w:val="center"/>
          </w:tcPr>
          <w:p w14:paraId="2C0C2C92">
            <w:pPr>
              <w:jc w:val="center"/>
              <w:rPr>
                <w:rFonts w:ascii="宋体" w:hAnsi="宋体"/>
                <w:color w:val="auto"/>
                <w:szCs w:val="21"/>
              </w:rPr>
            </w:pPr>
          </w:p>
        </w:tc>
        <w:tc>
          <w:tcPr>
            <w:tcW w:w="1262" w:type="pct"/>
            <w:tcBorders>
              <w:tl2br w:val="nil"/>
              <w:tr2bl w:val="nil"/>
            </w:tcBorders>
            <w:shd w:val="clear" w:color="auto" w:fill="auto"/>
            <w:vAlign w:val="center"/>
          </w:tcPr>
          <w:p w14:paraId="67719A94">
            <w:pPr>
              <w:widowControl/>
              <w:spacing w:line="440" w:lineRule="exact"/>
              <w:jc w:val="center"/>
              <w:textAlignment w:val="center"/>
              <w:rPr>
                <w:rFonts w:ascii="宋体" w:hAnsi="宋体"/>
                <w:color w:val="auto"/>
                <w:szCs w:val="21"/>
              </w:rPr>
            </w:pPr>
            <w:r>
              <w:rPr>
                <w:rFonts w:hint="eastAsia" w:ascii="宋体" w:hAnsi="宋体"/>
                <w:color w:val="auto"/>
                <w:szCs w:val="21"/>
              </w:rPr>
              <w:t>Dot size(点的尺寸)</w:t>
            </w:r>
          </w:p>
        </w:tc>
        <w:tc>
          <w:tcPr>
            <w:tcW w:w="2761" w:type="pct"/>
            <w:tcBorders>
              <w:tl2br w:val="nil"/>
              <w:tr2bl w:val="nil"/>
            </w:tcBorders>
            <w:shd w:val="clear" w:color="auto" w:fill="auto"/>
            <w:vAlign w:val="center"/>
          </w:tcPr>
          <w:p w14:paraId="34706BCC">
            <w:pPr>
              <w:widowControl/>
              <w:spacing w:line="440" w:lineRule="exact"/>
              <w:textAlignment w:val="center"/>
              <w:rPr>
                <w:rFonts w:ascii="宋体" w:hAnsi="宋体"/>
                <w:color w:val="auto"/>
                <w:szCs w:val="21"/>
              </w:rPr>
            </w:pPr>
            <w:r>
              <w:rPr>
                <w:rFonts w:hint="eastAsia" w:ascii="宋体" w:hAnsi="宋体"/>
                <w:color w:val="auto"/>
                <w:szCs w:val="21"/>
              </w:rPr>
              <w:t>0.125×0.125mm（1mm = 8 dots）</w:t>
            </w:r>
          </w:p>
        </w:tc>
        <w:tc>
          <w:tcPr>
            <w:tcW w:w="623" w:type="pct"/>
            <w:vMerge w:val="continue"/>
            <w:tcBorders>
              <w:tl2br w:val="nil"/>
              <w:tr2bl w:val="nil"/>
            </w:tcBorders>
            <w:shd w:val="clear" w:color="auto" w:fill="auto"/>
            <w:vAlign w:val="center"/>
          </w:tcPr>
          <w:p w14:paraId="277DC11B">
            <w:pPr>
              <w:widowControl/>
              <w:jc w:val="center"/>
              <w:textAlignment w:val="center"/>
              <w:rPr>
                <w:rFonts w:ascii="宋体" w:hAnsi="宋体"/>
                <w:color w:val="auto"/>
                <w:szCs w:val="21"/>
              </w:rPr>
            </w:pPr>
          </w:p>
        </w:tc>
      </w:tr>
      <w:tr w14:paraId="503408F8">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82" w:hRule="atLeast"/>
        </w:trPr>
        <w:tc>
          <w:tcPr>
            <w:tcW w:w="354" w:type="pct"/>
            <w:vMerge w:val="continue"/>
            <w:tcBorders>
              <w:tl2br w:val="nil"/>
              <w:tr2bl w:val="nil"/>
            </w:tcBorders>
            <w:shd w:val="clear" w:color="auto" w:fill="auto"/>
            <w:vAlign w:val="center"/>
          </w:tcPr>
          <w:p w14:paraId="4AA221E7">
            <w:pPr>
              <w:jc w:val="center"/>
              <w:rPr>
                <w:rFonts w:ascii="宋体" w:hAnsi="宋体"/>
                <w:color w:val="auto"/>
                <w:szCs w:val="21"/>
              </w:rPr>
            </w:pPr>
          </w:p>
        </w:tc>
        <w:tc>
          <w:tcPr>
            <w:tcW w:w="1262" w:type="pct"/>
            <w:tcBorders>
              <w:tl2br w:val="nil"/>
              <w:tr2bl w:val="nil"/>
            </w:tcBorders>
            <w:shd w:val="clear" w:color="auto" w:fill="auto"/>
            <w:vAlign w:val="center"/>
          </w:tcPr>
          <w:p w14:paraId="7ED8C7C8">
            <w:pPr>
              <w:widowControl/>
              <w:spacing w:line="440" w:lineRule="exact"/>
              <w:jc w:val="center"/>
              <w:textAlignment w:val="center"/>
              <w:rPr>
                <w:rFonts w:ascii="宋体" w:hAnsi="宋体"/>
                <w:color w:val="auto"/>
                <w:szCs w:val="21"/>
              </w:rPr>
            </w:pPr>
            <w:r>
              <w:rPr>
                <w:rFonts w:hint="eastAsia" w:ascii="宋体" w:hAnsi="宋体"/>
                <w:color w:val="auto"/>
                <w:szCs w:val="21"/>
              </w:rPr>
              <w:t>打印速度(cm/秒)</w:t>
            </w:r>
          </w:p>
        </w:tc>
        <w:tc>
          <w:tcPr>
            <w:tcW w:w="2761" w:type="pct"/>
            <w:tcBorders>
              <w:tl2br w:val="nil"/>
              <w:tr2bl w:val="nil"/>
            </w:tcBorders>
            <w:shd w:val="clear" w:color="auto" w:fill="auto"/>
            <w:vAlign w:val="center"/>
          </w:tcPr>
          <w:p w14:paraId="78634446">
            <w:pPr>
              <w:widowControl/>
              <w:spacing w:line="440" w:lineRule="exact"/>
              <w:textAlignment w:val="center"/>
              <w:rPr>
                <w:rFonts w:ascii="宋体" w:hAnsi="宋体"/>
                <w:color w:val="auto"/>
                <w:szCs w:val="21"/>
              </w:rPr>
            </w:pPr>
            <w:r>
              <w:rPr>
                <w:rFonts w:hint="eastAsia" w:ascii="宋体" w:hAnsi="宋体"/>
                <w:color w:val="auto"/>
                <w:szCs w:val="21"/>
              </w:rPr>
              <w:t>2.5-15cm/秒</w:t>
            </w:r>
          </w:p>
        </w:tc>
        <w:tc>
          <w:tcPr>
            <w:tcW w:w="623" w:type="pct"/>
            <w:vMerge w:val="continue"/>
            <w:tcBorders>
              <w:tl2br w:val="nil"/>
              <w:tr2bl w:val="nil"/>
            </w:tcBorders>
            <w:shd w:val="clear" w:color="auto" w:fill="auto"/>
            <w:vAlign w:val="center"/>
          </w:tcPr>
          <w:p w14:paraId="04F5BBCC">
            <w:pPr>
              <w:widowControl/>
              <w:jc w:val="center"/>
              <w:textAlignment w:val="center"/>
              <w:rPr>
                <w:rFonts w:ascii="宋体" w:hAnsi="宋体"/>
                <w:color w:val="auto"/>
                <w:szCs w:val="21"/>
              </w:rPr>
            </w:pPr>
          </w:p>
        </w:tc>
      </w:tr>
      <w:tr w14:paraId="3D52581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1F78A1C6">
            <w:pPr>
              <w:jc w:val="center"/>
              <w:rPr>
                <w:rFonts w:ascii="宋体" w:hAnsi="宋体"/>
                <w:color w:val="auto"/>
                <w:szCs w:val="21"/>
              </w:rPr>
            </w:pPr>
          </w:p>
        </w:tc>
        <w:tc>
          <w:tcPr>
            <w:tcW w:w="1262" w:type="pct"/>
            <w:tcBorders>
              <w:tl2br w:val="nil"/>
              <w:tr2bl w:val="nil"/>
            </w:tcBorders>
            <w:shd w:val="clear" w:color="auto" w:fill="auto"/>
            <w:vAlign w:val="center"/>
          </w:tcPr>
          <w:p w14:paraId="5B0EE5AA">
            <w:pPr>
              <w:widowControl/>
              <w:spacing w:line="440" w:lineRule="exact"/>
              <w:jc w:val="center"/>
              <w:textAlignment w:val="center"/>
              <w:rPr>
                <w:rFonts w:ascii="宋体" w:hAnsi="宋体"/>
                <w:color w:val="auto"/>
                <w:szCs w:val="21"/>
              </w:rPr>
            </w:pPr>
            <w:r>
              <w:rPr>
                <w:rFonts w:hint="eastAsia" w:ascii="宋体" w:hAnsi="宋体"/>
                <w:color w:val="auto"/>
                <w:szCs w:val="21"/>
              </w:rPr>
              <w:t>最大打印宽度</w:t>
            </w:r>
          </w:p>
        </w:tc>
        <w:tc>
          <w:tcPr>
            <w:tcW w:w="2761" w:type="pct"/>
            <w:tcBorders>
              <w:tl2br w:val="nil"/>
              <w:tr2bl w:val="nil"/>
            </w:tcBorders>
            <w:shd w:val="clear" w:color="auto" w:fill="auto"/>
            <w:vAlign w:val="center"/>
          </w:tcPr>
          <w:p w14:paraId="55768665">
            <w:pPr>
              <w:widowControl/>
              <w:spacing w:line="440" w:lineRule="exact"/>
              <w:textAlignment w:val="center"/>
              <w:rPr>
                <w:rFonts w:ascii="宋体" w:hAnsi="宋体"/>
                <w:color w:val="auto"/>
                <w:szCs w:val="21"/>
              </w:rPr>
            </w:pPr>
            <w:r>
              <w:rPr>
                <w:rFonts w:hint="eastAsia" w:ascii="宋体" w:hAnsi="宋体"/>
                <w:color w:val="auto"/>
                <w:szCs w:val="21"/>
              </w:rPr>
              <w:t>80mm</w:t>
            </w:r>
          </w:p>
        </w:tc>
        <w:tc>
          <w:tcPr>
            <w:tcW w:w="623" w:type="pct"/>
            <w:vMerge w:val="continue"/>
            <w:tcBorders>
              <w:tl2br w:val="nil"/>
              <w:tr2bl w:val="nil"/>
            </w:tcBorders>
            <w:shd w:val="clear" w:color="auto" w:fill="auto"/>
            <w:vAlign w:val="center"/>
          </w:tcPr>
          <w:p w14:paraId="0F92AD3D">
            <w:pPr>
              <w:widowControl/>
              <w:jc w:val="center"/>
              <w:textAlignment w:val="center"/>
              <w:rPr>
                <w:rFonts w:ascii="宋体" w:hAnsi="宋体"/>
                <w:color w:val="auto"/>
                <w:szCs w:val="21"/>
              </w:rPr>
            </w:pPr>
          </w:p>
        </w:tc>
      </w:tr>
      <w:tr w14:paraId="27C44858">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2D65AD37">
            <w:pPr>
              <w:jc w:val="center"/>
              <w:rPr>
                <w:rFonts w:ascii="宋体" w:hAnsi="宋体"/>
                <w:color w:val="auto"/>
                <w:szCs w:val="21"/>
              </w:rPr>
            </w:pPr>
          </w:p>
        </w:tc>
        <w:tc>
          <w:tcPr>
            <w:tcW w:w="1262" w:type="pct"/>
            <w:tcBorders>
              <w:tl2br w:val="nil"/>
              <w:tr2bl w:val="nil"/>
            </w:tcBorders>
            <w:shd w:val="clear" w:color="auto" w:fill="auto"/>
            <w:vAlign w:val="center"/>
          </w:tcPr>
          <w:p w14:paraId="4C5F4935">
            <w:pPr>
              <w:widowControl/>
              <w:spacing w:line="440" w:lineRule="exact"/>
              <w:jc w:val="center"/>
              <w:textAlignment w:val="center"/>
              <w:rPr>
                <w:rFonts w:ascii="宋体" w:hAnsi="宋体"/>
                <w:color w:val="auto"/>
                <w:szCs w:val="21"/>
              </w:rPr>
            </w:pPr>
            <w:r>
              <w:rPr>
                <w:rFonts w:hint="eastAsia" w:ascii="宋体" w:hAnsi="宋体"/>
                <w:color w:val="auto"/>
                <w:szCs w:val="21"/>
              </w:rPr>
              <w:t>最大打印长度</w:t>
            </w:r>
          </w:p>
        </w:tc>
        <w:tc>
          <w:tcPr>
            <w:tcW w:w="2761" w:type="pct"/>
            <w:tcBorders>
              <w:tl2br w:val="nil"/>
              <w:tr2bl w:val="nil"/>
            </w:tcBorders>
            <w:shd w:val="clear" w:color="auto" w:fill="auto"/>
            <w:vAlign w:val="center"/>
          </w:tcPr>
          <w:p w14:paraId="38A1CE50">
            <w:pPr>
              <w:widowControl/>
              <w:spacing w:line="440" w:lineRule="exact"/>
              <w:textAlignment w:val="center"/>
              <w:rPr>
                <w:rFonts w:ascii="宋体" w:hAnsi="宋体"/>
                <w:color w:val="auto"/>
                <w:szCs w:val="21"/>
              </w:rPr>
            </w:pPr>
            <w:r>
              <w:rPr>
                <w:rFonts w:hint="eastAsia" w:ascii="宋体" w:hAnsi="宋体"/>
                <w:color w:val="auto"/>
                <w:szCs w:val="21"/>
              </w:rPr>
              <w:t>2286mm</w:t>
            </w:r>
          </w:p>
        </w:tc>
        <w:tc>
          <w:tcPr>
            <w:tcW w:w="623" w:type="pct"/>
            <w:vMerge w:val="continue"/>
            <w:tcBorders>
              <w:tl2br w:val="nil"/>
              <w:tr2bl w:val="nil"/>
            </w:tcBorders>
            <w:shd w:val="clear" w:color="auto" w:fill="auto"/>
            <w:vAlign w:val="center"/>
          </w:tcPr>
          <w:p w14:paraId="1E94090C">
            <w:pPr>
              <w:widowControl/>
              <w:jc w:val="center"/>
              <w:textAlignment w:val="center"/>
              <w:rPr>
                <w:rFonts w:ascii="宋体" w:hAnsi="宋体"/>
                <w:color w:val="auto"/>
                <w:szCs w:val="21"/>
              </w:rPr>
            </w:pPr>
          </w:p>
        </w:tc>
      </w:tr>
      <w:tr w14:paraId="3458150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continue"/>
            <w:tcBorders>
              <w:tl2br w:val="nil"/>
              <w:tr2bl w:val="nil"/>
            </w:tcBorders>
            <w:shd w:val="clear" w:color="auto" w:fill="auto"/>
            <w:vAlign w:val="center"/>
          </w:tcPr>
          <w:p w14:paraId="4D8213E0">
            <w:pPr>
              <w:jc w:val="center"/>
              <w:rPr>
                <w:rFonts w:ascii="宋体" w:hAnsi="宋体"/>
                <w:color w:val="auto"/>
                <w:szCs w:val="21"/>
              </w:rPr>
            </w:pPr>
          </w:p>
        </w:tc>
        <w:tc>
          <w:tcPr>
            <w:tcW w:w="1262" w:type="pct"/>
            <w:tcBorders>
              <w:tl2br w:val="nil"/>
              <w:tr2bl w:val="nil"/>
            </w:tcBorders>
            <w:shd w:val="clear" w:color="auto" w:fill="auto"/>
            <w:vAlign w:val="center"/>
          </w:tcPr>
          <w:p w14:paraId="601B40EA">
            <w:pPr>
              <w:widowControl/>
              <w:spacing w:line="440" w:lineRule="exact"/>
              <w:jc w:val="center"/>
              <w:textAlignment w:val="center"/>
              <w:rPr>
                <w:rFonts w:ascii="宋体" w:hAnsi="宋体"/>
                <w:color w:val="auto"/>
                <w:szCs w:val="21"/>
              </w:rPr>
            </w:pPr>
            <w:r>
              <w:rPr>
                <w:rFonts w:hint="eastAsia" w:ascii="宋体" w:hAnsi="宋体"/>
                <w:color w:val="auto"/>
                <w:szCs w:val="21"/>
              </w:rPr>
              <w:t>脉冲激发</w:t>
            </w:r>
          </w:p>
        </w:tc>
        <w:tc>
          <w:tcPr>
            <w:tcW w:w="2761" w:type="pct"/>
            <w:tcBorders>
              <w:tl2br w:val="nil"/>
              <w:tr2bl w:val="nil"/>
            </w:tcBorders>
            <w:shd w:val="clear" w:color="auto" w:fill="auto"/>
            <w:vAlign w:val="center"/>
          </w:tcPr>
          <w:p w14:paraId="5366464F">
            <w:pPr>
              <w:widowControl/>
              <w:spacing w:line="440" w:lineRule="exact"/>
              <w:textAlignment w:val="center"/>
              <w:rPr>
                <w:rFonts w:ascii="宋体" w:hAnsi="宋体"/>
                <w:color w:val="auto"/>
                <w:szCs w:val="21"/>
              </w:rPr>
            </w:pPr>
            <w:r>
              <w:rPr>
                <w:rFonts w:hint="eastAsia" w:ascii="宋体" w:hAnsi="宋体"/>
                <w:color w:val="auto"/>
                <w:szCs w:val="21"/>
              </w:rPr>
              <w:t>1×10(8次方) pulses</w:t>
            </w:r>
          </w:p>
        </w:tc>
        <w:tc>
          <w:tcPr>
            <w:tcW w:w="623" w:type="pct"/>
            <w:vMerge w:val="continue"/>
            <w:tcBorders>
              <w:tl2br w:val="nil"/>
              <w:tr2bl w:val="nil"/>
            </w:tcBorders>
            <w:shd w:val="clear" w:color="auto" w:fill="auto"/>
            <w:vAlign w:val="center"/>
          </w:tcPr>
          <w:p w14:paraId="678B13E0">
            <w:pPr>
              <w:widowControl/>
              <w:jc w:val="center"/>
              <w:textAlignment w:val="center"/>
              <w:rPr>
                <w:rFonts w:ascii="宋体" w:hAnsi="宋体"/>
                <w:color w:val="auto"/>
                <w:szCs w:val="21"/>
              </w:rPr>
            </w:pPr>
          </w:p>
        </w:tc>
      </w:tr>
      <w:tr w14:paraId="4D49BA9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45919154">
            <w:pPr>
              <w:jc w:val="center"/>
              <w:rPr>
                <w:rFonts w:ascii="宋体" w:hAnsi="宋体"/>
                <w:color w:val="auto"/>
                <w:szCs w:val="21"/>
              </w:rPr>
            </w:pPr>
          </w:p>
        </w:tc>
        <w:tc>
          <w:tcPr>
            <w:tcW w:w="1262" w:type="pct"/>
            <w:tcBorders>
              <w:tl2br w:val="nil"/>
              <w:tr2bl w:val="nil"/>
            </w:tcBorders>
            <w:shd w:val="clear" w:color="auto" w:fill="auto"/>
            <w:vAlign w:val="center"/>
          </w:tcPr>
          <w:p w14:paraId="344C2599">
            <w:pPr>
              <w:widowControl/>
              <w:spacing w:line="440" w:lineRule="exact"/>
              <w:jc w:val="center"/>
              <w:textAlignment w:val="center"/>
              <w:rPr>
                <w:rFonts w:ascii="宋体" w:hAnsi="宋体"/>
                <w:color w:val="auto"/>
                <w:szCs w:val="21"/>
              </w:rPr>
            </w:pPr>
            <w:r>
              <w:rPr>
                <w:rFonts w:hint="eastAsia" w:ascii="宋体" w:hAnsi="宋体"/>
                <w:color w:val="auto"/>
                <w:szCs w:val="21"/>
              </w:rPr>
              <w:t>热敏片耐磨性</w:t>
            </w:r>
          </w:p>
        </w:tc>
        <w:tc>
          <w:tcPr>
            <w:tcW w:w="2761" w:type="pct"/>
            <w:tcBorders>
              <w:tl2br w:val="nil"/>
              <w:tr2bl w:val="nil"/>
            </w:tcBorders>
            <w:shd w:val="clear" w:color="auto" w:fill="auto"/>
            <w:vAlign w:val="center"/>
          </w:tcPr>
          <w:p w14:paraId="24D4CA86">
            <w:pPr>
              <w:widowControl/>
              <w:spacing w:line="440" w:lineRule="exact"/>
              <w:textAlignment w:val="center"/>
              <w:rPr>
                <w:rFonts w:ascii="宋体" w:hAnsi="宋体"/>
                <w:color w:val="auto"/>
                <w:szCs w:val="21"/>
              </w:rPr>
            </w:pPr>
            <w:r>
              <w:rPr>
                <w:rFonts w:hint="eastAsia" w:ascii="宋体" w:hAnsi="宋体"/>
                <w:color w:val="auto"/>
                <w:szCs w:val="21"/>
              </w:rPr>
              <w:t>100Km</w:t>
            </w:r>
          </w:p>
        </w:tc>
        <w:tc>
          <w:tcPr>
            <w:tcW w:w="623" w:type="pct"/>
            <w:vMerge w:val="continue"/>
            <w:tcBorders>
              <w:tl2br w:val="nil"/>
              <w:tr2bl w:val="nil"/>
            </w:tcBorders>
            <w:shd w:val="clear" w:color="auto" w:fill="auto"/>
            <w:vAlign w:val="center"/>
          </w:tcPr>
          <w:p w14:paraId="6EA6C580">
            <w:pPr>
              <w:widowControl/>
              <w:jc w:val="center"/>
              <w:textAlignment w:val="center"/>
              <w:rPr>
                <w:rFonts w:ascii="宋体" w:hAnsi="宋体"/>
                <w:color w:val="auto"/>
                <w:szCs w:val="21"/>
              </w:rPr>
            </w:pPr>
          </w:p>
        </w:tc>
      </w:tr>
      <w:tr w14:paraId="2125288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restart"/>
            <w:tcBorders>
              <w:tl2br w:val="nil"/>
              <w:tr2bl w:val="nil"/>
            </w:tcBorders>
            <w:shd w:val="clear" w:color="auto" w:fill="auto"/>
            <w:vAlign w:val="center"/>
          </w:tcPr>
          <w:p w14:paraId="484F5C2B">
            <w:pPr>
              <w:jc w:val="center"/>
              <w:rPr>
                <w:rFonts w:ascii="宋体" w:hAnsi="宋体"/>
                <w:color w:val="auto"/>
                <w:szCs w:val="21"/>
              </w:rPr>
            </w:pPr>
            <w:r>
              <w:rPr>
                <w:rFonts w:hint="eastAsia" w:ascii="宋体" w:hAnsi="宋体"/>
                <w:color w:val="auto"/>
                <w:szCs w:val="21"/>
              </w:rPr>
              <w:t>碳带参数</w:t>
            </w:r>
          </w:p>
        </w:tc>
        <w:tc>
          <w:tcPr>
            <w:tcW w:w="1262" w:type="pct"/>
            <w:tcBorders>
              <w:tl2br w:val="nil"/>
              <w:tr2bl w:val="nil"/>
            </w:tcBorders>
            <w:shd w:val="clear" w:color="auto" w:fill="auto"/>
            <w:vAlign w:val="center"/>
          </w:tcPr>
          <w:p w14:paraId="5F6D0AE7">
            <w:pPr>
              <w:spacing w:line="440" w:lineRule="exact"/>
              <w:jc w:val="center"/>
              <w:rPr>
                <w:rFonts w:ascii="宋体" w:hAnsi="宋体"/>
                <w:color w:val="auto"/>
                <w:szCs w:val="21"/>
              </w:rPr>
            </w:pPr>
            <w:r>
              <w:rPr>
                <w:rFonts w:hint="eastAsia" w:ascii="宋体" w:hAnsi="宋体"/>
                <w:color w:val="auto"/>
                <w:szCs w:val="21"/>
              </w:rPr>
              <w:t>碳带外径</w:t>
            </w:r>
          </w:p>
        </w:tc>
        <w:tc>
          <w:tcPr>
            <w:tcW w:w="2761" w:type="pct"/>
            <w:tcBorders>
              <w:tl2br w:val="nil"/>
              <w:tr2bl w:val="nil"/>
            </w:tcBorders>
            <w:shd w:val="clear" w:color="auto" w:fill="auto"/>
            <w:vAlign w:val="center"/>
          </w:tcPr>
          <w:p w14:paraId="1CDFF365">
            <w:pPr>
              <w:spacing w:line="440" w:lineRule="exact"/>
              <w:rPr>
                <w:rFonts w:ascii="宋体" w:hAnsi="宋体"/>
                <w:color w:val="auto"/>
                <w:szCs w:val="21"/>
              </w:rPr>
            </w:pPr>
            <w:r>
              <w:rPr>
                <w:rFonts w:hint="eastAsia" w:ascii="宋体" w:hAnsi="宋体"/>
                <w:color w:val="auto"/>
                <w:szCs w:val="21"/>
              </w:rPr>
              <w:t>最大67mm</w:t>
            </w:r>
          </w:p>
        </w:tc>
        <w:tc>
          <w:tcPr>
            <w:tcW w:w="623" w:type="pct"/>
            <w:vMerge w:val="continue"/>
            <w:tcBorders>
              <w:tl2br w:val="nil"/>
              <w:tr2bl w:val="nil"/>
            </w:tcBorders>
            <w:shd w:val="clear" w:color="auto" w:fill="auto"/>
            <w:vAlign w:val="center"/>
          </w:tcPr>
          <w:p w14:paraId="430415D9">
            <w:pPr>
              <w:jc w:val="center"/>
              <w:rPr>
                <w:rFonts w:ascii="宋体" w:hAnsi="宋体"/>
                <w:color w:val="auto"/>
                <w:szCs w:val="21"/>
              </w:rPr>
            </w:pPr>
          </w:p>
        </w:tc>
      </w:tr>
      <w:tr w14:paraId="7EC0D89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continue"/>
            <w:tcBorders>
              <w:tl2br w:val="nil"/>
              <w:tr2bl w:val="nil"/>
            </w:tcBorders>
            <w:shd w:val="clear" w:color="auto" w:fill="auto"/>
            <w:vAlign w:val="center"/>
          </w:tcPr>
          <w:p w14:paraId="45985440">
            <w:pPr>
              <w:jc w:val="center"/>
              <w:rPr>
                <w:rFonts w:ascii="宋体" w:hAnsi="宋体"/>
                <w:color w:val="auto"/>
                <w:szCs w:val="21"/>
              </w:rPr>
            </w:pPr>
          </w:p>
        </w:tc>
        <w:tc>
          <w:tcPr>
            <w:tcW w:w="1262" w:type="pct"/>
            <w:tcBorders>
              <w:tl2br w:val="nil"/>
              <w:tr2bl w:val="nil"/>
            </w:tcBorders>
            <w:shd w:val="clear" w:color="auto" w:fill="auto"/>
            <w:vAlign w:val="center"/>
          </w:tcPr>
          <w:p w14:paraId="325ABE32">
            <w:pPr>
              <w:widowControl/>
              <w:spacing w:line="440" w:lineRule="exact"/>
              <w:jc w:val="center"/>
              <w:textAlignment w:val="center"/>
              <w:rPr>
                <w:rFonts w:ascii="宋体" w:hAnsi="宋体"/>
                <w:color w:val="auto"/>
                <w:szCs w:val="21"/>
              </w:rPr>
            </w:pPr>
            <w:r>
              <w:rPr>
                <w:rFonts w:hint="eastAsia" w:ascii="宋体" w:hAnsi="宋体"/>
                <w:color w:val="auto"/>
                <w:szCs w:val="21"/>
              </w:rPr>
              <w:t>碳带长度</w:t>
            </w:r>
          </w:p>
        </w:tc>
        <w:tc>
          <w:tcPr>
            <w:tcW w:w="2761" w:type="pct"/>
            <w:tcBorders>
              <w:tl2br w:val="nil"/>
              <w:tr2bl w:val="nil"/>
            </w:tcBorders>
            <w:shd w:val="clear" w:color="auto" w:fill="auto"/>
            <w:vAlign w:val="center"/>
          </w:tcPr>
          <w:p w14:paraId="2925281D">
            <w:pPr>
              <w:widowControl/>
              <w:spacing w:line="440" w:lineRule="exact"/>
              <w:textAlignment w:val="center"/>
              <w:rPr>
                <w:rFonts w:ascii="宋体" w:hAnsi="宋体"/>
                <w:color w:val="auto"/>
                <w:szCs w:val="21"/>
              </w:rPr>
            </w:pPr>
            <w:r>
              <w:rPr>
                <w:rFonts w:hint="eastAsia" w:ascii="宋体" w:hAnsi="宋体"/>
                <w:color w:val="auto"/>
                <w:szCs w:val="21"/>
              </w:rPr>
              <w:t>≥300米</w:t>
            </w:r>
          </w:p>
        </w:tc>
        <w:tc>
          <w:tcPr>
            <w:tcW w:w="623" w:type="pct"/>
            <w:vMerge w:val="continue"/>
            <w:tcBorders>
              <w:tl2br w:val="nil"/>
              <w:tr2bl w:val="nil"/>
            </w:tcBorders>
            <w:shd w:val="clear" w:color="auto" w:fill="auto"/>
            <w:vAlign w:val="center"/>
          </w:tcPr>
          <w:p w14:paraId="6099155D">
            <w:pPr>
              <w:widowControl/>
              <w:jc w:val="center"/>
              <w:textAlignment w:val="center"/>
              <w:rPr>
                <w:rFonts w:ascii="宋体" w:hAnsi="宋体"/>
                <w:color w:val="auto"/>
                <w:szCs w:val="21"/>
              </w:rPr>
            </w:pPr>
          </w:p>
        </w:tc>
      </w:tr>
      <w:tr w14:paraId="5B3598F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25A2A4C9">
            <w:pPr>
              <w:jc w:val="center"/>
              <w:rPr>
                <w:rFonts w:ascii="宋体" w:hAnsi="宋体"/>
                <w:color w:val="auto"/>
                <w:szCs w:val="21"/>
              </w:rPr>
            </w:pPr>
          </w:p>
        </w:tc>
        <w:tc>
          <w:tcPr>
            <w:tcW w:w="1262" w:type="pct"/>
            <w:tcBorders>
              <w:tl2br w:val="nil"/>
              <w:tr2bl w:val="nil"/>
            </w:tcBorders>
            <w:shd w:val="clear" w:color="auto" w:fill="auto"/>
            <w:vAlign w:val="center"/>
          </w:tcPr>
          <w:p w14:paraId="3E12E73E">
            <w:pPr>
              <w:widowControl/>
              <w:spacing w:line="440" w:lineRule="exact"/>
              <w:jc w:val="center"/>
              <w:textAlignment w:val="center"/>
              <w:rPr>
                <w:rFonts w:ascii="宋体" w:hAnsi="宋体"/>
                <w:color w:val="auto"/>
                <w:szCs w:val="21"/>
              </w:rPr>
            </w:pPr>
            <w:r>
              <w:rPr>
                <w:rFonts w:hint="eastAsia" w:ascii="宋体" w:hAnsi="宋体"/>
                <w:color w:val="auto"/>
                <w:szCs w:val="21"/>
              </w:rPr>
              <w:t>碳带轴心尺寸</w:t>
            </w:r>
          </w:p>
        </w:tc>
        <w:tc>
          <w:tcPr>
            <w:tcW w:w="2761" w:type="pct"/>
            <w:tcBorders>
              <w:tl2br w:val="nil"/>
              <w:tr2bl w:val="nil"/>
            </w:tcBorders>
            <w:shd w:val="clear" w:color="auto" w:fill="auto"/>
            <w:vAlign w:val="center"/>
          </w:tcPr>
          <w:p w14:paraId="605B7220">
            <w:pPr>
              <w:widowControl/>
              <w:spacing w:line="440" w:lineRule="exact"/>
              <w:textAlignment w:val="center"/>
              <w:rPr>
                <w:rFonts w:ascii="宋体" w:hAnsi="宋体"/>
                <w:color w:val="auto"/>
                <w:szCs w:val="21"/>
              </w:rPr>
            </w:pPr>
            <w:r>
              <w:rPr>
                <w:rFonts w:hint="eastAsia" w:ascii="宋体" w:hAnsi="宋体"/>
                <w:color w:val="auto"/>
                <w:szCs w:val="21"/>
              </w:rPr>
              <w:t>1 inch（25.4mm）</w:t>
            </w:r>
          </w:p>
        </w:tc>
        <w:tc>
          <w:tcPr>
            <w:tcW w:w="623" w:type="pct"/>
            <w:vMerge w:val="continue"/>
            <w:tcBorders>
              <w:tl2br w:val="nil"/>
              <w:tr2bl w:val="nil"/>
            </w:tcBorders>
            <w:shd w:val="clear" w:color="auto" w:fill="auto"/>
            <w:vAlign w:val="center"/>
          </w:tcPr>
          <w:p w14:paraId="66B17962">
            <w:pPr>
              <w:widowControl/>
              <w:jc w:val="center"/>
              <w:textAlignment w:val="center"/>
              <w:rPr>
                <w:rFonts w:ascii="宋体" w:hAnsi="宋体"/>
                <w:color w:val="auto"/>
                <w:szCs w:val="21"/>
              </w:rPr>
            </w:pPr>
          </w:p>
        </w:tc>
      </w:tr>
      <w:tr w14:paraId="1690E4D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4" w:hRule="atLeast"/>
        </w:trPr>
        <w:tc>
          <w:tcPr>
            <w:tcW w:w="354" w:type="pct"/>
            <w:vMerge w:val="continue"/>
            <w:tcBorders>
              <w:tl2br w:val="nil"/>
              <w:tr2bl w:val="nil"/>
            </w:tcBorders>
            <w:shd w:val="clear" w:color="auto" w:fill="auto"/>
            <w:vAlign w:val="center"/>
          </w:tcPr>
          <w:p w14:paraId="28A1E76A">
            <w:pPr>
              <w:jc w:val="center"/>
              <w:rPr>
                <w:rFonts w:ascii="宋体" w:hAnsi="宋体"/>
                <w:color w:val="auto"/>
                <w:szCs w:val="21"/>
              </w:rPr>
            </w:pPr>
          </w:p>
        </w:tc>
        <w:tc>
          <w:tcPr>
            <w:tcW w:w="1262" w:type="pct"/>
            <w:tcBorders>
              <w:tl2br w:val="nil"/>
              <w:tr2bl w:val="nil"/>
            </w:tcBorders>
            <w:shd w:val="clear" w:color="auto" w:fill="auto"/>
            <w:vAlign w:val="center"/>
          </w:tcPr>
          <w:p w14:paraId="6B6CEEDC">
            <w:pPr>
              <w:widowControl/>
              <w:spacing w:line="440" w:lineRule="exact"/>
              <w:jc w:val="center"/>
              <w:textAlignment w:val="center"/>
              <w:rPr>
                <w:rFonts w:ascii="宋体" w:hAnsi="宋体"/>
                <w:color w:val="auto"/>
                <w:szCs w:val="21"/>
              </w:rPr>
            </w:pPr>
            <w:r>
              <w:rPr>
                <w:rFonts w:hint="eastAsia" w:ascii="宋体" w:hAnsi="宋体"/>
                <w:color w:val="auto"/>
                <w:szCs w:val="21"/>
              </w:rPr>
              <w:t>碳带宽度</w:t>
            </w:r>
          </w:p>
        </w:tc>
        <w:tc>
          <w:tcPr>
            <w:tcW w:w="2761" w:type="pct"/>
            <w:tcBorders>
              <w:tl2br w:val="nil"/>
              <w:tr2bl w:val="nil"/>
            </w:tcBorders>
            <w:shd w:val="clear" w:color="auto" w:fill="auto"/>
            <w:vAlign w:val="center"/>
          </w:tcPr>
          <w:p w14:paraId="56840766">
            <w:pPr>
              <w:widowControl/>
              <w:spacing w:line="440" w:lineRule="exact"/>
              <w:textAlignment w:val="center"/>
              <w:rPr>
                <w:rFonts w:ascii="宋体" w:hAnsi="宋体"/>
                <w:color w:val="auto"/>
                <w:szCs w:val="21"/>
              </w:rPr>
            </w:pPr>
            <w:r>
              <w:rPr>
                <w:rFonts w:hint="eastAsia" w:ascii="宋体" w:hAnsi="宋体"/>
                <w:color w:val="auto"/>
                <w:szCs w:val="21"/>
              </w:rPr>
              <w:t>Max 90mmMin 30mm</w:t>
            </w:r>
          </w:p>
        </w:tc>
        <w:tc>
          <w:tcPr>
            <w:tcW w:w="623" w:type="pct"/>
            <w:vMerge w:val="continue"/>
            <w:tcBorders>
              <w:tl2br w:val="nil"/>
              <w:tr2bl w:val="nil"/>
            </w:tcBorders>
            <w:shd w:val="clear" w:color="auto" w:fill="auto"/>
            <w:vAlign w:val="center"/>
          </w:tcPr>
          <w:p w14:paraId="7F30498B">
            <w:pPr>
              <w:widowControl/>
              <w:jc w:val="center"/>
              <w:textAlignment w:val="center"/>
              <w:rPr>
                <w:rFonts w:ascii="宋体" w:hAnsi="宋体"/>
                <w:color w:val="auto"/>
                <w:szCs w:val="21"/>
              </w:rPr>
            </w:pPr>
          </w:p>
        </w:tc>
      </w:tr>
      <w:tr w14:paraId="64E1FE2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72" w:hRule="atLeast"/>
        </w:trPr>
        <w:tc>
          <w:tcPr>
            <w:tcW w:w="354" w:type="pct"/>
            <w:vMerge w:val="continue"/>
            <w:tcBorders>
              <w:tl2br w:val="nil"/>
              <w:tr2bl w:val="nil"/>
            </w:tcBorders>
            <w:shd w:val="clear" w:color="auto" w:fill="auto"/>
            <w:vAlign w:val="center"/>
          </w:tcPr>
          <w:p w14:paraId="5B5B5375">
            <w:pPr>
              <w:jc w:val="center"/>
              <w:rPr>
                <w:rFonts w:ascii="宋体" w:hAnsi="宋体"/>
                <w:color w:val="auto"/>
                <w:szCs w:val="21"/>
              </w:rPr>
            </w:pPr>
          </w:p>
        </w:tc>
        <w:tc>
          <w:tcPr>
            <w:tcW w:w="1262" w:type="pct"/>
            <w:tcBorders>
              <w:tl2br w:val="nil"/>
              <w:tr2bl w:val="nil"/>
            </w:tcBorders>
            <w:shd w:val="clear" w:color="auto" w:fill="auto"/>
            <w:vAlign w:val="center"/>
          </w:tcPr>
          <w:p w14:paraId="329AE90F">
            <w:pPr>
              <w:widowControl/>
              <w:spacing w:line="440" w:lineRule="exact"/>
              <w:jc w:val="center"/>
              <w:textAlignment w:val="center"/>
              <w:rPr>
                <w:rFonts w:ascii="宋体" w:hAnsi="宋体"/>
                <w:color w:val="auto"/>
                <w:szCs w:val="21"/>
              </w:rPr>
            </w:pPr>
            <w:r>
              <w:rPr>
                <w:rFonts w:hint="eastAsia" w:ascii="宋体" w:hAnsi="宋体"/>
                <w:color w:val="auto"/>
                <w:szCs w:val="21"/>
              </w:rPr>
              <w:t>碳带缠绕方式</w:t>
            </w:r>
          </w:p>
        </w:tc>
        <w:tc>
          <w:tcPr>
            <w:tcW w:w="2761" w:type="pct"/>
            <w:tcBorders>
              <w:tl2br w:val="nil"/>
              <w:tr2bl w:val="nil"/>
            </w:tcBorders>
            <w:shd w:val="clear" w:color="auto" w:fill="auto"/>
            <w:vAlign w:val="center"/>
          </w:tcPr>
          <w:p w14:paraId="5602B6A4">
            <w:pPr>
              <w:widowControl/>
              <w:spacing w:line="440" w:lineRule="exact"/>
              <w:textAlignment w:val="center"/>
              <w:rPr>
                <w:rFonts w:ascii="宋体" w:hAnsi="宋体"/>
                <w:color w:val="auto"/>
                <w:szCs w:val="21"/>
              </w:rPr>
            </w:pPr>
            <w:r>
              <w:rPr>
                <w:rFonts w:hint="eastAsia" w:ascii="宋体" w:hAnsi="宋体"/>
                <w:color w:val="auto"/>
                <w:szCs w:val="21"/>
              </w:rPr>
              <w:t>外卷式</w:t>
            </w:r>
          </w:p>
        </w:tc>
        <w:tc>
          <w:tcPr>
            <w:tcW w:w="623" w:type="pct"/>
            <w:vMerge w:val="continue"/>
            <w:tcBorders>
              <w:tl2br w:val="nil"/>
              <w:tr2bl w:val="nil"/>
            </w:tcBorders>
            <w:shd w:val="clear" w:color="auto" w:fill="auto"/>
            <w:vAlign w:val="center"/>
          </w:tcPr>
          <w:p w14:paraId="1B7EF790">
            <w:pPr>
              <w:widowControl/>
              <w:jc w:val="center"/>
              <w:textAlignment w:val="center"/>
              <w:rPr>
                <w:rFonts w:ascii="宋体" w:hAnsi="宋体"/>
                <w:color w:val="auto"/>
                <w:szCs w:val="21"/>
              </w:rPr>
            </w:pPr>
          </w:p>
        </w:tc>
      </w:tr>
    </w:tbl>
    <w:p w14:paraId="76322E71">
      <w:pPr>
        <w:spacing w:line="380" w:lineRule="exact"/>
        <w:rPr>
          <w:color w:val="auto"/>
          <w:kern w:val="0"/>
          <w:sz w:val="24"/>
          <w:szCs w:val="21"/>
        </w:rPr>
      </w:pPr>
    </w:p>
    <w:p w14:paraId="6CC5C830">
      <w:pPr>
        <w:pStyle w:val="3"/>
        <w:rPr>
          <w:color w:val="auto"/>
        </w:rPr>
      </w:pPr>
    </w:p>
    <w:tbl>
      <w:tblPr>
        <w:tblStyle w:val="9"/>
        <w:tblW w:w="4808" w:type="pct"/>
        <w:tblInd w:w="155" w:type="dxa"/>
        <w:tblLayout w:type="fixed"/>
        <w:tblCellMar>
          <w:top w:w="0" w:type="dxa"/>
          <w:left w:w="108" w:type="dxa"/>
          <w:bottom w:w="0" w:type="dxa"/>
          <w:right w:w="108" w:type="dxa"/>
        </w:tblCellMar>
      </w:tblPr>
      <w:tblGrid>
        <w:gridCol w:w="1964"/>
        <w:gridCol w:w="5469"/>
        <w:gridCol w:w="762"/>
      </w:tblGrid>
      <w:tr w14:paraId="68A80586">
        <w:tblPrEx>
          <w:tblCellMar>
            <w:top w:w="0" w:type="dxa"/>
            <w:left w:w="108" w:type="dxa"/>
            <w:bottom w:w="0" w:type="dxa"/>
            <w:right w:w="108" w:type="dxa"/>
          </w:tblCellMar>
        </w:tblPrEx>
        <w:trPr>
          <w:trHeight w:val="472" w:hRule="atLeast"/>
        </w:trPr>
        <w:tc>
          <w:tcPr>
            <w:tcW w:w="5000" w:type="pct"/>
            <w:gridSpan w:val="3"/>
            <w:tcBorders>
              <w:top w:val="single" w:color="000000" w:sz="4" w:space="0"/>
              <w:left w:val="single" w:color="000000" w:sz="4" w:space="0"/>
              <w:bottom w:val="single" w:color="000000" w:sz="4" w:space="0"/>
              <w:right w:val="single" w:color="000000" w:sz="4" w:space="0"/>
            </w:tcBorders>
            <w:noWrap/>
            <w:vAlign w:val="center"/>
          </w:tcPr>
          <w:p w14:paraId="0F661BDB">
            <w:pPr>
              <w:spacing w:line="440" w:lineRule="exact"/>
              <w:jc w:val="left"/>
              <w:rPr>
                <w:rFonts w:ascii="宋体" w:hAnsi="宋体"/>
                <w:color w:val="auto"/>
                <w:szCs w:val="21"/>
                <w:shd w:val="pct10" w:color="auto" w:fill="FFFFFF"/>
              </w:rPr>
            </w:pPr>
            <w:r>
              <w:rPr>
                <w:rFonts w:ascii="宋体" w:hAnsi="宋体"/>
                <w:color w:val="auto"/>
                <w:szCs w:val="21"/>
              </w:rPr>
              <w:t>2</w:t>
            </w:r>
            <w:r>
              <w:rPr>
                <w:rFonts w:hint="eastAsia" w:ascii="宋体" w:hAnsi="宋体"/>
                <w:color w:val="auto"/>
                <w:szCs w:val="21"/>
              </w:rPr>
              <w:t>.</w:t>
            </w:r>
            <w:r>
              <w:rPr>
                <w:rFonts w:ascii="宋体" w:hAnsi="宋体"/>
                <w:color w:val="auto"/>
                <w:szCs w:val="21"/>
              </w:rPr>
              <w:t>7</w:t>
            </w:r>
            <w:r>
              <w:rPr>
                <w:rFonts w:hint="eastAsia" w:ascii="宋体" w:hAnsi="宋体"/>
                <w:color w:val="auto"/>
                <w:szCs w:val="21"/>
              </w:rPr>
              <w:t>移动平板技术参数</w:t>
            </w:r>
          </w:p>
        </w:tc>
      </w:tr>
      <w:tr w14:paraId="47831C4C">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09D98B30">
            <w:pPr>
              <w:jc w:val="center"/>
              <w:rPr>
                <w:rFonts w:ascii="宋体" w:hAnsi="宋体"/>
                <w:color w:val="auto"/>
                <w:szCs w:val="21"/>
                <w:shd w:val="pct10" w:color="auto" w:fill="FFFFFF"/>
              </w:rPr>
            </w:pPr>
            <w:r>
              <w:rPr>
                <w:rFonts w:hint="eastAsia" w:ascii="宋体" w:hAnsi="宋体"/>
                <w:color w:val="auto"/>
                <w:szCs w:val="21"/>
              </w:rPr>
              <w:t>指标</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4E0F9A97">
            <w:pPr>
              <w:spacing w:line="440" w:lineRule="exact"/>
              <w:jc w:val="center"/>
              <w:rPr>
                <w:rFonts w:ascii="宋体" w:hAnsi="宋体"/>
                <w:color w:val="auto"/>
                <w:szCs w:val="21"/>
              </w:rPr>
            </w:pPr>
            <w:r>
              <w:rPr>
                <w:rFonts w:hint="eastAsia" w:ascii="宋体" w:hAnsi="宋体"/>
                <w:color w:val="auto"/>
                <w:szCs w:val="21"/>
              </w:rPr>
              <w:t>指标要求</w:t>
            </w:r>
          </w:p>
        </w:tc>
        <w:tc>
          <w:tcPr>
            <w:tcW w:w="464" w:type="pct"/>
            <w:tcBorders>
              <w:top w:val="single" w:color="000000" w:sz="4" w:space="0"/>
              <w:left w:val="single" w:color="000000" w:sz="4" w:space="0"/>
              <w:bottom w:val="single" w:color="000000" w:sz="4" w:space="0"/>
              <w:right w:val="single" w:color="000000" w:sz="4" w:space="0"/>
            </w:tcBorders>
            <w:noWrap/>
            <w:vAlign w:val="center"/>
          </w:tcPr>
          <w:p w14:paraId="339A9AF4">
            <w:pPr>
              <w:jc w:val="center"/>
              <w:rPr>
                <w:rFonts w:ascii="宋体" w:hAnsi="宋体"/>
                <w:color w:val="auto"/>
                <w:szCs w:val="21"/>
              </w:rPr>
            </w:pPr>
            <w:r>
              <w:rPr>
                <w:rFonts w:hint="eastAsia" w:ascii="宋体" w:hAnsi="宋体"/>
                <w:color w:val="auto"/>
                <w:szCs w:val="21"/>
              </w:rPr>
              <w:t>数量</w:t>
            </w:r>
          </w:p>
        </w:tc>
      </w:tr>
      <w:tr w14:paraId="764C6021">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0E76CCB8">
            <w:pPr>
              <w:jc w:val="center"/>
              <w:rPr>
                <w:rFonts w:ascii="宋体" w:hAnsi="宋体"/>
                <w:color w:val="auto"/>
                <w:szCs w:val="21"/>
              </w:rPr>
            </w:pPr>
            <w:r>
              <w:rPr>
                <w:rFonts w:hint="eastAsia" w:ascii="宋体" w:hAnsi="宋体"/>
                <w:color w:val="auto"/>
                <w:szCs w:val="21"/>
              </w:rPr>
              <w:t>CPU核数</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545B1744">
            <w:pPr>
              <w:spacing w:line="440" w:lineRule="exact"/>
              <w:jc w:val="center"/>
              <w:rPr>
                <w:rFonts w:ascii="宋体" w:hAnsi="宋体"/>
                <w:color w:val="auto"/>
                <w:szCs w:val="21"/>
              </w:rPr>
            </w:pPr>
            <w:r>
              <w:rPr>
                <w:rFonts w:hint="eastAsia" w:ascii="宋体" w:hAnsi="宋体"/>
                <w:color w:val="auto"/>
                <w:szCs w:val="21"/>
              </w:rPr>
              <w:t>ARM架构，核数≥8</w:t>
            </w:r>
          </w:p>
        </w:tc>
        <w:tc>
          <w:tcPr>
            <w:tcW w:w="464" w:type="pct"/>
            <w:vMerge w:val="restart"/>
            <w:tcBorders>
              <w:top w:val="single" w:color="000000" w:sz="4" w:space="0"/>
              <w:left w:val="single" w:color="000000" w:sz="4" w:space="0"/>
              <w:right w:val="single" w:color="000000" w:sz="4" w:space="0"/>
            </w:tcBorders>
            <w:noWrap/>
            <w:vAlign w:val="center"/>
          </w:tcPr>
          <w:p w14:paraId="746F2EC3">
            <w:pPr>
              <w:jc w:val="center"/>
              <w:rPr>
                <w:rFonts w:ascii="宋体" w:hAnsi="宋体"/>
                <w:color w:val="auto"/>
                <w:szCs w:val="21"/>
              </w:rPr>
            </w:pPr>
            <w:r>
              <w:rPr>
                <w:rFonts w:ascii="宋体" w:hAnsi="宋体"/>
                <w:color w:val="auto"/>
                <w:szCs w:val="21"/>
              </w:rPr>
              <w:t>100</w:t>
            </w:r>
            <w:r>
              <w:rPr>
                <w:rFonts w:hint="eastAsia" w:ascii="宋体" w:hAnsi="宋体"/>
                <w:color w:val="auto"/>
                <w:szCs w:val="21"/>
              </w:rPr>
              <w:t>台</w:t>
            </w:r>
          </w:p>
        </w:tc>
      </w:tr>
      <w:tr w14:paraId="67BB88D4">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681A69B0">
            <w:pPr>
              <w:jc w:val="center"/>
              <w:rPr>
                <w:rFonts w:ascii="宋体" w:hAnsi="宋体"/>
                <w:color w:val="auto"/>
                <w:szCs w:val="21"/>
              </w:rPr>
            </w:pPr>
            <w:r>
              <w:rPr>
                <w:rFonts w:hint="eastAsia" w:ascii="宋体" w:hAnsi="宋体"/>
                <w:color w:val="auto"/>
                <w:szCs w:val="21"/>
              </w:rPr>
              <w:t>CPU最高主频</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1C9B748D">
            <w:pPr>
              <w:spacing w:line="440" w:lineRule="exact"/>
              <w:jc w:val="center"/>
              <w:rPr>
                <w:rFonts w:ascii="宋体" w:hAnsi="宋体"/>
                <w:color w:val="auto"/>
                <w:szCs w:val="21"/>
              </w:rPr>
            </w:pPr>
            <w:r>
              <w:rPr>
                <w:rFonts w:hint="eastAsia" w:ascii="宋体" w:hAnsi="宋体"/>
                <w:color w:val="auto"/>
                <w:szCs w:val="21"/>
              </w:rPr>
              <w:t>≥2.0GHz</w:t>
            </w:r>
          </w:p>
        </w:tc>
        <w:tc>
          <w:tcPr>
            <w:tcW w:w="464" w:type="pct"/>
            <w:vMerge w:val="continue"/>
            <w:tcBorders>
              <w:left w:val="single" w:color="000000" w:sz="4" w:space="0"/>
              <w:right w:val="single" w:color="000000" w:sz="4" w:space="0"/>
            </w:tcBorders>
            <w:noWrap/>
            <w:vAlign w:val="center"/>
          </w:tcPr>
          <w:p w14:paraId="6CA76B86">
            <w:pPr>
              <w:jc w:val="left"/>
              <w:rPr>
                <w:rFonts w:ascii="宋体" w:hAnsi="宋体"/>
                <w:color w:val="auto"/>
                <w:szCs w:val="21"/>
              </w:rPr>
            </w:pPr>
          </w:p>
        </w:tc>
      </w:tr>
      <w:tr w14:paraId="5C4E50D9">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74EBBC80">
            <w:pPr>
              <w:jc w:val="center"/>
              <w:rPr>
                <w:rFonts w:ascii="宋体" w:hAnsi="宋体"/>
                <w:color w:val="auto"/>
                <w:szCs w:val="21"/>
              </w:rPr>
            </w:pPr>
            <w:r>
              <w:rPr>
                <w:rFonts w:hint="eastAsia" w:ascii="宋体" w:hAnsi="宋体"/>
                <w:color w:val="auto"/>
                <w:szCs w:val="21"/>
              </w:rPr>
              <w:t>内存容量</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3B4E5E0E">
            <w:pPr>
              <w:spacing w:line="440" w:lineRule="exact"/>
              <w:jc w:val="center"/>
              <w:rPr>
                <w:rFonts w:ascii="宋体" w:hAnsi="宋体"/>
                <w:color w:val="auto"/>
                <w:szCs w:val="21"/>
              </w:rPr>
            </w:pPr>
            <w:r>
              <w:rPr>
                <w:rFonts w:hint="eastAsia" w:ascii="宋体" w:hAnsi="宋体"/>
                <w:color w:val="auto"/>
                <w:szCs w:val="21"/>
              </w:rPr>
              <w:t>≥4GB</w:t>
            </w:r>
          </w:p>
        </w:tc>
        <w:tc>
          <w:tcPr>
            <w:tcW w:w="464" w:type="pct"/>
            <w:vMerge w:val="continue"/>
            <w:tcBorders>
              <w:left w:val="single" w:color="000000" w:sz="4" w:space="0"/>
              <w:right w:val="single" w:color="000000" w:sz="4" w:space="0"/>
            </w:tcBorders>
            <w:noWrap/>
            <w:vAlign w:val="center"/>
          </w:tcPr>
          <w:p w14:paraId="4186CE76">
            <w:pPr>
              <w:jc w:val="left"/>
              <w:rPr>
                <w:rFonts w:ascii="宋体" w:hAnsi="宋体"/>
                <w:color w:val="auto"/>
                <w:szCs w:val="21"/>
              </w:rPr>
            </w:pPr>
          </w:p>
        </w:tc>
      </w:tr>
      <w:tr w14:paraId="30FBCF8E">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278831C6">
            <w:pPr>
              <w:jc w:val="center"/>
              <w:rPr>
                <w:rFonts w:ascii="宋体" w:hAnsi="宋体"/>
                <w:color w:val="auto"/>
                <w:szCs w:val="21"/>
              </w:rPr>
            </w:pPr>
            <w:r>
              <w:rPr>
                <w:rFonts w:hint="eastAsia" w:ascii="宋体" w:hAnsi="宋体"/>
                <w:color w:val="auto"/>
                <w:szCs w:val="21"/>
              </w:rPr>
              <w:t>硬盘容量</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15A7C051">
            <w:pPr>
              <w:spacing w:line="440" w:lineRule="exact"/>
              <w:jc w:val="center"/>
              <w:rPr>
                <w:rFonts w:ascii="宋体" w:hAnsi="宋体"/>
                <w:color w:val="auto"/>
                <w:szCs w:val="21"/>
              </w:rPr>
            </w:pPr>
            <w:r>
              <w:rPr>
                <w:rFonts w:hint="eastAsia" w:ascii="宋体" w:hAnsi="宋体"/>
                <w:color w:val="auto"/>
                <w:szCs w:val="21"/>
              </w:rPr>
              <w:t>≥128GB</w:t>
            </w:r>
          </w:p>
        </w:tc>
        <w:tc>
          <w:tcPr>
            <w:tcW w:w="464" w:type="pct"/>
            <w:vMerge w:val="continue"/>
            <w:tcBorders>
              <w:left w:val="single" w:color="000000" w:sz="4" w:space="0"/>
              <w:right w:val="single" w:color="000000" w:sz="4" w:space="0"/>
            </w:tcBorders>
            <w:noWrap/>
            <w:vAlign w:val="center"/>
          </w:tcPr>
          <w:p w14:paraId="0197C92A">
            <w:pPr>
              <w:jc w:val="left"/>
              <w:rPr>
                <w:rFonts w:ascii="宋体" w:hAnsi="宋体"/>
                <w:color w:val="auto"/>
                <w:szCs w:val="21"/>
              </w:rPr>
            </w:pPr>
          </w:p>
        </w:tc>
      </w:tr>
      <w:tr w14:paraId="553395BA">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5194D0A8">
            <w:pPr>
              <w:jc w:val="center"/>
              <w:rPr>
                <w:rFonts w:ascii="宋体" w:hAnsi="宋体"/>
                <w:color w:val="auto"/>
                <w:szCs w:val="21"/>
              </w:rPr>
            </w:pPr>
            <w:r>
              <w:rPr>
                <w:rFonts w:hint="eastAsia" w:ascii="宋体" w:hAnsi="宋体"/>
                <w:color w:val="auto"/>
                <w:szCs w:val="21"/>
              </w:rPr>
              <w:t>触摸屏</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624D3007">
            <w:pPr>
              <w:spacing w:line="440" w:lineRule="exact"/>
              <w:jc w:val="center"/>
              <w:rPr>
                <w:rFonts w:ascii="宋体" w:hAnsi="宋体"/>
                <w:color w:val="auto"/>
                <w:szCs w:val="21"/>
              </w:rPr>
            </w:pPr>
            <w:r>
              <w:rPr>
                <w:rFonts w:hint="eastAsia" w:ascii="宋体" w:hAnsi="宋体"/>
                <w:color w:val="auto"/>
                <w:szCs w:val="21"/>
              </w:rPr>
              <w:t>IPS或OLED</w:t>
            </w:r>
          </w:p>
        </w:tc>
        <w:tc>
          <w:tcPr>
            <w:tcW w:w="464" w:type="pct"/>
            <w:vMerge w:val="continue"/>
            <w:tcBorders>
              <w:left w:val="single" w:color="000000" w:sz="4" w:space="0"/>
              <w:right w:val="single" w:color="000000" w:sz="4" w:space="0"/>
            </w:tcBorders>
            <w:noWrap/>
            <w:vAlign w:val="center"/>
          </w:tcPr>
          <w:p w14:paraId="6E6161A5">
            <w:pPr>
              <w:jc w:val="left"/>
              <w:rPr>
                <w:rFonts w:ascii="宋体" w:hAnsi="宋体"/>
                <w:color w:val="auto"/>
                <w:szCs w:val="21"/>
              </w:rPr>
            </w:pPr>
          </w:p>
        </w:tc>
      </w:tr>
      <w:tr w14:paraId="037E45ED">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5C97C55E">
            <w:pPr>
              <w:jc w:val="center"/>
              <w:rPr>
                <w:rFonts w:ascii="宋体" w:hAnsi="宋体"/>
                <w:color w:val="auto"/>
                <w:szCs w:val="21"/>
              </w:rPr>
            </w:pPr>
            <w:r>
              <w:rPr>
                <w:rFonts w:hint="eastAsia" w:ascii="宋体" w:hAnsi="宋体"/>
                <w:color w:val="auto"/>
                <w:szCs w:val="21"/>
              </w:rPr>
              <w:t>最大分辨率</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2611400C">
            <w:pPr>
              <w:spacing w:line="440" w:lineRule="exact"/>
              <w:jc w:val="center"/>
              <w:rPr>
                <w:rFonts w:ascii="宋体" w:hAnsi="宋体"/>
                <w:color w:val="auto"/>
                <w:szCs w:val="21"/>
              </w:rPr>
            </w:pPr>
            <w:r>
              <w:rPr>
                <w:rFonts w:hint="eastAsia" w:ascii="宋体" w:hAnsi="宋体"/>
                <w:color w:val="auto"/>
                <w:szCs w:val="21"/>
              </w:rPr>
              <w:t>≥2000*1200</w:t>
            </w:r>
          </w:p>
        </w:tc>
        <w:tc>
          <w:tcPr>
            <w:tcW w:w="464" w:type="pct"/>
            <w:vMerge w:val="continue"/>
            <w:tcBorders>
              <w:left w:val="single" w:color="000000" w:sz="4" w:space="0"/>
              <w:right w:val="single" w:color="000000" w:sz="4" w:space="0"/>
            </w:tcBorders>
            <w:noWrap/>
            <w:vAlign w:val="center"/>
          </w:tcPr>
          <w:p w14:paraId="1D51D67C">
            <w:pPr>
              <w:jc w:val="left"/>
              <w:rPr>
                <w:rFonts w:ascii="宋体" w:hAnsi="宋体"/>
                <w:color w:val="auto"/>
                <w:szCs w:val="21"/>
              </w:rPr>
            </w:pPr>
          </w:p>
        </w:tc>
      </w:tr>
      <w:tr w14:paraId="0F6C747C">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32181DB0">
            <w:pPr>
              <w:jc w:val="center"/>
              <w:rPr>
                <w:rFonts w:ascii="宋体" w:hAnsi="宋体"/>
                <w:color w:val="auto"/>
                <w:szCs w:val="21"/>
              </w:rPr>
            </w:pPr>
            <w:r>
              <w:rPr>
                <w:rFonts w:hint="eastAsia" w:ascii="宋体" w:hAnsi="宋体"/>
                <w:color w:val="auto"/>
                <w:szCs w:val="21"/>
              </w:rPr>
              <w:t>屏幕亮度</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4C3E6954">
            <w:pPr>
              <w:spacing w:line="440" w:lineRule="exact"/>
              <w:jc w:val="center"/>
              <w:rPr>
                <w:rFonts w:ascii="宋体" w:hAnsi="宋体"/>
                <w:color w:val="auto"/>
                <w:szCs w:val="21"/>
              </w:rPr>
            </w:pPr>
            <w:r>
              <w:rPr>
                <w:rFonts w:hint="eastAsia" w:ascii="宋体" w:hAnsi="宋体"/>
                <w:color w:val="auto"/>
                <w:szCs w:val="21"/>
              </w:rPr>
              <w:t>≥450nits</w:t>
            </w:r>
          </w:p>
        </w:tc>
        <w:tc>
          <w:tcPr>
            <w:tcW w:w="464" w:type="pct"/>
            <w:vMerge w:val="continue"/>
            <w:tcBorders>
              <w:left w:val="single" w:color="000000" w:sz="4" w:space="0"/>
              <w:right w:val="single" w:color="000000" w:sz="4" w:space="0"/>
            </w:tcBorders>
            <w:noWrap/>
            <w:vAlign w:val="center"/>
          </w:tcPr>
          <w:p w14:paraId="5C075874">
            <w:pPr>
              <w:jc w:val="left"/>
              <w:rPr>
                <w:rFonts w:ascii="宋体" w:hAnsi="宋体"/>
                <w:color w:val="auto"/>
                <w:szCs w:val="21"/>
              </w:rPr>
            </w:pPr>
          </w:p>
        </w:tc>
      </w:tr>
      <w:tr w14:paraId="0FD9A1E3">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11A32D30">
            <w:pPr>
              <w:jc w:val="center"/>
              <w:rPr>
                <w:rFonts w:ascii="宋体" w:hAnsi="宋体"/>
                <w:color w:val="auto"/>
                <w:szCs w:val="21"/>
              </w:rPr>
            </w:pPr>
            <w:r>
              <w:rPr>
                <w:rFonts w:hint="eastAsia" w:ascii="宋体" w:hAnsi="宋体"/>
                <w:color w:val="auto"/>
                <w:szCs w:val="21"/>
              </w:rPr>
              <w:t>前置摄像头</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705B1424">
            <w:pPr>
              <w:spacing w:line="440" w:lineRule="exact"/>
              <w:jc w:val="center"/>
              <w:rPr>
                <w:rFonts w:ascii="宋体" w:hAnsi="宋体"/>
                <w:color w:val="auto"/>
                <w:szCs w:val="21"/>
              </w:rPr>
            </w:pPr>
            <w:r>
              <w:rPr>
                <w:rFonts w:hint="eastAsia" w:ascii="宋体" w:hAnsi="宋体"/>
                <w:color w:val="auto"/>
                <w:szCs w:val="21"/>
              </w:rPr>
              <w:t>≥800万像素</w:t>
            </w:r>
          </w:p>
        </w:tc>
        <w:tc>
          <w:tcPr>
            <w:tcW w:w="464" w:type="pct"/>
            <w:vMerge w:val="continue"/>
            <w:tcBorders>
              <w:left w:val="single" w:color="000000" w:sz="4" w:space="0"/>
              <w:right w:val="single" w:color="000000" w:sz="4" w:space="0"/>
            </w:tcBorders>
            <w:noWrap/>
            <w:vAlign w:val="center"/>
          </w:tcPr>
          <w:p w14:paraId="5FAF80AA">
            <w:pPr>
              <w:jc w:val="left"/>
              <w:rPr>
                <w:rFonts w:ascii="宋体" w:hAnsi="宋体"/>
                <w:color w:val="auto"/>
                <w:szCs w:val="21"/>
              </w:rPr>
            </w:pPr>
          </w:p>
        </w:tc>
      </w:tr>
      <w:tr w14:paraId="0EF8B6BD">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311BEA72">
            <w:pPr>
              <w:jc w:val="center"/>
              <w:rPr>
                <w:rFonts w:ascii="宋体" w:hAnsi="宋体"/>
                <w:color w:val="auto"/>
                <w:szCs w:val="21"/>
              </w:rPr>
            </w:pPr>
            <w:r>
              <w:rPr>
                <w:rFonts w:hint="eastAsia" w:ascii="宋体" w:hAnsi="宋体"/>
                <w:color w:val="auto"/>
                <w:szCs w:val="21"/>
              </w:rPr>
              <w:t>后置摄像头</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7F95E2CC">
            <w:pPr>
              <w:spacing w:line="440" w:lineRule="exact"/>
              <w:jc w:val="center"/>
              <w:rPr>
                <w:rFonts w:ascii="宋体" w:hAnsi="宋体"/>
                <w:color w:val="auto"/>
                <w:szCs w:val="21"/>
              </w:rPr>
            </w:pPr>
            <w:r>
              <w:rPr>
                <w:rFonts w:hint="eastAsia" w:ascii="宋体" w:hAnsi="宋体"/>
                <w:color w:val="auto"/>
                <w:szCs w:val="21"/>
              </w:rPr>
              <w:t>≥1300万像素</w:t>
            </w:r>
          </w:p>
        </w:tc>
        <w:tc>
          <w:tcPr>
            <w:tcW w:w="464" w:type="pct"/>
            <w:vMerge w:val="continue"/>
            <w:tcBorders>
              <w:left w:val="single" w:color="000000" w:sz="4" w:space="0"/>
              <w:right w:val="single" w:color="000000" w:sz="4" w:space="0"/>
            </w:tcBorders>
            <w:noWrap/>
            <w:vAlign w:val="center"/>
          </w:tcPr>
          <w:p w14:paraId="35F26EDD">
            <w:pPr>
              <w:jc w:val="left"/>
              <w:rPr>
                <w:rFonts w:ascii="宋体" w:hAnsi="宋体"/>
                <w:color w:val="auto"/>
                <w:szCs w:val="21"/>
              </w:rPr>
            </w:pPr>
          </w:p>
        </w:tc>
      </w:tr>
      <w:tr w14:paraId="1A0CD54D">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2C8C1EDB">
            <w:pPr>
              <w:jc w:val="center"/>
              <w:rPr>
                <w:rFonts w:ascii="宋体" w:hAnsi="宋体"/>
                <w:color w:val="auto"/>
                <w:szCs w:val="21"/>
              </w:rPr>
            </w:pPr>
            <w:r>
              <w:rPr>
                <w:rFonts w:hint="eastAsia" w:ascii="宋体" w:hAnsi="宋体"/>
                <w:color w:val="auto"/>
                <w:szCs w:val="21"/>
              </w:rPr>
              <w:t>电池容量</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4AF4FFA5">
            <w:pPr>
              <w:spacing w:line="440" w:lineRule="exact"/>
              <w:jc w:val="center"/>
              <w:rPr>
                <w:rFonts w:ascii="宋体" w:hAns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000mAh</w:t>
            </w:r>
          </w:p>
        </w:tc>
        <w:tc>
          <w:tcPr>
            <w:tcW w:w="464" w:type="pct"/>
            <w:vMerge w:val="continue"/>
            <w:tcBorders>
              <w:left w:val="single" w:color="000000" w:sz="4" w:space="0"/>
              <w:right w:val="single" w:color="000000" w:sz="4" w:space="0"/>
            </w:tcBorders>
            <w:noWrap/>
            <w:vAlign w:val="center"/>
          </w:tcPr>
          <w:p w14:paraId="55116CEC">
            <w:pPr>
              <w:jc w:val="left"/>
              <w:rPr>
                <w:rFonts w:ascii="宋体" w:hAnsi="宋体"/>
                <w:color w:val="auto"/>
                <w:szCs w:val="21"/>
              </w:rPr>
            </w:pPr>
          </w:p>
        </w:tc>
      </w:tr>
      <w:tr w14:paraId="6657263A">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63D5B90F">
            <w:pPr>
              <w:jc w:val="center"/>
              <w:rPr>
                <w:rFonts w:ascii="宋体" w:hAnsi="宋体"/>
                <w:color w:val="auto"/>
                <w:szCs w:val="21"/>
              </w:rPr>
            </w:pPr>
            <w:r>
              <w:rPr>
                <w:rFonts w:hint="eastAsia" w:ascii="宋体" w:hAnsi="宋体"/>
                <w:color w:val="auto"/>
                <w:szCs w:val="21"/>
              </w:rPr>
              <w:t>电源</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29948103">
            <w:pPr>
              <w:spacing w:line="440" w:lineRule="exact"/>
              <w:jc w:val="center"/>
              <w:rPr>
                <w:rFonts w:ascii="宋体" w:hAnsi="宋体"/>
                <w:color w:val="auto"/>
                <w:szCs w:val="21"/>
              </w:rPr>
            </w:pPr>
            <w:r>
              <w:rPr>
                <w:rFonts w:hint="eastAsia" w:ascii="宋体" w:hAnsi="宋体"/>
                <w:color w:val="auto"/>
                <w:szCs w:val="21"/>
              </w:rPr>
              <w:t>Type-C充电接口 ，充电功率≥22W</w:t>
            </w:r>
          </w:p>
        </w:tc>
        <w:tc>
          <w:tcPr>
            <w:tcW w:w="464" w:type="pct"/>
            <w:vMerge w:val="continue"/>
            <w:tcBorders>
              <w:left w:val="single" w:color="000000" w:sz="4" w:space="0"/>
              <w:right w:val="single" w:color="000000" w:sz="4" w:space="0"/>
            </w:tcBorders>
            <w:noWrap/>
            <w:vAlign w:val="center"/>
          </w:tcPr>
          <w:p w14:paraId="24014C94">
            <w:pPr>
              <w:jc w:val="left"/>
              <w:rPr>
                <w:rFonts w:ascii="宋体" w:hAnsi="宋体"/>
                <w:color w:val="auto"/>
                <w:szCs w:val="21"/>
              </w:rPr>
            </w:pPr>
          </w:p>
        </w:tc>
      </w:tr>
      <w:tr w14:paraId="53FC759B">
        <w:tblPrEx>
          <w:tblCellMar>
            <w:top w:w="0" w:type="dxa"/>
            <w:left w:w="108" w:type="dxa"/>
            <w:bottom w:w="0" w:type="dxa"/>
            <w:right w:w="108" w:type="dxa"/>
          </w:tblCellMar>
        </w:tblPrEx>
        <w:trPr>
          <w:trHeight w:val="33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350D3CD4">
            <w:pPr>
              <w:jc w:val="center"/>
              <w:rPr>
                <w:rFonts w:ascii="宋体" w:hAnsi="宋体"/>
                <w:color w:val="auto"/>
                <w:szCs w:val="21"/>
              </w:rPr>
            </w:pPr>
            <w:r>
              <w:rPr>
                <w:rFonts w:hint="eastAsia" w:ascii="宋体" w:hAnsi="宋体"/>
                <w:color w:val="auto"/>
                <w:szCs w:val="21"/>
              </w:rPr>
              <w:t>蓝牙</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27CEAA6A">
            <w:pPr>
              <w:spacing w:line="440" w:lineRule="exact"/>
              <w:jc w:val="center"/>
              <w:rPr>
                <w:rFonts w:ascii="宋体" w:hAnsi="宋体"/>
                <w:color w:val="auto"/>
                <w:szCs w:val="21"/>
              </w:rPr>
            </w:pPr>
            <w:r>
              <w:rPr>
                <w:rFonts w:hint="eastAsia" w:ascii="宋体" w:hAnsi="宋体"/>
                <w:color w:val="auto"/>
                <w:szCs w:val="21"/>
              </w:rPr>
              <w:t>5.0或以上</w:t>
            </w:r>
          </w:p>
        </w:tc>
        <w:tc>
          <w:tcPr>
            <w:tcW w:w="464" w:type="pct"/>
            <w:vMerge w:val="continue"/>
            <w:tcBorders>
              <w:left w:val="single" w:color="000000" w:sz="4" w:space="0"/>
              <w:right w:val="single" w:color="000000" w:sz="4" w:space="0"/>
            </w:tcBorders>
            <w:noWrap/>
            <w:vAlign w:val="center"/>
          </w:tcPr>
          <w:p w14:paraId="554CA6EE">
            <w:pPr>
              <w:jc w:val="left"/>
              <w:rPr>
                <w:rFonts w:ascii="宋体" w:hAnsi="宋体"/>
                <w:color w:val="auto"/>
                <w:szCs w:val="21"/>
              </w:rPr>
            </w:pPr>
          </w:p>
        </w:tc>
      </w:tr>
      <w:tr w14:paraId="6720CD79">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254CAE63">
            <w:pPr>
              <w:jc w:val="center"/>
              <w:rPr>
                <w:rFonts w:ascii="宋体" w:hAnsi="宋体"/>
                <w:color w:val="auto"/>
                <w:szCs w:val="21"/>
              </w:rPr>
            </w:pPr>
            <w:r>
              <w:rPr>
                <w:rFonts w:hint="eastAsia" w:ascii="宋体" w:hAnsi="宋体"/>
                <w:color w:val="auto"/>
                <w:szCs w:val="21"/>
              </w:rPr>
              <w:t>操作系统</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383EF49B">
            <w:pPr>
              <w:spacing w:line="440" w:lineRule="exact"/>
              <w:jc w:val="center"/>
              <w:rPr>
                <w:rFonts w:ascii="宋体" w:hAnsi="宋体"/>
                <w:color w:val="auto"/>
                <w:szCs w:val="21"/>
              </w:rPr>
            </w:pPr>
            <w:r>
              <w:rPr>
                <w:rFonts w:hint="eastAsia" w:ascii="宋体" w:hAnsi="宋体"/>
                <w:color w:val="auto"/>
                <w:szCs w:val="21"/>
              </w:rPr>
              <w:t>安卓或鸿蒙</w:t>
            </w:r>
          </w:p>
        </w:tc>
        <w:tc>
          <w:tcPr>
            <w:tcW w:w="464" w:type="pct"/>
            <w:vMerge w:val="continue"/>
            <w:tcBorders>
              <w:left w:val="single" w:color="000000" w:sz="4" w:space="0"/>
              <w:right w:val="single" w:color="000000" w:sz="4" w:space="0"/>
            </w:tcBorders>
            <w:noWrap/>
            <w:vAlign w:val="center"/>
          </w:tcPr>
          <w:p w14:paraId="0290513D">
            <w:pPr>
              <w:jc w:val="left"/>
              <w:rPr>
                <w:rFonts w:ascii="宋体" w:hAnsi="宋体"/>
                <w:color w:val="auto"/>
                <w:szCs w:val="21"/>
              </w:rPr>
            </w:pPr>
          </w:p>
        </w:tc>
      </w:tr>
      <w:tr w14:paraId="6D244A2D">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52809C3B">
            <w:pPr>
              <w:jc w:val="center"/>
              <w:rPr>
                <w:rFonts w:ascii="宋体" w:hAnsi="宋体"/>
                <w:color w:val="auto"/>
                <w:szCs w:val="21"/>
              </w:rPr>
            </w:pPr>
            <w:r>
              <w:rPr>
                <w:rFonts w:hint="eastAsia" w:ascii="宋体" w:hAnsi="宋体"/>
                <w:color w:val="auto"/>
                <w:szCs w:val="21"/>
              </w:rPr>
              <w:t>存储扩展</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1EA98A0E">
            <w:pPr>
              <w:spacing w:line="440" w:lineRule="exact"/>
              <w:jc w:val="center"/>
              <w:rPr>
                <w:rFonts w:ascii="宋体" w:hAnsi="宋体"/>
                <w:color w:val="auto"/>
                <w:szCs w:val="21"/>
              </w:rPr>
            </w:pPr>
            <w:r>
              <w:rPr>
                <w:rFonts w:hint="eastAsia" w:ascii="宋体" w:hAnsi="宋体"/>
                <w:color w:val="auto"/>
                <w:szCs w:val="21"/>
              </w:rPr>
              <w:t>TF/SD卡扩展支持</w:t>
            </w:r>
          </w:p>
        </w:tc>
        <w:tc>
          <w:tcPr>
            <w:tcW w:w="464" w:type="pct"/>
            <w:vMerge w:val="continue"/>
            <w:tcBorders>
              <w:left w:val="single" w:color="000000" w:sz="4" w:space="0"/>
              <w:right w:val="single" w:color="000000" w:sz="4" w:space="0"/>
            </w:tcBorders>
            <w:noWrap/>
            <w:vAlign w:val="center"/>
          </w:tcPr>
          <w:p w14:paraId="49ADA6F8">
            <w:pPr>
              <w:jc w:val="left"/>
              <w:rPr>
                <w:rFonts w:ascii="宋体" w:hAnsi="宋体"/>
                <w:color w:val="auto"/>
                <w:szCs w:val="21"/>
              </w:rPr>
            </w:pPr>
          </w:p>
        </w:tc>
      </w:tr>
      <w:tr w14:paraId="27B3DE2C">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348A895D">
            <w:pPr>
              <w:jc w:val="center"/>
              <w:rPr>
                <w:rFonts w:ascii="宋体" w:hAnsi="宋体"/>
                <w:color w:val="auto"/>
                <w:szCs w:val="21"/>
              </w:rPr>
            </w:pPr>
            <w:r>
              <w:rPr>
                <w:rFonts w:hint="eastAsia" w:ascii="宋体" w:hAnsi="宋体"/>
                <w:color w:val="auto"/>
                <w:szCs w:val="21"/>
              </w:rPr>
              <w:t>定位要求</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D7A3BB4">
            <w:pPr>
              <w:spacing w:line="440" w:lineRule="exact"/>
              <w:jc w:val="center"/>
              <w:rPr>
                <w:rFonts w:ascii="宋体" w:hAnsi="宋体"/>
                <w:color w:val="auto"/>
                <w:szCs w:val="21"/>
              </w:rPr>
            </w:pPr>
            <w:r>
              <w:rPr>
                <w:rFonts w:hint="eastAsia" w:ascii="宋体" w:hAnsi="宋体"/>
                <w:color w:val="auto"/>
                <w:szCs w:val="21"/>
              </w:rPr>
              <w:t>支持 GPS、北斗</w:t>
            </w:r>
          </w:p>
        </w:tc>
        <w:tc>
          <w:tcPr>
            <w:tcW w:w="464" w:type="pct"/>
            <w:vMerge w:val="continue"/>
            <w:tcBorders>
              <w:left w:val="single" w:color="000000" w:sz="4" w:space="0"/>
              <w:right w:val="single" w:color="000000" w:sz="4" w:space="0"/>
            </w:tcBorders>
            <w:noWrap/>
            <w:vAlign w:val="center"/>
          </w:tcPr>
          <w:p w14:paraId="5E9BBB07">
            <w:pPr>
              <w:jc w:val="left"/>
              <w:rPr>
                <w:rFonts w:ascii="宋体" w:hAnsi="宋体"/>
                <w:color w:val="auto"/>
                <w:szCs w:val="21"/>
              </w:rPr>
            </w:pPr>
          </w:p>
        </w:tc>
      </w:tr>
      <w:tr w14:paraId="704D78F9">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3D0ACB4B">
            <w:pPr>
              <w:jc w:val="center"/>
              <w:rPr>
                <w:rFonts w:ascii="宋体" w:hAnsi="宋体"/>
                <w:color w:val="auto"/>
                <w:szCs w:val="21"/>
              </w:rPr>
            </w:pPr>
            <w:r>
              <w:rPr>
                <w:rFonts w:hint="eastAsia" w:ascii="宋体" w:hAnsi="宋体"/>
                <w:color w:val="auto"/>
                <w:szCs w:val="21"/>
              </w:rPr>
              <w:t>重量</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9583502">
            <w:pPr>
              <w:spacing w:line="440" w:lineRule="exact"/>
              <w:jc w:val="center"/>
              <w:rPr>
                <w:rFonts w:ascii="宋体" w:hAnsi="宋体"/>
                <w:color w:val="auto"/>
                <w:szCs w:val="21"/>
              </w:rPr>
            </w:pPr>
            <w:r>
              <w:rPr>
                <w:rFonts w:hint="eastAsia" w:ascii="宋体" w:hAnsi="宋体"/>
                <w:color w:val="auto"/>
                <w:szCs w:val="21"/>
              </w:rPr>
              <w:t>≤500g</w:t>
            </w:r>
          </w:p>
        </w:tc>
        <w:tc>
          <w:tcPr>
            <w:tcW w:w="464" w:type="pct"/>
            <w:vMerge w:val="continue"/>
            <w:tcBorders>
              <w:left w:val="single" w:color="000000" w:sz="4" w:space="0"/>
              <w:right w:val="single" w:color="000000" w:sz="4" w:space="0"/>
            </w:tcBorders>
            <w:noWrap/>
            <w:vAlign w:val="center"/>
          </w:tcPr>
          <w:p w14:paraId="6D536ADB">
            <w:pPr>
              <w:jc w:val="left"/>
              <w:rPr>
                <w:rFonts w:ascii="宋体" w:hAnsi="宋体"/>
                <w:color w:val="auto"/>
                <w:szCs w:val="21"/>
              </w:rPr>
            </w:pPr>
          </w:p>
        </w:tc>
      </w:tr>
      <w:tr w14:paraId="26109CF3">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1E2B5941">
            <w:pPr>
              <w:jc w:val="center"/>
              <w:rPr>
                <w:rFonts w:ascii="宋体" w:hAnsi="宋体"/>
                <w:color w:val="auto"/>
                <w:szCs w:val="21"/>
              </w:rPr>
            </w:pPr>
            <w:r>
              <w:rPr>
                <w:rFonts w:hint="eastAsia" w:ascii="宋体" w:hAnsi="宋体"/>
                <w:color w:val="auto"/>
                <w:szCs w:val="21"/>
              </w:rPr>
              <w:t>厚度</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58B8E13F">
            <w:pPr>
              <w:spacing w:line="440" w:lineRule="exact"/>
              <w:jc w:val="center"/>
              <w:rPr>
                <w:rFonts w:ascii="宋体" w:hAnsi="宋体"/>
                <w:color w:val="auto"/>
                <w:szCs w:val="21"/>
              </w:rPr>
            </w:pPr>
            <w:r>
              <w:rPr>
                <w:rFonts w:hint="eastAsia" w:ascii="宋体" w:hAnsi="宋体"/>
                <w:color w:val="auto"/>
                <w:szCs w:val="21"/>
              </w:rPr>
              <w:t>≤</w:t>
            </w:r>
            <w:r>
              <w:rPr>
                <w:rFonts w:ascii="宋体" w:hAnsi="宋体"/>
                <w:color w:val="auto"/>
                <w:szCs w:val="21"/>
              </w:rPr>
              <w:t>8</w:t>
            </w:r>
            <w:r>
              <w:rPr>
                <w:rFonts w:hint="eastAsia" w:ascii="宋体" w:hAnsi="宋体"/>
                <w:color w:val="auto"/>
                <w:szCs w:val="21"/>
              </w:rPr>
              <w:t>mm, 除摄像头以外的其他区域</w:t>
            </w:r>
          </w:p>
        </w:tc>
        <w:tc>
          <w:tcPr>
            <w:tcW w:w="464" w:type="pct"/>
            <w:vMerge w:val="continue"/>
            <w:tcBorders>
              <w:left w:val="single" w:color="000000" w:sz="4" w:space="0"/>
              <w:right w:val="single" w:color="000000" w:sz="4" w:space="0"/>
            </w:tcBorders>
            <w:noWrap/>
            <w:vAlign w:val="center"/>
          </w:tcPr>
          <w:p w14:paraId="0FF90F91">
            <w:pPr>
              <w:jc w:val="left"/>
              <w:rPr>
                <w:rFonts w:ascii="宋体" w:hAnsi="宋体"/>
                <w:color w:val="auto"/>
                <w:szCs w:val="21"/>
              </w:rPr>
            </w:pPr>
          </w:p>
        </w:tc>
      </w:tr>
      <w:tr w14:paraId="50EE3F29">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4DD0C791">
            <w:pPr>
              <w:jc w:val="center"/>
              <w:rPr>
                <w:rFonts w:ascii="宋体" w:hAnsi="宋体"/>
                <w:color w:val="auto"/>
                <w:szCs w:val="21"/>
              </w:rPr>
            </w:pPr>
            <w:r>
              <w:rPr>
                <w:rFonts w:hint="eastAsia" w:ascii="宋体" w:hAnsi="宋体"/>
                <w:color w:val="auto"/>
                <w:szCs w:val="21"/>
              </w:rPr>
              <w:t>扬声器</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50CB1FB0">
            <w:pPr>
              <w:spacing w:line="440" w:lineRule="exact"/>
              <w:jc w:val="center"/>
              <w:rPr>
                <w:rFonts w:ascii="宋体" w:hAnsi="宋体"/>
                <w:color w:val="auto"/>
                <w:szCs w:val="21"/>
              </w:rPr>
            </w:pPr>
            <w:r>
              <w:rPr>
                <w:rFonts w:hint="eastAsia" w:ascii="宋体" w:hAnsi="宋体"/>
                <w:color w:val="auto"/>
                <w:szCs w:val="21"/>
              </w:rPr>
              <w:t>内置扬声器</w:t>
            </w:r>
          </w:p>
        </w:tc>
        <w:tc>
          <w:tcPr>
            <w:tcW w:w="464" w:type="pct"/>
            <w:vMerge w:val="continue"/>
            <w:tcBorders>
              <w:left w:val="single" w:color="000000" w:sz="4" w:space="0"/>
              <w:right w:val="single" w:color="000000" w:sz="4" w:space="0"/>
            </w:tcBorders>
            <w:noWrap/>
            <w:vAlign w:val="center"/>
          </w:tcPr>
          <w:p w14:paraId="3BA88504">
            <w:pPr>
              <w:jc w:val="left"/>
              <w:rPr>
                <w:rFonts w:ascii="宋体" w:hAnsi="宋体"/>
                <w:color w:val="auto"/>
                <w:szCs w:val="21"/>
              </w:rPr>
            </w:pPr>
          </w:p>
        </w:tc>
      </w:tr>
      <w:tr w14:paraId="62D5CDD8">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7C60764B">
            <w:pPr>
              <w:jc w:val="center"/>
              <w:rPr>
                <w:rFonts w:ascii="宋体" w:hAnsi="宋体"/>
                <w:color w:val="auto"/>
                <w:szCs w:val="21"/>
              </w:rPr>
            </w:pPr>
            <w:r>
              <w:rPr>
                <w:rFonts w:hint="eastAsia" w:ascii="宋体" w:hAnsi="宋体"/>
                <w:color w:val="auto"/>
                <w:szCs w:val="21"/>
              </w:rPr>
              <w:t>显示尺寸</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177397E">
            <w:pPr>
              <w:spacing w:line="440" w:lineRule="exact"/>
              <w:jc w:val="center"/>
              <w:rPr>
                <w:rFonts w:ascii="宋体" w:hAnsi="宋体"/>
                <w:color w:val="auto"/>
                <w:szCs w:val="21"/>
              </w:rPr>
            </w:pPr>
            <w:r>
              <w:rPr>
                <w:rFonts w:hint="eastAsia" w:ascii="宋体" w:hAnsi="宋体"/>
                <w:color w:val="auto"/>
                <w:szCs w:val="21"/>
              </w:rPr>
              <w:t>10-12英寸之间</w:t>
            </w:r>
          </w:p>
        </w:tc>
        <w:tc>
          <w:tcPr>
            <w:tcW w:w="464" w:type="pct"/>
            <w:vMerge w:val="continue"/>
            <w:tcBorders>
              <w:left w:val="single" w:color="000000" w:sz="4" w:space="0"/>
              <w:right w:val="single" w:color="000000" w:sz="4" w:space="0"/>
            </w:tcBorders>
            <w:noWrap/>
            <w:vAlign w:val="center"/>
          </w:tcPr>
          <w:p w14:paraId="048C747F">
            <w:pPr>
              <w:jc w:val="left"/>
              <w:rPr>
                <w:rFonts w:ascii="宋体" w:hAnsi="宋体"/>
                <w:color w:val="auto"/>
                <w:szCs w:val="21"/>
              </w:rPr>
            </w:pPr>
          </w:p>
        </w:tc>
      </w:tr>
      <w:tr w14:paraId="3A122A5E">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2CAACB1F">
            <w:pPr>
              <w:jc w:val="center"/>
              <w:rPr>
                <w:rFonts w:ascii="宋体" w:hAnsi="宋体"/>
                <w:color w:val="auto"/>
                <w:szCs w:val="21"/>
              </w:rPr>
            </w:pPr>
            <w:r>
              <w:rPr>
                <w:rFonts w:hint="eastAsia" w:ascii="宋体" w:hAnsi="宋体"/>
                <w:color w:val="auto"/>
                <w:szCs w:val="21"/>
              </w:rPr>
              <w:t>Wi-Fi</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F0517B4">
            <w:pPr>
              <w:spacing w:line="440" w:lineRule="exact"/>
              <w:jc w:val="center"/>
              <w:rPr>
                <w:rFonts w:ascii="宋体" w:hAnsi="宋体"/>
                <w:color w:val="auto"/>
                <w:szCs w:val="21"/>
              </w:rPr>
            </w:pPr>
            <w:r>
              <w:rPr>
                <w:rFonts w:hint="eastAsia" w:ascii="宋体" w:hAnsi="宋体"/>
                <w:color w:val="auto"/>
                <w:szCs w:val="21"/>
              </w:rPr>
              <w:t>802.11 a/b/g/n/ac/ax</w:t>
            </w:r>
          </w:p>
        </w:tc>
        <w:tc>
          <w:tcPr>
            <w:tcW w:w="464" w:type="pct"/>
            <w:vMerge w:val="continue"/>
            <w:tcBorders>
              <w:left w:val="single" w:color="000000" w:sz="4" w:space="0"/>
              <w:right w:val="single" w:color="000000" w:sz="4" w:space="0"/>
            </w:tcBorders>
            <w:noWrap/>
            <w:vAlign w:val="center"/>
          </w:tcPr>
          <w:p w14:paraId="0BAF0359">
            <w:pPr>
              <w:jc w:val="left"/>
              <w:rPr>
                <w:rFonts w:ascii="宋体" w:hAnsi="宋体"/>
                <w:color w:val="auto"/>
                <w:szCs w:val="21"/>
              </w:rPr>
            </w:pPr>
          </w:p>
        </w:tc>
      </w:tr>
      <w:tr w14:paraId="10594F8F">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253ADD5C">
            <w:pPr>
              <w:jc w:val="center"/>
              <w:rPr>
                <w:rFonts w:ascii="宋体" w:hAnsi="宋体"/>
                <w:color w:val="auto"/>
                <w:szCs w:val="21"/>
              </w:rPr>
            </w:pPr>
            <w:r>
              <w:rPr>
                <w:rFonts w:hint="eastAsia" w:ascii="宋体" w:hAnsi="宋体"/>
                <w:color w:val="auto"/>
                <w:szCs w:val="21"/>
              </w:rPr>
              <w:t>接口</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FCE5202">
            <w:pPr>
              <w:spacing w:line="440" w:lineRule="exact"/>
              <w:jc w:val="center"/>
              <w:rPr>
                <w:rFonts w:ascii="宋体" w:hAnsi="宋体"/>
                <w:color w:val="auto"/>
                <w:szCs w:val="21"/>
              </w:rPr>
            </w:pPr>
            <w:r>
              <w:rPr>
                <w:rFonts w:hint="eastAsia" w:ascii="宋体" w:hAnsi="宋体"/>
                <w:color w:val="auto"/>
                <w:szCs w:val="21"/>
              </w:rPr>
              <w:t>支持pogo-pin接口</w:t>
            </w:r>
          </w:p>
        </w:tc>
        <w:tc>
          <w:tcPr>
            <w:tcW w:w="464" w:type="pct"/>
            <w:vMerge w:val="continue"/>
            <w:tcBorders>
              <w:left w:val="single" w:color="000000" w:sz="4" w:space="0"/>
              <w:right w:val="single" w:color="000000" w:sz="4" w:space="0"/>
            </w:tcBorders>
            <w:noWrap/>
            <w:vAlign w:val="center"/>
          </w:tcPr>
          <w:p w14:paraId="4E4E82CE">
            <w:pPr>
              <w:jc w:val="left"/>
              <w:rPr>
                <w:rFonts w:ascii="宋体" w:hAnsi="宋体"/>
                <w:color w:val="auto"/>
                <w:szCs w:val="21"/>
              </w:rPr>
            </w:pPr>
          </w:p>
        </w:tc>
      </w:tr>
      <w:tr w14:paraId="65DF4832">
        <w:tblPrEx>
          <w:tblCellMar>
            <w:top w:w="0" w:type="dxa"/>
            <w:left w:w="108" w:type="dxa"/>
            <w:bottom w:w="0" w:type="dxa"/>
            <w:right w:w="108" w:type="dxa"/>
          </w:tblCellMar>
        </w:tblPrEx>
        <w:trPr>
          <w:trHeight w:val="324" w:hRule="atLeast"/>
        </w:trPr>
        <w:tc>
          <w:tcPr>
            <w:tcW w:w="1198" w:type="pct"/>
            <w:tcBorders>
              <w:top w:val="single" w:color="000000" w:sz="4" w:space="0"/>
              <w:left w:val="single" w:color="000000" w:sz="4" w:space="0"/>
              <w:bottom w:val="single" w:color="000000" w:sz="4" w:space="0"/>
              <w:right w:val="single" w:color="000000" w:sz="4" w:space="0"/>
            </w:tcBorders>
            <w:noWrap/>
            <w:vAlign w:val="center"/>
          </w:tcPr>
          <w:p w14:paraId="72411819">
            <w:pPr>
              <w:jc w:val="center"/>
              <w:rPr>
                <w:rFonts w:ascii="宋体" w:hAnsi="宋体"/>
                <w:color w:val="auto"/>
                <w:szCs w:val="21"/>
              </w:rPr>
            </w:pPr>
            <w:r>
              <w:rPr>
                <w:rFonts w:hint="eastAsia" w:ascii="宋体" w:hAnsi="宋体"/>
                <w:color w:val="auto"/>
                <w:szCs w:val="21"/>
              </w:rPr>
              <w:t>3C认证</w:t>
            </w:r>
          </w:p>
        </w:tc>
        <w:tc>
          <w:tcPr>
            <w:tcW w:w="3337" w:type="pct"/>
            <w:tcBorders>
              <w:top w:val="single" w:color="000000" w:sz="4" w:space="0"/>
              <w:left w:val="single" w:color="000000" w:sz="4" w:space="0"/>
              <w:bottom w:val="single" w:color="000000" w:sz="4" w:space="0"/>
              <w:right w:val="single" w:color="000000" w:sz="4" w:space="0"/>
            </w:tcBorders>
            <w:noWrap/>
            <w:vAlign w:val="center"/>
          </w:tcPr>
          <w:p w14:paraId="0A316A4C">
            <w:pPr>
              <w:spacing w:line="440" w:lineRule="exact"/>
              <w:jc w:val="center"/>
              <w:rPr>
                <w:rFonts w:ascii="宋体" w:hAnsi="宋体"/>
                <w:color w:val="auto"/>
                <w:szCs w:val="21"/>
              </w:rPr>
            </w:pPr>
            <w:r>
              <w:rPr>
                <w:rFonts w:hint="eastAsia" w:ascii="宋体" w:hAnsi="宋体"/>
                <w:color w:val="auto"/>
                <w:szCs w:val="21"/>
              </w:rPr>
              <w:t>具备3C认证</w:t>
            </w:r>
          </w:p>
        </w:tc>
        <w:tc>
          <w:tcPr>
            <w:tcW w:w="464" w:type="pct"/>
            <w:vMerge w:val="continue"/>
            <w:tcBorders>
              <w:left w:val="single" w:color="000000" w:sz="4" w:space="0"/>
              <w:right w:val="single" w:color="000000" w:sz="4" w:space="0"/>
            </w:tcBorders>
            <w:noWrap/>
            <w:vAlign w:val="center"/>
          </w:tcPr>
          <w:p w14:paraId="5B95A334">
            <w:pPr>
              <w:jc w:val="left"/>
              <w:rPr>
                <w:rFonts w:ascii="宋体" w:hAnsi="宋体"/>
                <w:color w:val="auto"/>
                <w:szCs w:val="21"/>
              </w:rPr>
            </w:pPr>
          </w:p>
        </w:tc>
      </w:tr>
      <w:tr w14:paraId="1DFD96BD">
        <w:tblPrEx>
          <w:tblCellMar>
            <w:top w:w="0" w:type="dxa"/>
            <w:left w:w="108" w:type="dxa"/>
            <w:bottom w:w="0" w:type="dxa"/>
            <w:right w:w="108" w:type="dxa"/>
          </w:tblCellMar>
        </w:tblPrEx>
        <w:trPr>
          <w:trHeight w:val="474" w:hRule="atLeast"/>
        </w:trPr>
        <w:tc>
          <w:tcPr>
            <w:tcW w:w="4535" w:type="pct"/>
            <w:gridSpan w:val="2"/>
            <w:tcBorders>
              <w:top w:val="single" w:color="000000" w:sz="4" w:space="0"/>
              <w:left w:val="single" w:color="000000" w:sz="4" w:space="0"/>
              <w:bottom w:val="single" w:color="000000" w:sz="4" w:space="0"/>
              <w:right w:val="single" w:color="000000" w:sz="4" w:space="0"/>
            </w:tcBorders>
            <w:noWrap/>
            <w:vAlign w:val="center"/>
          </w:tcPr>
          <w:p w14:paraId="0FE27EA5">
            <w:pPr>
              <w:spacing w:line="440" w:lineRule="exact"/>
              <w:jc w:val="left"/>
              <w:rPr>
                <w:rFonts w:ascii="宋体" w:hAnsi="宋体"/>
                <w:color w:val="auto"/>
                <w:szCs w:val="21"/>
              </w:rPr>
            </w:pPr>
            <w:r>
              <w:rPr>
                <w:rFonts w:hint="eastAsia" w:ascii="宋体" w:hAnsi="宋体"/>
                <w:color w:val="auto"/>
                <w:szCs w:val="21"/>
              </w:rPr>
              <w:t>提供从硬件设备验收合格之日起原厂</w:t>
            </w:r>
            <w:r>
              <w:rPr>
                <w:rFonts w:ascii="宋体" w:hAnsi="宋体"/>
                <w:color w:val="auto"/>
                <w:szCs w:val="21"/>
              </w:rPr>
              <w:t>1</w:t>
            </w:r>
            <w:r>
              <w:rPr>
                <w:rFonts w:hint="eastAsia" w:ascii="宋体" w:hAnsi="宋体"/>
                <w:color w:val="auto"/>
                <w:szCs w:val="21"/>
              </w:rPr>
              <w:t>年的免费质保服务。</w:t>
            </w:r>
          </w:p>
        </w:tc>
        <w:tc>
          <w:tcPr>
            <w:tcW w:w="464" w:type="pct"/>
            <w:vMerge w:val="continue"/>
            <w:tcBorders>
              <w:left w:val="single" w:color="000000" w:sz="4" w:space="0"/>
              <w:bottom w:val="single" w:color="000000" w:sz="4" w:space="0"/>
              <w:right w:val="single" w:color="000000" w:sz="4" w:space="0"/>
            </w:tcBorders>
            <w:noWrap/>
            <w:vAlign w:val="center"/>
          </w:tcPr>
          <w:p w14:paraId="0E4359CA">
            <w:pPr>
              <w:jc w:val="left"/>
              <w:rPr>
                <w:rFonts w:ascii="宋体" w:hAnsi="宋体"/>
                <w:color w:val="auto"/>
                <w:szCs w:val="21"/>
              </w:rPr>
            </w:pPr>
          </w:p>
        </w:tc>
      </w:tr>
      <w:bookmarkEnd w:id="173"/>
    </w:tbl>
    <w:p w14:paraId="7C23B3E2">
      <w:pPr>
        <w:jc w:val="left"/>
        <w:rPr>
          <w:color w:val="auto"/>
          <w:sz w:val="18"/>
          <w:szCs w:val="18"/>
        </w:rPr>
      </w:pPr>
    </w:p>
    <w:p w14:paraId="239FCE58">
      <w:pPr>
        <w:tabs>
          <w:tab w:val="center" w:pos="4153"/>
          <w:tab w:val="right" w:pos="8306"/>
        </w:tabs>
        <w:snapToGrid w:val="0"/>
        <w:jc w:val="left"/>
        <w:rPr>
          <w:color w:val="auto"/>
          <w:sz w:val="18"/>
          <w:szCs w:val="21"/>
        </w:rPr>
      </w:pPr>
    </w:p>
    <w:p w14:paraId="24279442">
      <w:pPr>
        <w:tabs>
          <w:tab w:val="center" w:pos="4153"/>
          <w:tab w:val="right" w:pos="8306"/>
        </w:tabs>
        <w:snapToGrid w:val="0"/>
        <w:jc w:val="left"/>
        <w:rPr>
          <w:color w:val="auto"/>
          <w:sz w:val="18"/>
          <w:szCs w:val="21"/>
        </w:rPr>
      </w:pPr>
    </w:p>
    <w:p w14:paraId="4B304328">
      <w:pPr>
        <w:rPr>
          <w:color w:val="auto"/>
          <w:sz w:val="18"/>
          <w:szCs w:val="18"/>
        </w:rPr>
      </w:pPr>
    </w:p>
    <w:p w14:paraId="63347A59">
      <w:pPr>
        <w:rPr>
          <w:color w:val="auto"/>
          <w:sz w:val="18"/>
          <w:szCs w:val="18"/>
        </w:rPr>
      </w:pPr>
    </w:p>
    <w:tbl>
      <w:tblPr>
        <w:tblStyle w:val="9"/>
        <w:tblW w:w="9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831"/>
        <w:gridCol w:w="7654"/>
        <w:gridCol w:w="657"/>
      </w:tblGrid>
      <w:tr w14:paraId="74A6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729" w:type="dxa"/>
            <w:vAlign w:val="center"/>
          </w:tcPr>
          <w:p w14:paraId="37D14969">
            <w:pPr>
              <w:spacing w:line="360" w:lineRule="exact"/>
              <w:jc w:val="center"/>
              <w:rPr>
                <w:rFonts w:ascii="宋体" w:hAnsi="宋体"/>
                <w:color w:val="auto"/>
                <w:szCs w:val="21"/>
              </w:rPr>
            </w:pPr>
            <w:r>
              <w:rPr>
                <w:rFonts w:hint="eastAsia" w:ascii="宋体" w:hAnsi="宋体"/>
                <w:color w:val="auto"/>
                <w:szCs w:val="21"/>
              </w:rPr>
              <w:t>项目号</w:t>
            </w:r>
          </w:p>
        </w:tc>
        <w:tc>
          <w:tcPr>
            <w:tcW w:w="831" w:type="dxa"/>
            <w:vAlign w:val="center"/>
          </w:tcPr>
          <w:p w14:paraId="5847275A">
            <w:pPr>
              <w:spacing w:line="360" w:lineRule="exact"/>
              <w:jc w:val="center"/>
              <w:rPr>
                <w:rFonts w:ascii="宋体" w:hAnsi="宋体"/>
                <w:color w:val="auto"/>
                <w:szCs w:val="21"/>
              </w:rPr>
            </w:pPr>
            <w:r>
              <w:rPr>
                <w:rFonts w:hint="eastAsia" w:ascii="宋体" w:hAnsi="宋体"/>
                <w:color w:val="auto"/>
                <w:szCs w:val="21"/>
              </w:rPr>
              <w:t>货物名称</w:t>
            </w:r>
          </w:p>
        </w:tc>
        <w:tc>
          <w:tcPr>
            <w:tcW w:w="7654" w:type="dxa"/>
            <w:vAlign w:val="center"/>
          </w:tcPr>
          <w:p w14:paraId="3C3900E9">
            <w:pPr>
              <w:spacing w:line="360" w:lineRule="exact"/>
              <w:ind w:firstLine="108"/>
              <w:jc w:val="center"/>
              <w:rPr>
                <w:rFonts w:ascii="宋体" w:hAnsi="宋体"/>
                <w:color w:val="auto"/>
                <w:szCs w:val="21"/>
              </w:rPr>
            </w:pPr>
            <w:r>
              <w:rPr>
                <w:rFonts w:hint="eastAsia" w:ascii="宋体" w:hAnsi="宋体"/>
                <w:color w:val="auto"/>
                <w:szCs w:val="21"/>
              </w:rPr>
              <w:t>技术参数及性能（配置）要求</w:t>
            </w:r>
          </w:p>
        </w:tc>
        <w:tc>
          <w:tcPr>
            <w:tcW w:w="657" w:type="dxa"/>
            <w:vAlign w:val="center"/>
          </w:tcPr>
          <w:p w14:paraId="55AFF60F">
            <w:pPr>
              <w:spacing w:line="360" w:lineRule="exact"/>
              <w:jc w:val="center"/>
              <w:rPr>
                <w:rFonts w:ascii="宋体" w:hAnsi="宋体"/>
                <w:color w:val="auto"/>
                <w:szCs w:val="21"/>
              </w:rPr>
            </w:pPr>
            <w:r>
              <w:rPr>
                <w:rFonts w:hint="eastAsia" w:ascii="宋体" w:hAnsi="宋体"/>
                <w:color w:val="auto"/>
                <w:szCs w:val="21"/>
              </w:rPr>
              <w:t>数量</w:t>
            </w:r>
          </w:p>
        </w:tc>
      </w:tr>
      <w:tr w14:paraId="1DDF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restart"/>
            <w:vAlign w:val="center"/>
          </w:tcPr>
          <w:p w14:paraId="73D7BE73">
            <w:pPr>
              <w:spacing w:line="360" w:lineRule="exact"/>
              <w:ind w:firstLine="108"/>
              <w:jc w:val="center"/>
              <w:rPr>
                <w:rFonts w:ascii="宋体" w:hAnsi="宋体"/>
                <w:color w:val="auto"/>
                <w:szCs w:val="21"/>
              </w:rPr>
            </w:pPr>
            <w:r>
              <w:rPr>
                <w:rFonts w:hint="eastAsia" w:ascii="宋体" w:hAnsi="宋体"/>
                <w:color w:val="auto"/>
                <w:szCs w:val="21"/>
              </w:rPr>
              <w:t>3</w:t>
            </w:r>
          </w:p>
        </w:tc>
        <w:tc>
          <w:tcPr>
            <w:tcW w:w="831" w:type="dxa"/>
            <w:vMerge w:val="restart"/>
            <w:vAlign w:val="center"/>
          </w:tcPr>
          <w:p w14:paraId="7F7A9A00">
            <w:pPr>
              <w:spacing w:line="360" w:lineRule="exact"/>
              <w:jc w:val="center"/>
              <w:rPr>
                <w:rFonts w:ascii="宋体" w:hAnsi="宋体"/>
                <w:color w:val="auto"/>
                <w:szCs w:val="21"/>
              </w:rPr>
            </w:pPr>
            <w:r>
              <w:rPr>
                <w:rFonts w:hint="eastAsia" w:cs="宋体" w:asciiTheme="majorEastAsia" w:hAnsiTheme="majorEastAsia" w:eastAsiaTheme="majorEastAsia"/>
                <w:color w:val="auto"/>
                <w:szCs w:val="21"/>
              </w:rPr>
              <w:t>检验信息管理系统（lis系统）</w:t>
            </w:r>
          </w:p>
        </w:tc>
        <w:tc>
          <w:tcPr>
            <w:tcW w:w="7654" w:type="dxa"/>
            <w:vAlign w:val="center"/>
          </w:tcPr>
          <w:p w14:paraId="0E5F64BC">
            <w:pPr>
              <w:spacing w:line="440" w:lineRule="exact"/>
              <w:outlineLvl w:val="0"/>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权限管理</w:t>
            </w:r>
          </w:p>
          <w:p w14:paraId="004EB34F">
            <w:p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人员管理</w:t>
            </w:r>
          </w:p>
          <w:p w14:paraId="02F5330D">
            <w:pPr>
              <w:numPr>
                <w:ilvl w:val="0"/>
                <w:numId w:val="8"/>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人员导入：通过HIS接口的方式完成人员信息导入。</w:t>
            </w:r>
          </w:p>
          <w:p w14:paraId="1D97D4AD">
            <w:pPr>
              <w:numPr>
                <w:ilvl w:val="0"/>
                <w:numId w:val="8"/>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人员所属小组：对于未分组的人员进行小组分配，指定人员所在的小组。</w:t>
            </w:r>
          </w:p>
          <w:p w14:paraId="3EB29A91">
            <w:pPr>
              <w:numPr>
                <w:ilvl w:val="0"/>
                <w:numId w:val="8"/>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人员登录小组：对人员能够登录的检验小组进行登录分配，完成多小组登录的设置方式。</w:t>
            </w:r>
          </w:p>
          <w:p w14:paraId="7B5F4790">
            <w:pPr>
              <w:numPr>
                <w:ilvl w:val="0"/>
                <w:numId w:val="8"/>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人员角色维护：对于一个人员可以分配多个角色的标识，完成角色分配的人员能够进行系统的操作。</w:t>
            </w:r>
          </w:p>
          <w:p w14:paraId="3EE5BD67">
            <w:p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权限设置</w:t>
            </w:r>
          </w:p>
          <w:p w14:paraId="0C76742E">
            <w:pPr>
              <w:numPr>
                <w:ilvl w:val="0"/>
                <w:numId w:val="9"/>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权限类别维护：对系统使用的权限进行初始化定义。</w:t>
            </w:r>
          </w:p>
          <w:p w14:paraId="0CE7C296">
            <w:pPr>
              <w:numPr>
                <w:ilvl w:val="0"/>
                <w:numId w:val="9"/>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角色定义：对系统使用的人员角色初始化定义。</w:t>
            </w:r>
          </w:p>
          <w:p w14:paraId="120C4387">
            <w:pPr>
              <w:numPr>
                <w:ilvl w:val="0"/>
                <w:numId w:val="9"/>
              </w:numPr>
              <w:spacing w:line="440" w:lineRule="exact"/>
              <w:outlineLvl w:val="0"/>
              <w:rPr>
                <w:rFonts w:asciiTheme="majorEastAsia" w:hAnsiTheme="majorEastAsia" w:eastAsiaTheme="majorEastAsia"/>
                <w:color w:val="auto"/>
                <w:szCs w:val="21"/>
              </w:rPr>
            </w:pPr>
            <w:r>
              <w:rPr>
                <w:rFonts w:asciiTheme="majorEastAsia" w:hAnsiTheme="majorEastAsia" w:eastAsiaTheme="majorEastAsia"/>
                <w:color w:val="auto"/>
                <w:szCs w:val="21"/>
              </w:rPr>
              <w:t>角色权限设置：建立角色和权限之间的对应关系，通过角色的权限设置，完成系统的权限基本设置操作。</w:t>
            </w:r>
          </w:p>
        </w:tc>
        <w:tc>
          <w:tcPr>
            <w:tcW w:w="657" w:type="dxa"/>
            <w:vMerge w:val="restart"/>
            <w:vAlign w:val="center"/>
          </w:tcPr>
          <w:p w14:paraId="49E600F2">
            <w:pPr>
              <w:adjustRightInd w:val="0"/>
              <w:snapToGrid w:val="0"/>
              <w:spacing w:line="360" w:lineRule="exact"/>
              <w:jc w:val="center"/>
              <w:rPr>
                <w:rFonts w:ascii="宋体" w:hAnsi="宋体"/>
                <w:color w:val="auto"/>
                <w:szCs w:val="21"/>
              </w:rPr>
            </w:pPr>
            <w:r>
              <w:rPr>
                <w:rFonts w:hint="eastAsia" w:ascii="宋体" w:hAnsi="宋体"/>
                <w:color w:val="auto"/>
                <w:szCs w:val="21"/>
              </w:rPr>
              <w:t>1套</w:t>
            </w:r>
          </w:p>
        </w:tc>
      </w:tr>
      <w:tr w14:paraId="0BC1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75B48B60">
            <w:pPr>
              <w:spacing w:line="360" w:lineRule="exact"/>
              <w:ind w:firstLine="108"/>
              <w:rPr>
                <w:rFonts w:ascii="宋体" w:hAnsi="宋体"/>
                <w:color w:val="auto"/>
                <w:szCs w:val="21"/>
              </w:rPr>
            </w:pPr>
          </w:p>
        </w:tc>
        <w:tc>
          <w:tcPr>
            <w:tcW w:w="831" w:type="dxa"/>
            <w:vMerge w:val="continue"/>
            <w:vAlign w:val="center"/>
          </w:tcPr>
          <w:p w14:paraId="3523C956">
            <w:pPr>
              <w:spacing w:line="360" w:lineRule="exact"/>
              <w:jc w:val="left"/>
              <w:rPr>
                <w:rFonts w:ascii="宋体" w:hAnsi="宋体"/>
                <w:color w:val="auto"/>
                <w:szCs w:val="21"/>
              </w:rPr>
            </w:pPr>
          </w:p>
        </w:tc>
        <w:tc>
          <w:tcPr>
            <w:tcW w:w="7654" w:type="dxa"/>
          </w:tcPr>
          <w:p w14:paraId="08AA14E9">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数据采集系统</w:t>
            </w:r>
          </w:p>
          <w:p w14:paraId="60496FA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串口数据接收功能</w:t>
            </w:r>
          </w:p>
          <w:p w14:paraId="0FBD386B">
            <w:pPr>
              <w:numPr>
                <w:ilvl w:val="0"/>
                <w:numId w:val="1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串口测试工具：串口工具负责对检验设备的原始数据采集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并可直接保存在本地指定路径中。</w:t>
            </w:r>
          </w:p>
          <w:p w14:paraId="33B9A6B6">
            <w:pPr>
              <w:numPr>
                <w:ilvl w:val="0"/>
                <w:numId w:val="1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多串口数据接收：一个串口监听程序可启动对多个串口的监听。</w:t>
            </w:r>
          </w:p>
          <w:p w14:paraId="1E241333">
            <w:pPr>
              <w:numPr>
                <w:ilvl w:val="0"/>
                <w:numId w:val="1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原始数据保存到数据库：原始数据保存到数据库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定期清空原始数据内容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可设置完成。</w:t>
            </w:r>
          </w:p>
          <w:p w14:paraId="6E9A9C67">
            <w:pPr>
              <w:numPr>
                <w:ilvl w:val="0"/>
                <w:numId w:val="1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原始数据保留到本地文件夹中：原始数据可以保存到本地数据库中</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可通过配置管理解决。</w:t>
            </w:r>
          </w:p>
          <w:p w14:paraId="79E6334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网络数据接收功能</w:t>
            </w:r>
          </w:p>
          <w:p w14:paraId="4830F86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TCP/IP数据采集：指定网络监听端口号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建立网络通信机制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完成数据采集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指令发送等功能。</w:t>
            </w:r>
          </w:p>
          <w:p w14:paraId="0A74E65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文件数据接收功能</w:t>
            </w:r>
          </w:p>
          <w:p w14:paraId="467153E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文件数据处理：根据程序确定的文件信息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路径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名称等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程序获得对应的检验结果信息。</w:t>
            </w:r>
          </w:p>
          <w:p w14:paraId="6970D4A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数据库文件接收</w:t>
            </w:r>
          </w:p>
          <w:p w14:paraId="4EE2A4C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获得数据库文件结果：可以连接不同的设备数据库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配置结果数据表信息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查询信息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获得数据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并将数据保存到数据库中。</w:t>
            </w:r>
          </w:p>
          <w:p w14:paraId="6B53D20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图像数据采集</w:t>
            </w:r>
          </w:p>
          <w:p w14:paraId="607D4101">
            <w:pPr>
              <w:numPr>
                <w:ilvl w:val="0"/>
                <w:numId w:val="1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二进制数据组成图像：原始数据为二进制格式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需要程序完成坐标</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标识等绘制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将绘制的内容形成文件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保存到数据库中。</w:t>
            </w:r>
          </w:p>
          <w:p w14:paraId="3154ECBD">
            <w:pPr>
              <w:numPr>
                <w:ilvl w:val="0"/>
                <w:numId w:val="1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文件式图像：数据转换后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直接保存文件到数据库中。</w:t>
            </w:r>
          </w:p>
          <w:p w14:paraId="0726F74F">
            <w:pPr>
              <w:numPr>
                <w:ilvl w:val="0"/>
                <w:numId w:val="1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函数式图像：血流变图像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通过函数连线</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形成文件后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存到数据库中。</w:t>
            </w:r>
          </w:p>
          <w:p w14:paraId="73E88D3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串口内容设置</w:t>
            </w:r>
          </w:p>
          <w:p w14:paraId="1032BCB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对串口基本信息进行配置：波特率</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数据位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校验位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停止位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串口端口号等设置。</w:t>
            </w:r>
          </w:p>
          <w:p w14:paraId="2BAABCD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网络监听设置</w:t>
            </w:r>
          </w:p>
          <w:p w14:paraId="68FD736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对网口基本信息进行配置：设置指定的IP</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端口号信息设置。</w:t>
            </w:r>
          </w:p>
          <w:p w14:paraId="1AEBCF6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文件数据接收配置</w:t>
            </w:r>
          </w:p>
          <w:p w14:paraId="6846506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系统配置：对文件的路径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文件名称进行定义。</w:t>
            </w:r>
          </w:p>
          <w:p w14:paraId="24827B8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w:t>
            </w:r>
            <w:r>
              <w:rPr>
                <w:rFonts w:asciiTheme="majorEastAsia" w:hAnsiTheme="majorEastAsia" w:eastAsiaTheme="majorEastAsia"/>
                <w:color w:val="auto"/>
                <w:szCs w:val="21"/>
              </w:rPr>
              <w:tab/>
            </w:r>
            <w:r>
              <w:rPr>
                <w:rFonts w:asciiTheme="majorEastAsia" w:hAnsiTheme="majorEastAsia" w:eastAsiaTheme="majorEastAsia"/>
                <w:color w:val="auto"/>
                <w:szCs w:val="21"/>
              </w:rPr>
              <w:t>数据库文件配置</w:t>
            </w:r>
          </w:p>
          <w:p w14:paraId="62F4AB5F">
            <w:pPr>
              <w:numPr>
                <w:ilvl w:val="0"/>
                <w:numId w:val="1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指定连接的数据库类型。</w:t>
            </w:r>
          </w:p>
          <w:p w14:paraId="21D061A7">
            <w:pPr>
              <w:numPr>
                <w:ilvl w:val="0"/>
                <w:numId w:val="1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定义需要查询的表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数据字段，为检验系统提供结果数据。</w:t>
            </w:r>
          </w:p>
          <w:p w14:paraId="4800B876">
            <w:pPr>
              <w:numPr>
                <w:ilvl w:val="0"/>
                <w:numId w:val="1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指定查询数据库的地址。</w:t>
            </w:r>
          </w:p>
          <w:p w14:paraId="545610E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10、质控信息设置</w:t>
            </w:r>
          </w:p>
          <w:p w14:paraId="67A28C87">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可对质控样本号、质控物标识进行配置，设置质控值数量，设置质控结果的处理机制。</w:t>
            </w:r>
          </w:p>
          <w:p w14:paraId="68EBCA7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11、程序更新</w:t>
            </w:r>
          </w:p>
          <w:p w14:paraId="712CE3F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更新程序访问log用户名，获得真实数据库信息，访问更新库，自动下传监听程序。</w:t>
            </w:r>
          </w:p>
          <w:p w14:paraId="5708B2B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12、报错系统</w:t>
            </w:r>
          </w:p>
          <w:p w14:paraId="63AFF30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提供错误编码集合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并可在系统中进行错误编码管理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错误信息维护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为操作者提供错误编码集合查询。</w:t>
            </w:r>
          </w:p>
          <w:p w14:paraId="2395BA4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13、复查指令系统</w:t>
            </w:r>
          </w:p>
          <w:p w14:paraId="6FA0C58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根据用户的需要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对复查项目进行管理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发送指令集合给检验设备。</w:t>
            </w:r>
          </w:p>
          <w:p w14:paraId="54493E2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14、项目自动稀释管理</w:t>
            </w:r>
          </w:p>
          <w:p w14:paraId="30D87D8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自动稀释：对于HCG</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肿瘤标志物项目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根据检验项目的检验特点和既往患者检验结果情况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对该项目进行自动稀释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完成测试操作。</w:t>
            </w:r>
          </w:p>
        </w:tc>
        <w:tc>
          <w:tcPr>
            <w:tcW w:w="657" w:type="dxa"/>
            <w:vMerge w:val="continue"/>
            <w:vAlign w:val="center"/>
          </w:tcPr>
          <w:p w14:paraId="2B9BD51F">
            <w:pPr>
              <w:adjustRightInd w:val="0"/>
              <w:snapToGrid w:val="0"/>
              <w:spacing w:line="360" w:lineRule="exact"/>
              <w:jc w:val="center"/>
              <w:rPr>
                <w:color w:val="auto"/>
                <w:szCs w:val="21"/>
              </w:rPr>
            </w:pPr>
          </w:p>
        </w:tc>
      </w:tr>
      <w:tr w14:paraId="7CE0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1EDA13B3">
            <w:pPr>
              <w:spacing w:line="360" w:lineRule="exact"/>
              <w:ind w:firstLine="108"/>
              <w:rPr>
                <w:rFonts w:ascii="宋体" w:hAnsi="宋体"/>
                <w:color w:val="auto"/>
                <w:szCs w:val="21"/>
              </w:rPr>
            </w:pPr>
          </w:p>
        </w:tc>
        <w:tc>
          <w:tcPr>
            <w:tcW w:w="831" w:type="dxa"/>
            <w:vMerge w:val="continue"/>
            <w:vAlign w:val="center"/>
          </w:tcPr>
          <w:p w14:paraId="0E2DCADB">
            <w:pPr>
              <w:spacing w:line="360" w:lineRule="exact"/>
              <w:jc w:val="left"/>
              <w:rPr>
                <w:rFonts w:ascii="宋体" w:hAnsi="宋体"/>
                <w:color w:val="auto"/>
                <w:szCs w:val="21"/>
              </w:rPr>
            </w:pPr>
          </w:p>
        </w:tc>
        <w:tc>
          <w:tcPr>
            <w:tcW w:w="7654" w:type="dxa"/>
          </w:tcPr>
          <w:p w14:paraId="4E70D457">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外部接口对接</w:t>
            </w:r>
          </w:p>
          <w:p w14:paraId="5860DF1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门诊条码打印</w:t>
            </w:r>
          </w:p>
          <w:p w14:paraId="78E02938">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患者医嘱信息获得：通过患者的唯一标识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门诊卡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病历本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银行卡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发票号等信息对HIS系统门诊收费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医嘱表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查询获得相关的医嘱信息。</w:t>
            </w:r>
          </w:p>
          <w:p w14:paraId="1D6F21EA">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医嘱信息打印：对医嘱信息处理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插入到指定的LIS医嘱表中。自行打印条码中可包含的信息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条码信息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患者姓名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患者编号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床号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采样要求</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试管颜色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采样时间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执行科室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项目名称组合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急诊标识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7F4949F3">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医嘱信息和条码对照：如果采用预贴条码形式。</w:t>
            </w:r>
          </w:p>
          <w:p w14:paraId="7C5D2E15">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首先确定试管条码所属类别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通过系统维护完成。患者扫描标识后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获得试管使用的数量和颜色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操作人员直接扫描试管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就可以直接让试管条码和医嘱的信息直接关联</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同时打印标签</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可以直接粘贴在试管上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标签供人员识别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条码供设备识别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7379B024">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医嘱信息分管：单独一管血维护界面，根据样本类型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容器类型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组合标识，项目性质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决定项目的合并和拆分，同时不同院区可以维护不同合管规则。</w:t>
            </w:r>
          </w:p>
          <w:p w14:paraId="449F104C">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患者回执单：对项目进行对照后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根据项目的维护情况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提示患者所进行的检验性质，获得报告的时间。</w:t>
            </w:r>
          </w:p>
          <w:p w14:paraId="4A6D52C8">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条码重复打印：对打印后的条码信息进行重新打印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提示补打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4FCD713D">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条码作废操作：对打印后的条码信息进行作废操作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凡是未进入到检验样本接收流程的样本信息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系统进行记录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然后采样人可以对医嘱进行重新打印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原条码作废。</w:t>
            </w:r>
          </w:p>
          <w:p w14:paraId="0FF78187">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人工组合打印：对于维护工作中存在问题的检验项目提供人工组合方式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帮助采血人对样本进行组合。并在条码标签中打印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的字样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表明是人工组合的。</w:t>
            </w:r>
          </w:p>
          <w:p w14:paraId="5BCD4579">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急诊条码打印提示：对于急诊和普通的项目通过颜色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或者标记进行分类，提示采血人及时采血。</w:t>
            </w:r>
          </w:p>
          <w:p w14:paraId="7F6FD715">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条码打印机设置功能：可以由超级用户配置打印机配置信息。</w:t>
            </w:r>
          </w:p>
          <w:p w14:paraId="558A0E03">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设置打印项目样本类型：对于没有开立样本类型的医嘱</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可以提示输入样本类型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24H尿量等信息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1A38BB1">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门诊条码打印系统查询统计：在送检人从采血人处获得检验样本时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提供分时间段查询方式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确定样本的数量和类型。</w:t>
            </w:r>
          </w:p>
          <w:p w14:paraId="37F520FE">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提供现场扫描确认样本功能：送检人获得样本时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可以直接在门诊条码打印系统上确认样本的到位情况。或者通过事先打印好的清单进行样本对照。</w:t>
            </w:r>
          </w:p>
          <w:p w14:paraId="48641D1E">
            <w:pPr>
              <w:numPr>
                <w:ilvl w:val="0"/>
                <w:numId w:val="1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患者医嘱获得：病房医嘱信息获得要求指定具体的护士站</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或者病区的全部带有检验医嘱的患者信息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并按照住院号分类。</w:t>
            </w:r>
          </w:p>
          <w:p w14:paraId="24933C8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病房条码打印</w:t>
            </w:r>
          </w:p>
          <w:p w14:paraId="32212A95">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医嘱信息分管：单独一管血维护界面，根据样本类型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容器类型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组合标识，项目性质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决定项目的合并和拆分，同时不同院区可以维护不同合管规则。</w:t>
            </w:r>
          </w:p>
          <w:p w14:paraId="3162705F">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条码重复打印：对打印后的条码信息进行重新打印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提示补打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50F20F7">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条码作废操作：对打印后的条码信息进行作废操作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凡是未进入到检验样本接收流程的样本信息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系统进行记录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然后采样人可以对医嘱进行重新打印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原条码作废。</w:t>
            </w:r>
          </w:p>
          <w:p w14:paraId="4B5B3134">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病区条码打印数量统计和明细清单：护士可以对本病区使用的试管情况进行统计，方便病区对试管消耗情况的统计，也可以统计采血护士的工作量。</w:t>
            </w:r>
          </w:p>
          <w:p w14:paraId="61C6FAD2">
            <w:pPr>
              <w:numPr>
                <w:ilvl w:val="0"/>
                <w:numId w:val="14"/>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清单：</w:t>
            </w:r>
            <w:r>
              <w:rPr>
                <w:rFonts w:asciiTheme="majorEastAsia" w:hAnsiTheme="majorEastAsia" w:eastAsiaTheme="majorEastAsia"/>
                <w:color w:val="auto"/>
                <w:szCs w:val="21"/>
              </w:rPr>
              <w:t>当送检人员对样本获得时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可以由护士提供打印的清单和对应的样本信息进行对照。</w:t>
            </w:r>
          </w:p>
          <w:p w14:paraId="5EE9118A">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体检患者医嘱获得：通过体检号获得医生开立的检验医嘱信息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形式同门诊方式。</w:t>
            </w:r>
          </w:p>
          <w:p w14:paraId="03AD64F2">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大批量体检条码模式：体检中</w:t>
            </w:r>
            <w:r>
              <w:rPr>
                <w:rFonts w:hint="eastAsia" w:asciiTheme="majorEastAsia" w:hAnsiTheme="majorEastAsia" w:eastAsiaTheme="majorEastAsia"/>
                <w:color w:val="auto"/>
                <w:szCs w:val="21"/>
              </w:rPr>
              <w:t>涉及</w:t>
            </w:r>
            <w:r>
              <w:rPr>
                <w:rFonts w:asciiTheme="majorEastAsia" w:hAnsiTheme="majorEastAsia" w:eastAsiaTheme="majorEastAsia"/>
                <w:color w:val="auto"/>
                <w:szCs w:val="21"/>
              </w:rPr>
              <w:t>大批量患者的条码处理时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需要增加一个单位信息的维护。通过体检接口获得</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列出对应的体检患者信息和要求的体检医嘱信息。条码打印或者条码对照。</w:t>
            </w:r>
          </w:p>
          <w:p w14:paraId="4A29B93F">
            <w:pPr>
              <w:numPr>
                <w:ilvl w:val="0"/>
                <w:numId w:val="1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条码打印内容：条码信息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患者姓名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患者编号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床号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采样要求</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试管颜色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采样时间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执行科室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项目名称组合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急诊标识。</w:t>
            </w:r>
          </w:p>
          <w:p w14:paraId="5DB27BC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体检系统条码打印</w:t>
            </w:r>
          </w:p>
          <w:p w14:paraId="070FE965">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预置条码对照：首先确定试管条码所属类别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通过系统维护完成。患者扫描标识后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获得试管使用的数量和颜色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操作人员直接扫描试管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就可以直接让试管条码和医嘱的信息直接关联</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同时打印标签</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可以直接粘贴在试管上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标签供人员识别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条码供设备识别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36698E2A">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医嘱信息分管：单独一管血维护界面，根据样本类型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容器类型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组合标识，项目性质，决定项目的合并和拆分，同时不同院区可以维护不同合管规则。</w:t>
            </w:r>
          </w:p>
          <w:p w14:paraId="0954B6D3">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条码重复打印：对打印后的条码信息进行重新打印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提示补打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D341024">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条码作废操作：对打印后的条码信息进行作废操作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凡是未进入到检验样本接收流程的样本信息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可以进行作废操作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系统进行记录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然后采样人可以对医嘱进行重新打印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原条码作废。</w:t>
            </w:r>
          </w:p>
          <w:p w14:paraId="66A1D23A">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接口配置定义多类型情况：系统可以接门诊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病房</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体检系统以外的其他系统信息。</w:t>
            </w:r>
          </w:p>
          <w:p w14:paraId="7C60C127">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采用LIS表配置方式：提供维护界面，可以获得门诊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住院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其他系统的患者基本信息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医嘱信息。</w:t>
            </w:r>
          </w:p>
          <w:p w14:paraId="1B6B4272">
            <w:pPr>
              <w:numPr>
                <w:ilvl w:val="0"/>
                <w:numId w:val="1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其他信息：科室信息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医生信息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护士信息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检验科信息，收费信息，检查项目信息等。</w:t>
            </w:r>
          </w:p>
          <w:p w14:paraId="0BF7A5A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其他系统外接接口方式</w:t>
            </w:r>
          </w:p>
          <w:p w14:paraId="3FDEC2AC">
            <w:pPr>
              <w:numPr>
                <w:ilvl w:val="0"/>
                <w:numId w:val="1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HIS、电子病历、体检、平台等等：在LIS上线期间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经常发生门诊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病房等系统不是同一个厂商的情况，需要LIS系统要同时外接多个系统，满足系统配置多接口。</w:t>
            </w:r>
          </w:p>
          <w:p w14:paraId="627EC9CA">
            <w:pPr>
              <w:numPr>
                <w:ilvl w:val="0"/>
                <w:numId w:val="1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多系统处理：LIS系统可以对门诊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住院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体检等多个系统的不同外部环境进行数据连接和接口设置。</w:t>
            </w:r>
          </w:p>
        </w:tc>
        <w:tc>
          <w:tcPr>
            <w:tcW w:w="657" w:type="dxa"/>
            <w:vMerge w:val="continue"/>
            <w:vAlign w:val="center"/>
          </w:tcPr>
          <w:p w14:paraId="15378710">
            <w:pPr>
              <w:adjustRightInd w:val="0"/>
              <w:snapToGrid w:val="0"/>
              <w:spacing w:line="360" w:lineRule="exact"/>
              <w:jc w:val="center"/>
              <w:rPr>
                <w:color w:val="auto"/>
                <w:szCs w:val="21"/>
              </w:rPr>
            </w:pPr>
          </w:p>
        </w:tc>
      </w:tr>
      <w:tr w14:paraId="400B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73EF097C">
            <w:pPr>
              <w:spacing w:line="360" w:lineRule="exact"/>
              <w:ind w:firstLine="108"/>
              <w:rPr>
                <w:rFonts w:ascii="宋体" w:hAnsi="宋体"/>
                <w:color w:val="auto"/>
                <w:szCs w:val="21"/>
              </w:rPr>
            </w:pPr>
          </w:p>
        </w:tc>
        <w:tc>
          <w:tcPr>
            <w:tcW w:w="831" w:type="dxa"/>
            <w:vMerge w:val="continue"/>
            <w:vAlign w:val="center"/>
          </w:tcPr>
          <w:p w14:paraId="1B12B6AF">
            <w:pPr>
              <w:spacing w:line="360" w:lineRule="exact"/>
              <w:jc w:val="left"/>
              <w:rPr>
                <w:rFonts w:ascii="宋体" w:hAnsi="宋体"/>
                <w:color w:val="auto"/>
                <w:szCs w:val="21"/>
              </w:rPr>
            </w:pPr>
          </w:p>
        </w:tc>
        <w:tc>
          <w:tcPr>
            <w:tcW w:w="7654" w:type="dxa"/>
          </w:tcPr>
          <w:p w14:paraId="2067DFE6">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基础信息维护</w:t>
            </w:r>
          </w:p>
          <w:p w14:paraId="4CCCA18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系统数据维护</w:t>
            </w:r>
          </w:p>
          <w:p w14:paraId="3152021C">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检查项目维护：检查项目维护。通过对外接口获得收费项目编码集合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并将项目相关信息对照到LIS系统中的具体设备中</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能够达到项目合并拆分的目的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EB50A33">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组合项目维护：检查项目与检验项目之间的组合对照关系维护。</w:t>
            </w:r>
          </w:p>
          <w:p w14:paraId="4618475C">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检验项目维护：检验项目基本信息维护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英文名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Lonic编码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中文名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参考值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单位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单价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质控标识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计算项目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临床诊断意义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危急项目标识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危急值定义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前次结果预警</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时限性等设置，灰区参考范围。</w:t>
            </w:r>
          </w:p>
          <w:p w14:paraId="0ECA159F">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常用短语维护：对应检验项目维护常用结果内容。</w:t>
            </w:r>
          </w:p>
          <w:p w14:paraId="6B9A1B41">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高级参考范围维护：对检验项目中的不同性质进行参考值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单位维护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完成对应的设置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60EE13F1">
            <w:pPr>
              <w:numPr>
                <w:ilvl w:val="0"/>
                <w:numId w:val="1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组套明细项目分解维护：对于大组套项目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明细组套项目维护定义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明细组套项目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如糖耐量项目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明细项目中含多个收费项目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。通过维护后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在采血模块中对该内容进行加载管理。</w:t>
            </w:r>
          </w:p>
          <w:p w14:paraId="0A731CA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基本数据维护</w:t>
            </w:r>
          </w:p>
          <w:p w14:paraId="52A79A20">
            <w:pPr>
              <w:numPr>
                <w:ilvl w:val="0"/>
                <w:numId w:val="1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检验科室维护：分院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医技科室管理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检验小组管理等。</w:t>
            </w:r>
          </w:p>
          <w:p w14:paraId="123E5340">
            <w:pPr>
              <w:numPr>
                <w:ilvl w:val="0"/>
                <w:numId w:val="1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人员信息导入：从HIS系统导入使用LIS系统的人员信息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并可分配小组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角色等。</w:t>
            </w:r>
          </w:p>
          <w:p w14:paraId="2C39C55F">
            <w:pPr>
              <w:numPr>
                <w:ilvl w:val="0"/>
                <w:numId w:val="1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检验仪器维护：检验设备编码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报告模板</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特殊项目采用特殊模板</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仪器类别等项目维护。</w:t>
            </w:r>
          </w:p>
          <w:p w14:paraId="164AE946">
            <w:pPr>
              <w:numPr>
                <w:ilvl w:val="0"/>
                <w:numId w:val="1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检验单排号维护：检验单排号模式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采用前缀+序号方式进行维护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可以采用自然流水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年月日等方式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。排号方式可以针对检验设备</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也可以对检查项目维护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如微生物中的检查项目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结核等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73641FD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数据字典维护</w:t>
            </w:r>
          </w:p>
          <w:p w14:paraId="422277B4">
            <w:pPr>
              <w:numPr>
                <w:ilvl w:val="0"/>
                <w:numId w:val="1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数据字典类别维护：数据字典类别包括样本类型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试管颜色，项目类别维护等。</w:t>
            </w:r>
          </w:p>
          <w:p w14:paraId="7003F98D">
            <w:pPr>
              <w:numPr>
                <w:ilvl w:val="0"/>
                <w:numId w:val="1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数据字典维护：设定数据字典的内容。</w:t>
            </w:r>
          </w:p>
          <w:p w14:paraId="06E514B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系统开关管理</w:t>
            </w:r>
          </w:p>
          <w:p w14:paraId="4D30F1E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开关管理：针对不同医院的情况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进行开关管理。</w:t>
            </w:r>
          </w:p>
          <w:p w14:paraId="0ABD9EE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回执单管理</w:t>
            </w:r>
          </w:p>
          <w:p w14:paraId="47B03D3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患者回执单处理：根据不同的检查项目性质。对获得检验报告的时间进行维护。</w:t>
            </w:r>
          </w:p>
          <w:p w14:paraId="6AC10CC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智能采血管理</w:t>
            </w:r>
          </w:p>
          <w:p w14:paraId="20C86E84">
            <w:pPr>
              <w:numPr>
                <w:ilvl w:val="0"/>
                <w:numId w:val="2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对通用项目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专用项目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特殊项目等维护：通用项目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多个设备能够完成的测试。</w:t>
            </w:r>
            <w:r>
              <w:rPr>
                <w:rFonts w:hint="eastAsia" w:asciiTheme="majorEastAsia" w:hAnsiTheme="majorEastAsia" w:eastAsiaTheme="majorEastAsia"/>
                <w:color w:val="auto"/>
                <w:szCs w:val="21"/>
              </w:rPr>
              <w:t>专用项目：</w:t>
            </w:r>
            <w:r>
              <w:rPr>
                <w:rFonts w:asciiTheme="majorEastAsia" w:hAnsiTheme="majorEastAsia" w:eastAsiaTheme="majorEastAsia"/>
                <w:color w:val="auto"/>
                <w:szCs w:val="21"/>
              </w:rPr>
              <w:t>只有一个设备能够完成的测试，特殊项目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每个项目都是一个试管。</w:t>
            </w:r>
          </w:p>
          <w:p w14:paraId="1940C605">
            <w:pPr>
              <w:numPr>
                <w:ilvl w:val="0"/>
                <w:numId w:val="2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分管规则维护：分管规则维护：根据标本类型、试管类型、执行科室、检测部门、LIS流水线控制机器代号五个条件因素决定是否合并采样容器与分管。</w:t>
            </w:r>
          </w:p>
          <w:p w14:paraId="42ACFECA">
            <w:pPr>
              <w:numPr>
                <w:ilvl w:val="0"/>
                <w:numId w:val="2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条码合并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拆分管理：根据分管规则生成条码，并实现容器条码合并、拆分。</w:t>
            </w:r>
          </w:p>
          <w:p w14:paraId="7B4AA625">
            <w:pPr>
              <w:numPr>
                <w:ilvl w:val="0"/>
                <w:numId w:val="2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两种模式条码管理：条码打印模式；预置条码对照模式。</w:t>
            </w:r>
          </w:p>
          <w:p w14:paraId="79D2F08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菜单管理</w:t>
            </w:r>
            <w:r>
              <w:rPr>
                <w:rFonts w:asciiTheme="majorEastAsia" w:hAnsiTheme="majorEastAsia" w:eastAsiaTheme="majorEastAsia"/>
                <w:color w:val="auto"/>
                <w:szCs w:val="21"/>
              </w:rPr>
              <w:tab/>
            </w:r>
          </w:p>
          <w:p w14:paraId="0627AC37">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菜单维护：针对不同的角色来配置能够查看的菜单。</w:t>
            </w:r>
          </w:p>
          <w:p w14:paraId="67190F9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接口管理</w:t>
            </w:r>
          </w:p>
          <w:p w14:paraId="7834DB2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HIS</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体检系统接口管理：通过SQL语句的配置来完成接口管理。</w:t>
            </w:r>
          </w:p>
          <w:p w14:paraId="7AA07F8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w:t>
            </w:r>
            <w:r>
              <w:rPr>
                <w:rFonts w:hint="eastAsia" w:asciiTheme="majorEastAsia" w:hAnsiTheme="majorEastAsia" w:eastAsiaTheme="majorEastAsia"/>
                <w:color w:val="auto"/>
                <w:szCs w:val="21"/>
              </w:rPr>
              <w:t>能实现接收多个社区或者分院区的检验标本，识别社区或者分院区标本条码，社区或者分院区能查阅电子报告单。</w:t>
            </w:r>
          </w:p>
        </w:tc>
        <w:tc>
          <w:tcPr>
            <w:tcW w:w="657" w:type="dxa"/>
            <w:vMerge w:val="continue"/>
            <w:vAlign w:val="center"/>
          </w:tcPr>
          <w:p w14:paraId="69D577AD">
            <w:pPr>
              <w:adjustRightInd w:val="0"/>
              <w:snapToGrid w:val="0"/>
              <w:spacing w:line="360" w:lineRule="exact"/>
              <w:jc w:val="center"/>
              <w:rPr>
                <w:color w:val="auto"/>
                <w:szCs w:val="21"/>
              </w:rPr>
            </w:pPr>
          </w:p>
        </w:tc>
      </w:tr>
      <w:tr w14:paraId="29E5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4F6FCB1A">
            <w:pPr>
              <w:spacing w:line="360" w:lineRule="exact"/>
              <w:ind w:firstLine="108"/>
              <w:rPr>
                <w:rFonts w:ascii="宋体" w:hAnsi="宋体"/>
                <w:color w:val="auto"/>
                <w:szCs w:val="21"/>
              </w:rPr>
            </w:pPr>
          </w:p>
        </w:tc>
        <w:tc>
          <w:tcPr>
            <w:tcW w:w="831" w:type="dxa"/>
            <w:vMerge w:val="continue"/>
            <w:vAlign w:val="center"/>
          </w:tcPr>
          <w:p w14:paraId="6B8AFBF1">
            <w:pPr>
              <w:spacing w:line="360" w:lineRule="exact"/>
              <w:jc w:val="left"/>
              <w:rPr>
                <w:rFonts w:ascii="宋体" w:hAnsi="宋体"/>
                <w:color w:val="auto"/>
                <w:szCs w:val="21"/>
              </w:rPr>
            </w:pPr>
          </w:p>
        </w:tc>
        <w:tc>
          <w:tcPr>
            <w:tcW w:w="7654" w:type="dxa"/>
          </w:tcPr>
          <w:p w14:paraId="4DC72E4B">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常规检验</w:t>
            </w:r>
          </w:p>
          <w:p w14:paraId="7C790D3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样本接收系统</w:t>
            </w:r>
          </w:p>
          <w:p w14:paraId="6E1421C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样本接收分拣操作：用户进入系统后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扫描条码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系统显示对应该条码的检验信息，并可以提示样本应该分配的小组信息。系统更新原数据表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处理接收的操作。</w:t>
            </w:r>
          </w:p>
          <w:p w14:paraId="3F0A5CE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样本核收系统</w:t>
            </w:r>
          </w:p>
          <w:p w14:paraId="6C6418F9">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住院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：核收样本为指定检验设备和日期的方式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并确定样本的上机号码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表示样本进入检验流程。</w:t>
            </w:r>
          </w:p>
          <w:p w14:paraId="2D8E2A60">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：门诊样本核收操作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可以在主界面中进行核收操作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减少界面切换的次数。</w:t>
            </w:r>
          </w:p>
          <w:p w14:paraId="261029C9">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：同门诊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住院操作模式。</w:t>
            </w:r>
          </w:p>
          <w:p w14:paraId="4DDEE04C">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核收样本时标签打印：微生物检验特殊性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每个微生物检验样本在核收的时候</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需要根据检验项目的性质确定打印实验室内标签，且可以重复打印标签的方式。</w:t>
            </w:r>
          </w:p>
          <w:p w14:paraId="16E2915E">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核收样本时标签打印：微生物检验特殊性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每个微生物检验样本在核收的时候</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需要根据检验项目的性质确定打印实验室内标签，且可以重复打印标签的方式。</w:t>
            </w:r>
          </w:p>
          <w:p w14:paraId="55FB0D50">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核收清单打印：样本接收核收后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可以对不同患者类型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检查项目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日期等选择进行清单打印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且可以根据情况选择显示的列和空行，可以打印的清单根据用户要求排序。</w:t>
            </w:r>
          </w:p>
          <w:p w14:paraId="4864F4AD">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核收样本超时提示：根据设定的项目的超时时限</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提示操作人样本是否已经超时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可以核对样本送达情况。</w:t>
            </w:r>
          </w:p>
          <w:p w14:paraId="74AF8D91">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不合格样本管理：在样本接收时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就可以获得样本的不合格情况，进入不合格样本界面时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可以将条码所附带的信息直接显示在不合格样本界面中</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并要求填写不合格样本的具体原因等信息，以保证后期统计数据的准确性，保存后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系统可以将信息发送给对应的病区。护士处理后会给检验科提醒，保证不合格样本的闭环管理。</w:t>
            </w:r>
          </w:p>
          <w:p w14:paraId="32110450">
            <w:pPr>
              <w:numPr>
                <w:ilvl w:val="0"/>
                <w:numId w:val="2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核收项目过滤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 xml:space="preserve"> 对于选择的某个设备</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可以将对应该设备的检验申请信息直接过滤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而不选择不属于本仪器的检验项目信息。</w:t>
            </w:r>
          </w:p>
          <w:p w14:paraId="1F32C78C">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检验样本后处理</w:t>
            </w:r>
          </w:p>
          <w:p w14:paraId="72F16DD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对检验后的样本进行登记：设置冰箱库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存放试管架号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按照顺序对样本进行逐个登记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并对特殊要求的样本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HIV等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进行提示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需要特殊管理。最后可以形成记录清单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导出打印等。对未完成检验流程的样本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提示有未完成的测试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避免操作人出现检验未完成的情况。</w:t>
            </w:r>
          </w:p>
          <w:p w14:paraId="509E29C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样本合并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批量处理</w:t>
            </w:r>
          </w:p>
          <w:p w14:paraId="2C2EF4B5">
            <w:pPr>
              <w:numPr>
                <w:ilvl w:val="0"/>
                <w:numId w:val="2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普通合并：使用系统定义的规则</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对不同仪器的检验样本信息和结果进行合并。</w:t>
            </w:r>
          </w:p>
          <w:p w14:paraId="1CF1377B">
            <w:pPr>
              <w:numPr>
                <w:ilvl w:val="0"/>
                <w:numId w:val="2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糖耐量合并：糖耐量手工合并方式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葡萄糖</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C肽</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胰岛素</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5A196CD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样本信息修改</w:t>
            </w:r>
          </w:p>
          <w:p w14:paraId="623C108E">
            <w:pPr>
              <w:numPr>
                <w:ilvl w:val="0"/>
                <w:numId w:val="2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样本信息修改：修改样本号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修改对应的仪器信息。</w:t>
            </w:r>
          </w:p>
          <w:p w14:paraId="58D866AF">
            <w:pPr>
              <w:numPr>
                <w:ilvl w:val="0"/>
                <w:numId w:val="2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样本信息复制：当出现手工录入体检单信息时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可考虑批量生成体检单信息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直接建立在指定的检验设备上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省去多次重复录入的操作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7BE88E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样本信息查看</w:t>
            </w:r>
          </w:p>
          <w:p w14:paraId="0A05864C">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翻页：翻页包括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最前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最后操作。</w:t>
            </w:r>
          </w:p>
          <w:p w14:paraId="0C90979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样本信息查看主索引</w:t>
            </w:r>
          </w:p>
          <w:p w14:paraId="2EB7A53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主索引：检验单查询中以三个条件作为主索引：仪器编码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 xml:space="preserve">日期。同时在主界面中增加一个条码号的显示信息 </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可以作为门诊条码录入的接口</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37CE17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样本信息列表</w:t>
            </w:r>
          </w:p>
          <w:p w14:paraId="012F3CD5">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样本信息列表中可以针对患者类型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样本状态来区分样本的信息</w:t>
            </w:r>
          </w:p>
          <w:p w14:paraId="517186FB">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列表信息中包含的内容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检验日期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姓名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床号等信息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可以采用自定义配置方式来决定显示的内容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282BA6DA">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不同颜色描述不同的样本信息状态。</w:t>
            </w:r>
          </w:p>
          <w:p w14:paraId="5AD05C95">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双击表格中的样本信息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可以得到样本生命周期内的时间节点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上机测试节点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操作人信息等。</w:t>
            </w:r>
          </w:p>
          <w:p w14:paraId="45483C59">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列表信息的显示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默认情况下为显示当日的信息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6BC71962">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微生物显示方式可以设定显示日期的范围。</w:t>
            </w:r>
          </w:p>
          <w:p w14:paraId="6E8F9E99">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显示列表中有自动排序功能。</w:t>
            </w:r>
          </w:p>
          <w:p w14:paraId="3B94345C">
            <w:pPr>
              <w:numPr>
                <w:ilvl w:val="0"/>
                <w:numId w:val="2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对于列表的显示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可以设置默认显示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还是隐藏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主界面中设置按钮决定是否显示。</w:t>
            </w:r>
          </w:p>
          <w:p w14:paraId="468DBB00">
            <w:pPr>
              <w:numPr>
                <w:ilvl w:val="0"/>
                <w:numId w:val="24"/>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显示已开医嘱检验科未接收标本信息。</w:t>
            </w:r>
          </w:p>
          <w:p w14:paraId="7C2B6E4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w:t>
            </w:r>
            <w:r>
              <w:rPr>
                <w:rFonts w:asciiTheme="majorEastAsia" w:hAnsiTheme="majorEastAsia" w:eastAsiaTheme="majorEastAsia"/>
                <w:color w:val="auto"/>
                <w:szCs w:val="21"/>
              </w:rPr>
              <w:tab/>
            </w:r>
            <w:r>
              <w:rPr>
                <w:rFonts w:asciiTheme="majorEastAsia" w:hAnsiTheme="majorEastAsia" w:eastAsiaTheme="majorEastAsia"/>
                <w:color w:val="auto"/>
                <w:szCs w:val="21"/>
              </w:rPr>
              <w:t>患者信息主界面</w:t>
            </w:r>
          </w:p>
          <w:p w14:paraId="705E687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患者信息：患者信息列表内容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急诊标识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可以获得患者信息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。患者姓名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自定义算法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日</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。床号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检查项目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样本部位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样本状态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开立科室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开立医生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采样时间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开立时间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诊断信息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备注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样本所在的状态。检验者</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联系电话。</w:t>
            </w:r>
          </w:p>
          <w:p w14:paraId="54DEFFC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10、检验单录入</w:t>
            </w:r>
          </w:p>
          <w:p w14:paraId="2727092D">
            <w:pPr>
              <w:numPr>
                <w:ilvl w:val="0"/>
                <w:numId w:val="2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基本信息的获得：通过手工录入患者编号方式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获得该患者基本信息。</w:t>
            </w:r>
          </w:p>
          <w:p w14:paraId="5329729A">
            <w:pPr>
              <w:numPr>
                <w:ilvl w:val="0"/>
                <w:numId w:val="2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医嘱信息：可以通过患者编号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指定的日期获得该患者未处理的医嘱信息。通过手工方式直接录入到检验单中。</w:t>
            </w:r>
          </w:p>
          <w:p w14:paraId="5203569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11、检验样本TAT监控</w:t>
            </w:r>
          </w:p>
          <w:p w14:paraId="11C0A5C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急诊样本超时管理：对于带有急诊标识的检验单从开立医嘱，条码打印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样本采集，送检，接收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核收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核准等信息进行TAT管理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在TAT时间维护完成后，可以实时在大屏幕提示超时标本信息。同时</w:t>
            </w:r>
            <w:r>
              <w:rPr>
                <w:rFonts w:hint="eastAsia" w:asciiTheme="majorEastAsia" w:hAnsiTheme="majorEastAsia" w:eastAsiaTheme="majorEastAsia"/>
                <w:color w:val="auto"/>
                <w:szCs w:val="21"/>
              </w:rPr>
              <w:t>实现</w:t>
            </w:r>
            <w:r>
              <w:rPr>
                <w:rFonts w:asciiTheme="majorEastAsia" w:hAnsiTheme="majorEastAsia" w:eastAsiaTheme="majorEastAsia"/>
                <w:color w:val="auto"/>
                <w:szCs w:val="21"/>
              </w:rPr>
              <w:t>报表统计超时信息提示操作人及时处理检验单信息。</w:t>
            </w:r>
          </w:p>
          <w:p w14:paraId="379902CC">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12、超时管理</w:t>
            </w:r>
          </w:p>
          <w:p w14:paraId="6EFBF3A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常规样本超时管理：管理模式同上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仅限制时间有差异。超时未送检、超时未接收、超时未核收、超时未审核。</w:t>
            </w:r>
          </w:p>
          <w:p w14:paraId="7231B58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13、样本号管理</w:t>
            </w:r>
          </w:p>
          <w:p w14:paraId="139DFEC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样本号维护：样本号模式采用系统维护方式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针对不同性质的检验情况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使用前缀和序列方式来管理样本号信息。一般管理模式采用与仪器对应的模式。</w:t>
            </w:r>
          </w:p>
          <w:p w14:paraId="40AB25E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14、检验单核准</w:t>
            </w:r>
          </w:p>
          <w:p w14:paraId="6FFC1A36">
            <w:pPr>
              <w:numPr>
                <w:ilvl w:val="0"/>
                <w:numId w:val="2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人工核准</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对检验单可以连续核准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核准操作时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要对结果表进行更新操作。</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核准前可以提示输入密码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开关管理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核准人和检验人限制是否是同一个人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开关管理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危急值出现时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弹出对话框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要求输入信息，发送危急值。</w:t>
            </w:r>
          </w:p>
          <w:p w14:paraId="58DB728E">
            <w:pPr>
              <w:numPr>
                <w:ilvl w:val="0"/>
                <w:numId w:val="2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分步核准：分步式报告审核：通过对特殊检验项目的自动分开核收操作，实现对一些特殊检验项目的单独审核，可缩短特殊项目TAT时间，为临床快速提供此类项目的检验报告服务。</w:t>
            </w:r>
          </w:p>
          <w:p w14:paraId="1A230121">
            <w:pPr>
              <w:numPr>
                <w:ilvl w:val="0"/>
                <w:numId w:val="2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取消核准：</w:t>
            </w:r>
          </w:p>
          <w:p w14:paraId="266FF49D">
            <w:pPr>
              <w:spacing w:line="440" w:lineRule="exact"/>
              <w:ind w:left="357" w:leftChars="170"/>
              <w:rPr>
                <w:rFonts w:asciiTheme="majorEastAsia" w:hAnsiTheme="majorEastAsia" w:eastAsiaTheme="majorEastAsia"/>
                <w:color w:val="auto"/>
                <w:szCs w:val="21"/>
              </w:rPr>
            </w:pPr>
            <w:r>
              <w:rPr>
                <w:rFonts w:asciiTheme="majorEastAsia" w:hAnsiTheme="majorEastAsia" w:eastAsiaTheme="majorEastAsia"/>
                <w:color w:val="auto"/>
                <w:szCs w:val="21"/>
              </w:rPr>
              <w:t>判断系统中的状态表是否允许取消核准（</w:t>
            </w:r>
            <w:r>
              <w:rPr>
                <w:rFonts w:hint="eastAsia" w:asciiTheme="majorEastAsia" w:hAnsiTheme="majorEastAsia" w:eastAsiaTheme="majorEastAsia"/>
                <w:color w:val="auto"/>
                <w:szCs w:val="21"/>
              </w:rPr>
              <w:t>涉及</w:t>
            </w:r>
            <w:r>
              <w:rPr>
                <w:rFonts w:asciiTheme="majorEastAsia" w:hAnsiTheme="majorEastAsia" w:eastAsiaTheme="majorEastAsia"/>
                <w:color w:val="auto"/>
                <w:szCs w:val="21"/>
              </w:rPr>
              <w:t>其他读取LIS数据的系统）。取消核准时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对取消操作和原始的结果信息进行保存</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方便以后核对。</w:t>
            </w:r>
          </w:p>
          <w:p w14:paraId="090303E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15、待查管理</w:t>
            </w:r>
          </w:p>
          <w:p w14:paraId="69A6022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待查设置：对于存在疑问的检验单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检验员可以进行待查设置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设置颜色</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可以设置本人取消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还是授权取消</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并对待查设置有数据库记录。</w:t>
            </w:r>
          </w:p>
          <w:p w14:paraId="205A3F1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16、检验单打印</w:t>
            </w:r>
          </w:p>
          <w:p w14:paraId="6A044029">
            <w:pPr>
              <w:numPr>
                <w:ilvl w:val="0"/>
                <w:numId w:val="27"/>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w:t>
            </w:r>
            <w:r>
              <w:rPr>
                <w:rFonts w:asciiTheme="majorEastAsia" w:hAnsiTheme="majorEastAsia" w:eastAsiaTheme="majorEastAsia"/>
                <w:color w:val="auto"/>
                <w:szCs w:val="21"/>
              </w:rPr>
              <w:t>界面显示检验单即时打印，并可以设置核准后直接打印的开关</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考虑设置个人设置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46134C7D">
            <w:pPr>
              <w:numPr>
                <w:ilvl w:val="0"/>
                <w:numId w:val="2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批量打印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可以对已经打印过的检验单设置是否重复打印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避免纸张浪费。</w:t>
            </w:r>
          </w:p>
          <w:p w14:paraId="7404883F">
            <w:pPr>
              <w:numPr>
                <w:ilvl w:val="0"/>
                <w:numId w:val="2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关于打印模式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不再设置打印机纸张格式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而是根据打印模板的高度来决定打印机走纸。</w:t>
            </w:r>
          </w:p>
          <w:p w14:paraId="33F61B83">
            <w:pPr>
              <w:numPr>
                <w:ilvl w:val="0"/>
                <w:numId w:val="2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自助打印时可以查到患者标本的不同状态，对于特殊标本（不合格标本、传染病隐私等）可以给患者不同提醒。</w:t>
            </w:r>
          </w:p>
          <w:p w14:paraId="2869C9E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17、检验结果显示区</w:t>
            </w:r>
          </w:p>
          <w:p w14:paraId="3CB58FE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检验结果显示内容：</w:t>
            </w:r>
          </w:p>
          <w:p w14:paraId="3936600D">
            <w:pPr>
              <w:numPr>
                <w:ilvl w:val="0"/>
                <w:numId w:val="2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必须显示的有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项目名称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项目结果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检验设备。</w:t>
            </w:r>
          </w:p>
          <w:p w14:paraId="4577CB9B">
            <w:pPr>
              <w:numPr>
                <w:ilvl w:val="0"/>
                <w:numId w:val="2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可选显示的有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参考范围</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单位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结果值高低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仪器结果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复查前结果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，前次结果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1,2,3次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历史图像结果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糖耐量图像等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，结果双列显示。</w:t>
            </w:r>
          </w:p>
          <w:p w14:paraId="10E73812">
            <w:pPr>
              <w:numPr>
                <w:ilvl w:val="0"/>
                <w:numId w:val="28"/>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可以筛选某个项目检测结果，同时具备导出结果功能。</w:t>
            </w:r>
          </w:p>
          <w:p w14:paraId="4CD5F3C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（4）实现检验结果界面集成跳到全景视图功能</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全景视图包含但不限于标本签收、标本入库、批量操作、报告查询等环节。</w:t>
            </w:r>
          </w:p>
          <w:p w14:paraId="1D787F0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18、危急值管理</w:t>
            </w:r>
          </w:p>
          <w:p w14:paraId="6F7E00F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危急值管理：当检验单中出现危急值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系统第一时间在患者信息列显示危急值标本，提示检验员及时处理危急值项目。如果有大屏幕，程序会第一时间将危急值结果显示在大屏幕上。同时系统要求操作人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确认结果无误后，及时发送危急值信息给临床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且临床确认答复后，给检验科提醒答复信息。若临床超过维护时限没有答复，要提醒检验科没有答复，需要检验科电话通知医生并完成电话记录。保证危急值闭环管理。或者以短信形式，在短信平台上给医生发短信。</w:t>
            </w:r>
          </w:p>
          <w:p w14:paraId="5715C39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19、检验项目添加</w:t>
            </w:r>
          </w:p>
          <w:p w14:paraId="32D956D0">
            <w:pPr>
              <w:numPr>
                <w:ilvl w:val="0"/>
                <w:numId w:val="2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 xml:space="preserve">检验组套项目添加：对指定的检验单样本号增加某个检查项目。 </w:t>
            </w:r>
          </w:p>
          <w:p w14:paraId="423C7AEC">
            <w:pPr>
              <w:numPr>
                <w:ilvl w:val="0"/>
                <w:numId w:val="2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检验明细项目添加：对指定的检验单样本号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批量增加某个检测项目到检验结果表中。</w:t>
            </w:r>
          </w:p>
          <w:p w14:paraId="116481E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20、检验结果批量管理</w:t>
            </w:r>
          </w:p>
          <w:p w14:paraId="036F1B3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结果修改：对检验结果根据实际情况进行加减乘除的操作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或者直接确定为某个结果的方式。</w:t>
            </w:r>
          </w:p>
          <w:p w14:paraId="3AFDF9A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21、项目参考值管理</w:t>
            </w:r>
          </w:p>
          <w:p w14:paraId="4AFC01E3">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参考值与性别、年龄管理：系统可以根据患者的性别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使用的样本对参考值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单位等信息进行自动管理。对关于性别</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样本与检验项目之间的逻辑性进行系统校验</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避免差错出现。</w:t>
            </w:r>
          </w:p>
          <w:p w14:paraId="32F7D48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22、图像显示</w:t>
            </w:r>
          </w:p>
          <w:p w14:paraId="7E54A4E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检验图像显示：对于血常规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尿常规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电泳</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血粘度等项目进行图像显示。图像的大小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显示的数量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顺序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可以自由设置。</w:t>
            </w:r>
          </w:p>
          <w:p w14:paraId="55AE32B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23、</w:t>
            </w:r>
            <w:r>
              <w:rPr>
                <w:rFonts w:asciiTheme="majorEastAsia" w:hAnsiTheme="majorEastAsia" w:eastAsiaTheme="majorEastAsia"/>
                <w:color w:val="auto"/>
                <w:szCs w:val="21"/>
              </w:rPr>
              <w:tab/>
            </w:r>
            <w:r>
              <w:rPr>
                <w:rFonts w:asciiTheme="majorEastAsia" w:hAnsiTheme="majorEastAsia" w:eastAsiaTheme="majorEastAsia"/>
                <w:color w:val="auto"/>
                <w:szCs w:val="21"/>
              </w:rPr>
              <w:t>复查/复检</w:t>
            </w:r>
          </w:p>
          <w:p w14:paraId="5BEAD0B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项目复查：检验员可以根据检验项目中的值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判断项目是否需要进行复查</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镜检等。在系统登记复查后，双向仪器支持自动双向复查，同时支持自动稀释复查。</w:t>
            </w:r>
          </w:p>
          <w:p w14:paraId="36876EB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24、检验报告单上需要有备注栏，备注栏可以输入150个字符。方便对特殊检测结果进行沟通提示。</w:t>
            </w:r>
          </w:p>
        </w:tc>
        <w:tc>
          <w:tcPr>
            <w:tcW w:w="657" w:type="dxa"/>
            <w:vMerge w:val="continue"/>
            <w:vAlign w:val="center"/>
          </w:tcPr>
          <w:p w14:paraId="7C1AD5CA">
            <w:pPr>
              <w:adjustRightInd w:val="0"/>
              <w:snapToGrid w:val="0"/>
              <w:spacing w:line="360" w:lineRule="exact"/>
              <w:jc w:val="center"/>
              <w:rPr>
                <w:color w:val="auto"/>
                <w:szCs w:val="21"/>
              </w:rPr>
            </w:pPr>
          </w:p>
        </w:tc>
      </w:tr>
      <w:tr w14:paraId="4E86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3505F95E">
            <w:pPr>
              <w:spacing w:line="360" w:lineRule="exact"/>
              <w:ind w:firstLine="108"/>
              <w:rPr>
                <w:rFonts w:ascii="宋体" w:hAnsi="宋体"/>
                <w:color w:val="auto"/>
                <w:szCs w:val="21"/>
              </w:rPr>
            </w:pPr>
          </w:p>
        </w:tc>
        <w:tc>
          <w:tcPr>
            <w:tcW w:w="831" w:type="dxa"/>
            <w:vMerge w:val="continue"/>
            <w:vAlign w:val="center"/>
          </w:tcPr>
          <w:p w14:paraId="474C777A">
            <w:pPr>
              <w:spacing w:line="360" w:lineRule="exact"/>
              <w:jc w:val="left"/>
              <w:rPr>
                <w:rFonts w:ascii="宋体" w:hAnsi="宋体"/>
                <w:color w:val="auto"/>
                <w:szCs w:val="21"/>
              </w:rPr>
            </w:pPr>
          </w:p>
        </w:tc>
        <w:tc>
          <w:tcPr>
            <w:tcW w:w="7654" w:type="dxa"/>
          </w:tcPr>
          <w:p w14:paraId="0BE5E2BE">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微生物检验</w:t>
            </w:r>
          </w:p>
          <w:p w14:paraId="108CCD2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微生物信息分类</w:t>
            </w:r>
          </w:p>
          <w:p w14:paraId="064EDCA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微生物分类：通过微生物分类操作，可以通过类别的选择来获得选择微生物和抗生素的组合信息，提高操作效率。</w:t>
            </w:r>
          </w:p>
          <w:p w14:paraId="1AFCA1B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微生物信息维护</w:t>
            </w:r>
          </w:p>
          <w:p w14:paraId="3FD6A23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微生物基本信息与标准编码信息对照，包含内容：微生物基本信息的维护；</w:t>
            </w:r>
          </w:p>
          <w:p w14:paraId="37E4A91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微生物性质特征信息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仪器编码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中文名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英文名</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项目编码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标准编码</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性状信息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透明度</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染色等</w:t>
            </w:r>
            <w:r>
              <w:rPr>
                <w:rFonts w:hint="eastAsia" w:asciiTheme="majorEastAsia" w:hAnsiTheme="majorEastAsia" w:eastAsiaTheme="majorEastAsia"/>
                <w:color w:val="auto"/>
                <w:szCs w:val="21"/>
              </w:rPr>
              <w:t>）</w:t>
            </w:r>
          </w:p>
          <w:p w14:paraId="1E98771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抗生素信息维护</w:t>
            </w:r>
          </w:p>
          <w:p w14:paraId="1A7AB50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抗生素基本信息与标准编码对照信息：通过标准编码的对照操作，可完成数据共享操作和WHONET数据导入功能</w:t>
            </w:r>
          </w:p>
          <w:p w14:paraId="7DB70AF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微生物抗生素信息对照</w:t>
            </w:r>
          </w:p>
          <w:p w14:paraId="622BD295">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微生物抗生素对照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对KB法中的微生物类别和使用的常见药信息进行药敏信息对照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定义RIS界限信息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；可以提供对与手工MIC法的对照方式.</w:t>
            </w:r>
          </w:p>
          <w:p w14:paraId="7CD85C8C">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微生物质控</w:t>
            </w:r>
          </w:p>
          <w:p w14:paraId="0DFEF27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药敏纸片质控：通过对标准的菌种的测试达到对药敏纸片的质量控制管理</w:t>
            </w:r>
          </w:p>
          <w:p w14:paraId="34DF444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样本接收和核收</w:t>
            </w:r>
          </w:p>
          <w:p w14:paraId="4135FAE6">
            <w:pPr>
              <w:numPr>
                <w:ilvl w:val="0"/>
                <w:numId w:val="3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 检验样本排号规则管理</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对检验样本接收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确定样本到达检验科</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可以进行收费操作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，核收操作时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可以根据项目内容进行特定排号规则</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定义如下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年月日+</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标识</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+序号方式，如100729U001标识2010年7月29日尿样本001号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实验室信息界面要求设计有室内流水编号，用头一个数字来区别尿液、大便、组织、血液、体液、分泌物、性病等标本。</w:t>
            </w:r>
          </w:p>
          <w:p w14:paraId="1407C2F6">
            <w:pPr>
              <w:numPr>
                <w:ilvl w:val="0"/>
                <w:numId w:val="3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核收样本时对科室内条码打印</w:t>
            </w:r>
          </w:p>
          <w:p w14:paraId="68165B8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同时根据检查项目特定，打印出对应这个样本条码号信息；</w:t>
            </w:r>
          </w:p>
          <w:p w14:paraId="05A3330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可以采用128C码的方式进行打印，LIS系统自行定义，打印的数量可以通过项目维护方式进行；</w:t>
            </w:r>
          </w:p>
          <w:p w14:paraId="11145752">
            <w:pPr>
              <w:numPr>
                <w:ilvl w:val="0"/>
                <w:numId w:val="3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标本检测条码是唯一的，在</w:t>
            </w:r>
            <w:r>
              <w:rPr>
                <w:rFonts w:hint="eastAsia" w:asciiTheme="majorEastAsia" w:hAnsiTheme="majorEastAsia" w:eastAsiaTheme="majorEastAsia"/>
                <w:color w:val="auto"/>
                <w:szCs w:val="21"/>
              </w:rPr>
              <w:t>实验室</w:t>
            </w:r>
            <w:r>
              <w:rPr>
                <w:rFonts w:asciiTheme="majorEastAsia" w:hAnsiTheme="majorEastAsia" w:eastAsiaTheme="majorEastAsia"/>
                <w:color w:val="auto"/>
                <w:szCs w:val="21"/>
              </w:rPr>
              <w:t>录入信息界面上要求设有条码打印次数，这样从细菌接种到分离培养、鉴定、药敏过程记录需要贴上条码；</w:t>
            </w:r>
          </w:p>
          <w:p w14:paraId="7B5F22C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患者信息列表显示</w:t>
            </w:r>
          </w:p>
          <w:p w14:paraId="553DBFB6">
            <w:pPr>
              <w:numPr>
                <w:ilvl w:val="0"/>
                <w:numId w:val="3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根据状态加载不同的患者信息列表：可以根据检验单状态，日期，检验项目类型（血培养），样本类型，患者编号，样本号，条码号等条件来过滤左侧患者信息列表，达到快速查询检验单的目的；</w:t>
            </w:r>
          </w:p>
          <w:p w14:paraId="0C5F3C14">
            <w:pPr>
              <w:numPr>
                <w:ilvl w:val="0"/>
                <w:numId w:val="3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补打室内码：在列表位置可以根据选择样本信息，来补打室内码，方便后续的工作流程。</w:t>
            </w:r>
          </w:p>
          <w:p w14:paraId="606F96F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微生物条码打印</w:t>
            </w:r>
          </w:p>
          <w:p w14:paraId="6353303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血培养瓶对照确认：关于样本采集时器皿与医嘱之间的对照关联</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如血培养瓶分为需氧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A</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和厌氧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F)</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瓶子本身是有条码的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那么检验科通过项目与器皿的条码的维护后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然后发放给科室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护士在采集血培养类项目时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需要先对照器皿与医嘱的对应关系</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确定无误后</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再进行条码的打印操作。</w:t>
            </w:r>
          </w:p>
          <w:p w14:paraId="723EA9E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9、样本培养</w:t>
            </w:r>
          </w:p>
          <w:p w14:paraId="6ADB379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对细菌培养过程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中间结果进行记录。</w:t>
            </w:r>
          </w:p>
          <w:p w14:paraId="4DA4027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10、三级报告管理</w:t>
            </w:r>
          </w:p>
          <w:p w14:paraId="5C22A12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血培养的管理：血培养结果自动24小时、48小时阴性报告，如果发现有阳性情况，则自动报告机制停止。</w:t>
            </w:r>
          </w:p>
          <w:p w14:paraId="159FBC5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11、血培养仪</w:t>
            </w:r>
          </w:p>
          <w:p w14:paraId="20B4C01E">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血培养仪连接：建立血培养连接工作方式，自动读取血培养仪的数据信息，并自动提示操作人员。</w:t>
            </w:r>
          </w:p>
          <w:p w14:paraId="351F9EC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12、细菌鉴定结果处理</w:t>
            </w:r>
          </w:p>
          <w:p w14:paraId="411E1CD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细菌鉴定结果处理：单独细菌鉴定结果报告发布。</w:t>
            </w:r>
          </w:p>
          <w:p w14:paraId="370A941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13、检验样本后处理</w:t>
            </w:r>
          </w:p>
          <w:p w14:paraId="3EF7AAC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对检验后的样本进行登记：设置冰箱库，存放试管架号，按照顺序对样本进行逐个登记，并对特殊要求的样本</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HIV等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进行提示，需要特殊管理，最后可以形成记录清单，导出打印等。对未完成检验流程的样本，提示有未完成的测试，避免操作人出现检验未完成的情况。</w:t>
            </w:r>
          </w:p>
          <w:p w14:paraId="1BE7D93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14、同样本连续出现</w:t>
            </w:r>
          </w:p>
          <w:p w14:paraId="7C4A92D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对于已经处理过的鉴定和药敏情况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采用后续样本按照第一次的处理方式进行发布</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此时可不做药敏操作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只要进行鉴定即可。</w:t>
            </w:r>
          </w:p>
          <w:p w14:paraId="74B08F5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15、药敏测试</w:t>
            </w:r>
          </w:p>
          <w:p w14:paraId="7365B533">
            <w:pPr>
              <w:numPr>
                <w:ilvl w:val="0"/>
                <w:numId w:val="3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对于KB法的操作和MIC操作的内容进行分类管理；</w:t>
            </w:r>
          </w:p>
          <w:p w14:paraId="13225DF6">
            <w:pPr>
              <w:numPr>
                <w:ilvl w:val="0"/>
                <w:numId w:val="3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结果报告可以KB法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MIC法并存.并可以根据算法计算。</w:t>
            </w:r>
          </w:p>
          <w:p w14:paraId="240E32A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16、多药敏结果报告发布</w:t>
            </w:r>
          </w:p>
          <w:p w14:paraId="3F39693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一个样本发现多个菌株后，可以进行多个样本的细菌鉴定和药敏报告。</w:t>
            </w:r>
          </w:p>
          <w:p w14:paraId="7495B15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17、报告单</w:t>
            </w:r>
            <w:r>
              <w:rPr>
                <w:rFonts w:hint="eastAsia" w:asciiTheme="majorEastAsia" w:hAnsiTheme="majorEastAsia" w:eastAsiaTheme="majorEastAsia"/>
                <w:color w:val="auto"/>
                <w:szCs w:val="21"/>
              </w:rPr>
              <w:t>多种</w:t>
            </w:r>
            <w:r>
              <w:rPr>
                <w:rFonts w:asciiTheme="majorEastAsia" w:hAnsiTheme="majorEastAsia" w:eastAsiaTheme="majorEastAsia"/>
                <w:color w:val="auto"/>
                <w:szCs w:val="21"/>
              </w:rPr>
              <w:t>结果并存</w:t>
            </w:r>
          </w:p>
          <w:p w14:paraId="71370654">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KB法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MIC法结果共存：通过检验设备，手工方法等方式对数据进行传输，录入达到多种结果报告的形式。</w:t>
            </w:r>
          </w:p>
          <w:p w14:paraId="3473094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18、检验样本状态管理</w:t>
            </w:r>
          </w:p>
          <w:p w14:paraId="76C5EA9E">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检验样本状态：对检验样本状态进行查看，了解检验单当前所在状态。</w:t>
            </w:r>
          </w:p>
          <w:p w14:paraId="0294705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19、接收记录管理</w:t>
            </w:r>
          </w:p>
          <w:p w14:paraId="67CD925C">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接收记录表：信息系统要求能生成当天标本接收记录表（条码号、流水号为检测项目辨认），打印出来第二天跟着流程走，包括细菌涂片、大便培养、血培养、尿培养、组织培养、分泌物培养、性病检测、氧化酶、触酶、血清凝集等检测记录用“√”形式设计。避免因检验时间长、检验方法复杂环节多、人员交班等原因造成的疏漏和差错。</w:t>
            </w:r>
          </w:p>
          <w:p w14:paraId="6D2FBA9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20、历史信息查看</w:t>
            </w:r>
          </w:p>
          <w:p w14:paraId="07CF3BA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历史结果：根据患者编码信息获得指定的细菌培养的历史记录</w:t>
            </w:r>
          </w:p>
          <w:p w14:paraId="124775E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21、空气培养院感系统</w:t>
            </w:r>
          </w:p>
          <w:p w14:paraId="78C9DDD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通过对院感系统的数据采集，可以发布院感报告。并提供院感系统的相关数据接口。</w:t>
            </w:r>
          </w:p>
          <w:p w14:paraId="1D1AD17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22、WHONET接口</w:t>
            </w:r>
          </w:p>
          <w:p w14:paraId="2C850019">
            <w:pPr>
              <w:numPr>
                <w:ilvl w:val="0"/>
                <w:numId w:val="3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通过对系统中的药敏结果信息（KB，MIC法）的内容完成接口数据导入；</w:t>
            </w:r>
          </w:p>
          <w:p w14:paraId="2CAA5565">
            <w:pPr>
              <w:numPr>
                <w:ilvl w:val="0"/>
                <w:numId w:val="3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通过对WHONET编码的对照，完成数据导入。</w:t>
            </w:r>
          </w:p>
        </w:tc>
        <w:tc>
          <w:tcPr>
            <w:tcW w:w="657" w:type="dxa"/>
            <w:vMerge w:val="continue"/>
            <w:vAlign w:val="center"/>
          </w:tcPr>
          <w:p w14:paraId="64A929C0">
            <w:pPr>
              <w:adjustRightInd w:val="0"/>
              <w:snapToGrid w:val="0"/>
              <w:spacing w:line="360" w:lineRule="exact"/>
              <w:jc w:val="center"/>
              <w:rPr>
                <w:color w:val="auto"/>
                <w:szCs w:val="21"/>
              </w:rPr>
            </w:pPr>
          </w:p>
        </w:tc>
      </w:tr>
      <w:tr w14:paraId="625C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18E157B4">
            <w:pPr>
              <w:spacing w:line="360" w:lineRule="exact"/>
              <w:ind w:firstLine="108"/>
              <w:rPr>
                <w:rFonts w:ascii="宋体" w:hAnsi="宋体"/>
                <w:color w:val="auto"/>
                <w:szCs w:val="21"/>
              </w:rPr>
            </w:pPr>
          </w:p>
        </w:tc>
        <w:tc>
          <w:tcPr>
            <w:tcW w:w="831" w:type="dxa"/>
            <w:vMerge w:val="continue"/>
            <w:vAlign w:val="center"/>
          </w:tcPr>
          <w:p w14:paraId="045D96AA">
            <w:pPr>
              <w:spacing w:line="360" w:lineRule="exact"/>
              <w:jc w:val="left"/>
              <w:rPr>
                <w:rFonts w:ascii="宋体" w:hAnsi="宋体"/>
                <w:color w:val="auto"/>
                <w:szCs w:val="21"/>
              </w:rPr>
            </w:pPr>
          </w:p>
        </w:tc>
        <w:tc>
          <w:tcPr>
            <w:tcW w:w="7654" w:type="dxa"/>
          </w:tcPr>
          <w:p w14:paraId="1A9DA003">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酶标检验</w:t>
            </w:r>
          </w:p>
          <w:p w14:paraId="09BEA35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酶标检验基本功能模块</w:t>
            </w:r>
          </w:p>
          <w:p w14:paraId="16222CA3">
            <w:pPr>
              <w:numPr>
                <w:ilvl w:val="0"/>
                <w:numId w:val="3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与酶标仪双向通信（仪器本身支持）：可软件控制测试方式、单双波长及滤光片切换、进板方式、抖动方式等。</w:t>
            </w:r>
          </w:p>
          <w:p w14:paraId="5CD3D40A">
            <w:pPr>
              <w:numPr>
                <w:ilvl w:val="0"/>
                <w:numId w:val="3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酶标检验结果处理：自动进板，自动计算结果（吸光度</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CutOff值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定性值、定量值），保存全部相关信息及原始结果，查看患者历史结果进行比对，各种特殊结果提醒</w:t>
            </w:r>
          </w:p>
          <w:p w14:paraId="79515344">
            <w:pPr>
              <w:numPr>
                <w:ilvl w:val="0"/>
                <w:numId w:val="3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酶标原始结果处理：随时查看原始板信息，并可以不同格式导出或打印原始板布局信息表。</w:t>
            </w:r>
          </w:p>
          <w:p w14:paraId="68A0078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酶标板布局</w:t>
            </w:r>
          </w:p>
          <w:p w14:paraId="0206DA9D">
            <w:pPr>
              <w:numPr>
                <w:ilvl w:val="0"/>
                <w:numId w:val="3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批量排号布局：可区域选择、单点选择、横排、竖排、混排、自动样本号、多阴阳性对照点、多质控点等。</w:t>
            </w:r>
          </w:p>
          <w:p w14:paraId="7365EB2D">
            <w:pPr>
              <w:numPr>
                <w:ilvl w:val="0"/>
                <w:numId w:val="3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单板多项目：在一张12X8板内，可放置多项目，任意位置，自动计算各项目结果。</w:t>
            </w:r>
          </w:p>
          <w:p w14:paraId="4CB660DF">
            <w:pPr>
              <w:numPr>
                <w:ilvl w:val="0"/>
                <w:numId w:val="3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布局模式保存：随时可以保存或调用布局，方便快捷</w:t>
            </w:r>
            <w:r>
              <w:rPr>
                <w:rFonts w:hint="eastAsia" w:asciiTheme="majorEastAsia" w:hAnsiTheme="majorEastAsia" w:eastAsiaTheme="majorEastAsia"/>
                <w:color w:val="auto"/>
                <w:szCs w:val="21"/>
              </w:rPr>
              <w:t>排版</w:t>
            </w:r>
            <w:r>
              <w:rPr>
                <w:rFonts w:asciiTheme="majorEastAsia" w:hAnsiTheme="majorEastAsia" w:eastAsiaTheme="majorEastAsia"/>
                <w:color w:val="auto"/>
                <w:szCs w:val="21"/>
              </w:rPr>
              <w:t>。</w:t>
            </w:r>
          </w:p>
          <w:p w14:paraId="397899A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酶标参数维护</w:t>
            </w:r>
          </w:p>
          <w:p w14:paraId="2F772506">
            <w:pPr>
              <w:numPr>
                <w:ilvl w:val="0"/>
                <w:numId w:val="3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试剂与项目对照：维护各厂家试剂与测试项目的关系，当前在用试剂调整。</w:t>
            </w:r>
          </w:p>
          <w:p w14:paraId="19B9D0A7">
            <w:pPr>
              <w:numPr>
                <w:ilvl w:val="0"/>
                <w:numId w:val="3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定性计算公式：维护CutOff公式、阴性对照公式、阳性对照公式、弱阳性对照公式、阴性对照最小值、阴性对照最大值、阳性对照最小值、阳性对照最大值等。</w:t>
            </w:r>
          </w:p>
        </w:tc>
        <w:tc>
          <w:tcPr>
            <w:tcW w:w="657" w:type="dxa"/>
            <w:vMerge w:val="continue"/>
            <w:vAlign w:val="center"/>
          </w:tcPr>
          <w:p w14:paraId="25E7B0D8">
            <w:pPr>
              <w:adjustRightInd w:val="0"/>
              <w:snapToGrid w:val="0"/>
              <w:spacing w:line="360" w:lineRule="exact"/>
              <w:jc w:val="center"/>
              <w:rPr>
                <w:color w:val="auto"/>
                <w:szCs w:val="21"/>
              </w:rPr>
            </w:pPr>
          </w:p>
        </w:tc>
      </w:tr>
      <w:tr w14:paraId="23CBA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7A3D3AAD">
            <w:pPr>
              <w:spacing w:line="360" w:lineRule="exact"/>
              <w:ind w:firstLine="108"/>
              <w:rPr>
                <w:rFonts w:ascii="宋体" w:hAnsi="宋体"/>
                <w:color w:val="auto"/>
                <w:szCs w:val="21"/>
              </w:rPr>
            </w:pPr>
          </w:p>
        </w:tc>
        <w:tc>
          <w:tcPr>
            <w:tcW w:w="831" w:type="dxa"/>
            <w:vMerge w:val="continue"/>
            <w:vAlign w:val="center"/>
          </w:tcPr>
          <w:p w14:paraId="75E36FBC">
            <w:pPr>
              <w:spacing w:line="360" w:lineRule="exact"/>
              <w:jc w:val="left"/>
              <w:rPr>
                <w:rFonts w:ascii="宋体" w:hAnsi="宋体"/>
                <w:color w:val="auto"/>
                <w:szCs w:val="21"/>
              </w:rPr>
            </w:pPr>
          </w:p>
        </w:tc>
        <w:tc>
          <w:tcPr>
            <w:tcW w:w="7654" w:type="dxa"/>
          </w:tcPr>
          <w:p w14:paraId="18BD5A70">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质控管理</w:t>
            </w:r>
          </w:p>
          <w:p w14:paraId="616BC06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质控物基本信息</w:t>
            </w:r>
          </w:p>
          <w:p w14:paraId="5A40E8E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以检验小组和检验设备方式对有关的质控物信息进行维护：以检验设备编码为主线</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对质控物有关基本信息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有效时间段信息</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批次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是否为过渡信息等进行基本维护操作。</w:t>
            </w:r>
          </w:p>
          <w:p w14:paraId="3120AF9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质控项目信息维护</w:t>
            </w:r>
          </w:p>
          <w:p w14:paraId="6C322CBE">
            <w:pPr>
              <w:numPr>
                <w:ilvl w:val="0"/>
                <w:numId w:val="3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质控项目靶值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标准差：可以根据厂家提供的说明书</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确定靶值标准差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变异系统等信息确定</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根据质控基本信息内容确定相应的批号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批次信息。</w:t>
            </w:r>
          </w:p>
          <w:p w14:paraId="7151CD96">
            <w:pPr>
              <w:numPr>
                <w:ilvl w:val="0"/>
                <w:numId w:val="3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过渡期靶值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标准差计算：在过渡期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可以实现对测试数据的靶值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标准差变异系数等信息的计算。</w:t>
            </w:r>
          </w:p>
          <w:p w14:paraId="2F96D5B3">
            <w:pPr>
              <w:numPr>
                <w:ilvl w:val="0"/>
                <w:numId w:val="3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定性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半定量数据的定量对照：根据不同的项目情况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完成定性</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半定量数据的定量数据转换维护。可以为质控图画法提供数据基础。</w:t>
            </w:r>
          </w:p>
          <w:p w14:paraId="2323F09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质控规则确定</w:t>
            </w:r>
          </w:p>
          <w:p w14:paraId="66219A7A">
            <w:pPr>
              <w:numPr>
                <w:ilvl w:val="0"/>
                <w:numId w:val="3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质控规则确定：对项目需要确定的质控规则方式进行对照处理。</w:t>
            </w:r>
          </w:p>
          <w:p w14:paraId="7C0581FC">
            <w:pPr>
              <w:numPr>
                <w:ilvl w:val="0"/>
                <w:numId w:val="3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质控规则确定时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可以通过图像方式对所描述的质控规则进行描述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说明与质控规则有关的情况信息。</w:t>
            </w:r>
          </w:p>
          <w:p w14:paraId="42F41A1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质控数据</w:t>
            </w:r>
          </w:p>
          <w:p w14:paraId="42880C0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对质控数据显示：检验项目质控数据显示包括以下内容：</w:t>
            </w:r>
          </w:p>
          <w:p w14:paraId="398E199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1）按项目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指定时间范围内的所有水平的质控数据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过程数据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无效数据的显示。不同状态的显示。</w:t>
            </w:r>
          </w:p>
          <w:p w14:paraId="405953E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2）按日期对设备下所有质控项目的所有水平的质控数据进行显示。</w:t>
            </w:r>
          </w:p>
          <w:p w14:paraId="489CA5D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3）可以在数据显示的情况下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对质控数据进行编辑</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增加</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删除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转换等操作。</w:t>
            </w:r>
          </w:p>
          <w:p w14:paraId="382E918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单日项目失控数据管理</w:t>
            </w:r>
          </w:p>
          <w:p w14:paraId="16BE8D3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可通过数据表格加载单日项目质控数据的失控情况，并给出违反的规则信息，帮助用户快速确定每日的质控情况。</w:t>
            </w:r>
          </w:p>
          <w:p w14:paraId="385FD4D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质控数据转换</w:t>
            </w:r>
          </w:p>
          <w:p w14:paraId="1A5C06B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按照普通样本方式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根据要求对相关的数据进行转换操作</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指定水平</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批次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性质</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过程点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有效点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质控形式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1,2,3,4,5次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质控类型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每日一点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每日多点形式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23E47C0F">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质控数据审核</w:t>
            </w:r>
          </w:p>
          <w:p w14:paraId="1E7AE66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操作人对质控数据进行审核</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未经审核的质控数据不能进行打印。审核后的数据不可直接编辑</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修改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需要取消审核</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并对操作内容进行相应的记录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4E8D22D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质控数据月度汇总与比较</w:t>
            </w:r>
          </w:p>
          <w:p w14:paraId="687CF4D3">
            <w:pPr>
              <w:numPr>
                <w:ilvl w:val="0"/>
                <w:numId w:val="3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对指定时间段的项目数据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可按日期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按次数方式进行对所有质控项目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数据等进行查询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导出</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打印等操作。</w:t>
            </w:r>
          </w:p>
          <w:p w14:paraId="33BEB433">
            <w:pPr>
              <w:numPr>
                <w:ilvl w:val="0"/>
                <w:numId w:val="3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以月份方式对质控数据进行汇总计算</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完成不同月份质控项目的</w:t>
            </w:r>
            <w:r>
              <w:rPr>
                <w:rFonts w:hint="eastAsia" w:asciiTheme="majorEastAsia" w:hAnsiTheme="majorEastAsia" w:eastAsiaTheme="majorEastAsia"/>
                <w:color w:val="auto"/>
                <w:szCs w:val="21"/>
              </w:rPr>
              <w:t>数据</w:t>
            </w:r>
            <w:r>
              <w:rPr>
                <w:rFonts w:asciiTheme="majorEastAsia" w:hAnsiTheme="majorEastAsia" w:eastAsiaTheme="majorEastAsia"/>
                <w:color w:val="auto"/>
                <w:szCs w:val="21"/>
              </w:rPr>
              <w:t>比较操作。</w:t>
            </w:r>
          </w:p>
        </w:tc>
        <w:tc>
          <w:tcPr>
            <w:tcW w:w="657" w:type="dxa"/>
            <w:vMerge w:val="continue"/>
            <w:vAlign w:val="center"/>
          </w:tcPr>
          <w:p w14:paraId="159735F6">
            <w:pPr>
              <w:adjustRightInd w:val="0"/>
              <w:snapToGrid w:val="0"/>
              <w:spacing w:line="360" w:lineRule="exact"/>
              <w:jc w:val="center"/>
              <w:rPr>
                <w:color w:val="auto"/>
                <w:szCs w:val="21"/>
              </w:rPr>
            </w:pPr>
          </w:p>
        </w:tc>
      </w:tr>
      <w:tr w14:paraId="34E4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4DB83248">
            <w:pPr>
              <w:spacing w:line="360" w:lineRule="exact"/>
              <w:ind w:firstLine="108"/>
              <w:rPr>
                <w:rFonts w:ascii="宋体" w:hAnsi="宋体"/>
                <w:color w:val="auto"/>
                <w:szCs w:val="21"/>
              </w:rPr>
            </w:pPr>
          </w:p>
        </w:tc>
        <w:tc>
          <w:tcPr>
            <w:tcW w:w="831" w:type="dxa"/>
            <w:vMerge w:val="continue"/>
            <w:vAlign w:val="center"/>
          </w:tcPr>
          <w:p w14:paraId="658404E0">
            <w:pPr>
              <w:spacing w:line="360" w:lineRule="exact"/>
              <w:jc w:val="left"/>
              <w:rPr>
                <w:rFonts w:ascii="宋体" w:hAnsi="宋体"/>
                <w:color w:val="auto"/>
                <w:szCs w:val="21"/>
              </w:rPr>
            </w:pPr>
          </w:p>
        </w:tc>
        <w:tc>
          <w:tcPr>
            <w:tcW w:w="7654" w:type="dxa"/>
          </w:tcPr>
          <w:p w14:paraId="2970C28D">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试剂管理</w:t>
            </w:r>
          </w:p>
          <w:p w14:paraId="2EDD8E0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试剂厂家管理</w:t>
            </w:r>
          </w:p>
          <w:p w14:paraId="47742A3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试剂厂家信息维护：对试剂厂家的基本信息，资质等信息进行维护。</w:t>
            </w:r>
          </w:p>
          <w:p w14:paraId="5D1F9DA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试剂信息管理</w:t>
            </w:r>
          </w:p>
          <w:p w14:paraId="47753399">
            <w:pPr>
              <w:numPr>
                <w:ilvl w:val="0"/>
                <w:numId w:val="4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试剂基本信息维护：对试剂厂家供应的试剂基本信息，单位等进行维护操作。</w:t>
            </w:r>
          </w:p>
          <w:p w14:paraId="5534E667">
            <w:pPr>
              <w:numPr>
                <w:ilvl w:val="0"/>
                <w:numId w:val="4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确定试剂的最低库存，积压库存，有效期预警时间。</w:t>
            </w:r>
          </w:p>
          <w:p w14:paraId="09CC44B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试剂与项目对照</w:t>
            </w:r>
          </w:p>
          <w:p w14:paraId="6E39227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试剂项目对照：试剂与测试项目之间建立对照关系，确定每个项目测试后消耗的试剂单位数。</w:t>
            </w:r>
          </w:p>
          <w:p w14:paraId="12E2865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试剂出入库管理</w:t>
            </w:r>
          </w:p>
          <w:p w14:paraId="26531BC8">
            <w:pPr>
              <w:numPr>
                <w:ilvl w:val="0"/>
                <w:numId w:val="4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试剂入库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根据供货单，对试剂信息进行选择，确定入库数量，数据金额。完成入库动作，入库操作时需要确定试剂效期时间（若院内无物资系统，LIS系统可自行打出条码）。</w:t>
            </w:r>
          </w:p>
          <w:p w14:paraId="03790FD4">
            <w:pPr>
              <w:numPr>
                <w:ilvl w:val="0"/>
                <w:numId w:val="4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试剂出库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试剂出库时，需要对效期较前的提示先出库。可以对效期，或者库存数量进行排序管理，选择需要出库的项目和数量，完成出库操作。</w:t>
            </w:r>
            <w:r>
              <w:rPr>
                <w:rFonts w:hint="eastAsia" w:asciiTheme="majorEastAsia" w:hAnsiTheme="majorEastAsia" w:eastAsiaTheme="majorEastAsia"/>
                <w:color w:val="auto"/>
                <w:szCs w:val="21"/>
              </w:rPr>
              <w:t>可以完成正常出库，也可以进行破损出库操作。</w:t>
            </w:r>
          </w:p>
          <w:p w14:paraId="3FE13DE8">
            <w:pPr>
              <w:numPr>
                <w:ilvl w:val="0"/>
                <w:numId w:val="4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试剂条码出库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对每个出库试剂进行条码管理，确定每个试剂的出库时间，确定试剂启用时间和耗尽时间，操作人等信息，完成试剂的精细化管理。</w:t>
            </w:r>
          </w:p>
          <w:p w14:paraId="3A49F247">
            <w:pPr>
              <w:numPr>
                <w:ilvl w:val="0"/>
                <w:numId w:val="4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试剂购买申请单</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根据科室试剂消耗量，购买周期等完成试剂自动申请单生成，允许用户对申请的数量，厂家，型号等进行修改，最后保存为试剂申请单。作为试剂采购的比较依据。</w:t>
            </w:r>
          </w:p>
          <w:p w14:paraId="7A40F671">
            <w:pPr>
              <w:numPr>
                <w:ilvl w:val="0"/>
                <w:numId w:val="4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试剂出库退库</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如果出现出库操作错误，可以通过出库退库方式，完成退库操作，再进行</w:t>
            </w:r>
            <w:r>
              <w:rPr>
                <w:rFonts w:hint="eastAsia" w:asciiTheme="majorEastAsia" w:hAnsiTheme="majorEastAsia" w:eastAsiaTheme="majorEastAsia"/>
                <w:color w:val="auto"/>
                <w:szCs w:val="21"/>
              </w:rPr>
              <w:t>重新地</w:t>
            </w:r>
            <w:r>
              <w:rPr>
                <w:rFonts w:asciiTheme="majorEastAsia" w:hAnsiTheme="majorEastAsia" w:eastAsiaTheme="majorEastAsia"/>
                <w:color w:val="auto"/>
                <w:szCs w:val="21"/>
              </w:rPr>
              <w:t>出库操作。</w:t>
            </w:r>
          </w:p>
          <w:p w14:paraId="1301BD8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试剂库存管理</w:t>
            </w:r>
          </w:p>
          <w:p w14:paraId="5386107E">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库存查询：对当前试剂分组，分项目，分批次，分厂家等方式进行库存的查询操作，并可以提示，库存预警（不足，积压），效期预警（过期，将过期）。</w:t>
            </w:r>
          </w:p>
          <w:p w14:paraId="0C21930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盘点管理</w:t>
            </w:r>
          </w:p>
          <w:p w14:paraId="105A7F0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通过对当前库存的查询和实物核对，对上月结余，</w:t>
            </w:r>
            <w:r>
              <w:rPr>
                <w:rFonts w:hint="eastAsia" w:asciiTheme="majorEastAsia" w:hAnsiTheme="majorEastAsia" w:eastAsiaTheme="majorEastAsia"/>
                <w:color w:val="auto"/>
                <w:szCs w:val="21"/>
              </w:rPr>
              <w:t>本月</w:t>
            </w:r>
            <w:r>
              <w:rPr>
                <w:rFonts w:asciiTheme="majorEastAsia" w:hAnsiTheme="majorEastAsia" w:eastAsiaTheme="majorEastAsia"/>
                <w:color w:val="auto"/>
                <w:szCs w:val="21"/>
              </w:rPr>
              <w:t>库存进行判断，完成本月的盘点操作。</w:t>
            </w:r>
          </w:p>
          <w:p w14:paraId="5A3DAE5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有效期管理</w:t>
            </w:r>
          </w:p>
          <w:p w14:paraId="43AC5AF7">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对当前库存中的试剂信息进行查询，完成有效期预警提示操作。</w:t>
            </w:r>
          </w:p>
          <w:p w14:paraId="7C1045D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库存报警管理</w:t>
            </w:r>
          </w:p>
          <w:p w14:paraId="128CD9C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库存报警</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对当前库存进行查询，完成不足和积压项目的报警提示。</w:t>
            </w:r>
          </w:p>
          <w:p w14:paraId="443DC8D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w:t>
            </w:r>
            <w:r>
              <w:rPr>
                <w:rFonts w:asciiTheme="majorEastAsia" w:hAnsiTheme="majorEastAsia" w:eastAsiaTheme="majorEastAsia"/>
                <w:color w:val="auto"/>
                <w:szCs w:val="21"/>
              </w:rPr>
              <w:tab/>
            </w:r>
            <w:r>
              <w:rPr>
                <w:rFonts w:asciiTheme="majorEastAsia" w:hAnsiTheme="majorEastAsia" w:eastAsiaTheme="majorEastAsia"/>
                <w:color w:val="auto"/>
                <w:szCs w:val="21"/>
              </w:rPr>
              <w:t>试剂信息统计报表</w:t>
            </w:r>
          </w:p>
          <w:p w14:paraId="67432ED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试剂入库查询。试剂出库查询。试剂库存查询。试剂盘点查询。试剂厂家供货数量，供货时间周期，采购金额进行查询。试剂总表查询。按项目对试剂的日消耗量统计。</w:t>
            </w:r>
          </w:p>
        </w:tc>
        <w:tc>
          <w:tcPr>
            <w:tcW w:w="657" w:type="dxa"/>
            <w:vMerge w:val="continue"/>
            <w:vAlign w:val="center"/>
          </w:tcPr>
          <w:p w14:paraId="7194A054">
            <w:pPr>
              <w:adjustRightInd w:val="0"/>
              <w:snapToGrid w:val="0"/>
              <w:spacing w:line="360" w:lineRule="exact"/>
              <w:jc w:val="center"/>
              <w:rPr>
                <w:color w:val="auto"/>
                <w:szCs w:val="21"/>
              </w:rPr>
            </w:pPr>
          </w:p>
        </w:tc>
      </w:tr>
      <w:tr w14:paraId="1AA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3F471E3C">
            <w:pPr>
              <w:spacing w:line="360" w:lineRule="exact"/>
              <w:ind w:firstLine="108"/>
              <w:rPr>
                <w:rFonts w:ascii="宋体" w:hAnsi="宋体"/>
                <w:color w:val="auto"/>
                <w:szCs w:val="21"/>
              </w:rPr>
            </w:pPr>
          </w:p>
        </w:tc>
        <w:tc>
          <w:tcPr>
            <w:tcW w:w="831" w:type="dxa"/>
            <w:vMerge w:val="continue"/>
            <w:vAlign w:val="center"/>
          </w:tcPr>
          <w:p w14:paraId="5843A4E6">
            <w:pPr>
              <w:spacing w:line="360" w:lineRule="exact"/>
              <w:jc w:val="left"/>
              <w:rPr>
                <w:rFonts w:ascii="宋体" w:hAnsi="宋体"/>
                <w:color w:val="auto"/>
                <w:szCs w:val="21"/>
              </w:rPr>
            </w:pPr>
          </w:p>
        </w:tc>
        <w:tc>
          <w:tcPr>
            <w:tcW w:w="7654" w:type="dxa"/>
          </w:tcPr>
          <w:p w14:paraId="4492A977">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即时消息管理</w:t>
            </w:r>
          </w:p>
          <w:p w14:paraId="351FC9EC">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危急值报警</w:t>
            </w:r>
          </w:p>
          <w:p w14:paraId="0611B567">
            <w:pPr>
              <w:numPr>
                <w:ilvl w:val="0"/>
                <w:numId w:val="4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危急值报警提示录入：当检验项目中出现生命危急值情况时，系统在患者列表以醒目的颜色，提示给操作者，如果有大屏幕，可第一时间显示在大屏幕上。并在没有进行记录的情况下，审核时进行提示。用户可以主动进行危急值的登记和情况说明，向临床发布危急值消息。</w:t>
            </w:r>
          </w:p>
          <w:p w14:paraId="2A8480D3">
            <w:pPr>
              <w:numPr>
                <w:ilvl w:val="0"/>
                <w:numId w:val="4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危急值反馈终结管理：检验科工作终端可以对医生处理过的危急值消息提醒，告知处理内容。同时对没有及时处理的危急值进行提示，闪烁，要求对危急值进行最终处理，需要检验科电话提醒，并登记电话记录。如果医生方面没有异议，则可以有检验员直接对危急值进行终结处理。保证危急值闭环管理。</w:t>
            </w:r>
          </w:p>
          <w:p w14:paraId="278A9C85">
            <w:pPr>
              <w:numPr>
                <w:ilvl w:val="0"/>
                <w:numId w:val="42"/>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危急值统计和查询：可以对指定项目和类别进行危急值的统计，对详细列表进行查询。</w:t>
            </w:r>
          </w:p>
          <w:p w14:paraId="780F11F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不合格样本提醒</w:t>
            </w:r>
          </w:p>
          <w:p w14:paraId="2910E395">
            <w:pPr>
              <w:numPr>
                <w:ilvl w:val="0"/>
                <w:numId w:val="4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不合格样本记录：在样本接收，核收时如发现不合格样本，可以对不合格样本进行记录，详细记录不合格原因处理办法等，并将不合格信息发送给护士站。</w:t>
            </w:r>
          </w:p>
          <w:p w14:paraId="3D8D9A5A">
            <w:pPr>
              <w:numPr>
                <w:ilvl w:val="0"/>
                <w:numId w:val="4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不合格样本提示：在门诊条码打印（本人、全部门诊），病房条码打印（本病区）的程序主界面中对不合格样本进行滚动提示，如果操作者对其确认，则表示对不合格样本进行最终处理。</w:t>
            </w:r>
          </w:p>
          <w:p w14:paraId="29FF4902">
            <w:pPr>
              <w:numPr>
                <w:ilvl w:val="0"/>
                <w:numId w:val="43"/>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不合格样本统计查询：查询符合条件的不合格样本信息。对病区，不合格原因等可进行分组统计，来提升采血质量。</w:t>
            </w:r>
          </w:p>
          <w:p w14:paraId="039512E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高危项目提醒</w:t>
            </w:r>
          </w:p>
          <w:p w14:paraId="32C1434C">
            <w:pPr>
              <w:numPr>
                <w:ilvl w:val="0"/>
                <w:numId w:val="4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高危患者登记：有传染病结果的标本可以登记此患者为高危患者。</w:t>
            </w:r>
          </w:p>
          <w:p w14:paraId="32B931FE">
            <w:pPr>
              <w:numPr>
                <w:ilvl w:val="0"/>
                <w:numId w:val="44"/>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高危患者提醒：登记后患者再次采血化验时，在条码打印、样本接收、样本核收等才做时都会提示，以便检验员高危防护。</w:t>
            </w:r>
          </w:p>
        </w:tc>
        <w:tc>
          <w:tcPr>
            <w:tcW w:w="657" w:type="dxa"/>
            <w:vMerge w:val="continue"/>
            <w:vAlign w:val="center"/>
          </w:tcPr>
          <w:p w14:paraId="25F3A088">
            <w:pPr>
              <w:adjustRightInd w:val="0"/>
              <w:snapToGrid w:val="0"/>
              <w:spacing w:line="360" w:lineRule="exact"/>
              <w:jc w:val="center"/>
              <w:rPr>
                <w:color w:val="auto"/>
                <w:szCs w:val="21"/>
              </w:rPr>
            </w:pPr>
          </w:p>
        </w:tc>
      </w:tr>
      <w:tr w14:paraId="498C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2DF06236">
            <w:pPr>
              <w:spacing w:line="360" w:lineRule="exact"/>
              <w:ind w:firstLine="108"/>
              <w:rPr>
                <w:rFonts w:ascii="宋体" w:hAnsi="宋体"/>
                <w:color w:val="auto"/>
                <w:szCs w:val="21"/>
              </w:rPr>
            </w:pPr>
          </w:p>
        </w:tc>
        <w:tc>
          <w:tcPr>
            <w:tcW w:w="831" w:type="dxa"/>
            <w:vMerge w:val="continue"/>
            <w:vAlign w:val="center"/>
          </w:tcPr>
          <w:p w14:paraId="48339FBD">
            <w:pPr>
              <w:spacing w:line="360" w:lineRule="exact"/>
              <w:jc w:val="left"/>
              <w:rPr>
                <w:rFonts w:ascii="宋体" w:hAnsi="宋体"/>
                <w:color w:val="auto"/>
                <w:szCs w:val="21"/>
              </w:rPr>
            </w:pPr>
          </w:p>
        </w:tc>
        <w:tc>
          <w:tcPr>
            <w:tcW w:w="7654" w:type="dxa"/>
          </w:tcPr>
          <w:p w14:paraId="0DE463B5">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主任管理</w:t>
            </w:r>
          </w:p>
          <w:p w14:paraId="3363C85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特批申请单管理</w:t>
            </w:r>
          </w:p>
          <w:p w14:paraId="5A7816A4">
            <w:pPr>
              <w:numPr>
                <w:ilvl w:val="0"/>
                <w:numId w:val="4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特批申请单审批：对科室内对特殊患者，绿色通道患者等申请信息进行审批操作，允许用户对该项目进行打印。</w:t>
            </w:r>
          </w:p>
          <w:p w14:paraId="7901D407">
            <w:pPr>
              <w:numPr>
                <w:ilvl w:val="0"/>
                <w:numId w:val="4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特批申请单查询：对于特批的申请单进行小组，人员的分类查询。对于特批的申请人员，项目等进行统计。</w:t>
            </w:r>
          </w:p>
          <w:p w14:paraId="6CDA90B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排班管理</w:t>
            </w:r>
          </w:p>
          <w:p w14:paraId="6117167A">
            <w:pPr>
              <w:numPr>
                <w:ilvl w:val="0"/>
                <w:numId w:val="4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排班模板维护：通过对常用班型的模板维护方式，确定排班模板，通过排班模板可以快速完成排班工作。</w:t>
            </w:r>
          </w:p>
          <w:p w14:paraId="53466E12">
            <w:pPr>
              <w:numPr>
                <w:ilvl w:val="0"/>
                <w:numId w:val="45"/>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对于科室内的工作人员，通过模板加载，自定义方式等完成排班工作。</w:t>
            </w:r>
          </w:p>
          <w:p w14:paraId="3923727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综合查询平台</w:t>
            </w:r>
          </w:p>
          <w:p w14:paraId="30F5FEE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通过统一的查询平台，完成科室内相关业务查询，跟踪，统计分析的操作。</w:t>
            </w:r>
          </w:p>
          <w:p w14:paraId="754E8D6C">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提醒和报警</w:t>
            </w:r>
          </w:p>
          <w:p w14:paraId="60885F63">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对于超时处理的样本进行报警提示。</w:t>
            </w:r>
          </w:p>
        </w:tc>
        <w:tc>
          <w:tcPr>
            <w:tcW w:w="657" w:type="dxa"/>
            <w:vMerge w:val="continue"/>
            <w:vAlign w:val="center"/>
          </w:tcPr>
          <w:p w14:paraId="052F7C27">
            <w:pPr>
              <w:adjustRightInd w:val="0"/>
              <w:snapToGrid w:val="0"/>
              <w:spacing w:line="360" w:lineRule="exact"/>
              <w:jc w:val="center"/>
              <w:rPr>
                <w:color w:val="auto"/>
                <w:szCs w:val="21"/>
              </w:rPr>
            </w:pPr>
          </w:p>
        </w:tc>
      </w:tr>
      <w:tr w14:paraId="6FBC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0B4E6B27">
            <w:pPr>
              <w:spacing w:line="360" w:lineRule="exact"/>
              <w:ind w:firstLine="108"/>
              <w:rPr>
                <w:rFonts w:ascii="宋体" w:hAnsi="宋体"/>
                <w:color w:val="auto"/>
                <w:szCs w:val="21"/>
              </w:rPr>
            </w:pPr>
          </w:p>
        </w:tc>
        <w:tc>
          <w:tcPr>
            <w:tcW w:w="831" w:type="dxa"/>
            <w:vMerge w:val="continue"/>
            <w:vAlign w:val="center"/>
          </w:tcPr>
          <w:p w14:paraId="2A381140">
            <w:pPr>
              <w:spacing w:line="360" w:lineRule="exact"/>
              <w:jc w:val="left"/>
              <w:rPr>
                <w:rFonts w:ascii="宋体" w:hAnsi="宋体"/>
                <w:color w:val="auto"/>
                <w:szCs w:val="21"/>
              </w:rPr>
            </w:pPr>
          </w:p>
        </w:tc>
        <w:tc>
          <w:tcPr>
            <w:tcW w:w="7654" w:type="dxa"/>
          </w:tcPr>
          <w:p w14:paraId="7283D9F6">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查询统计</w:t>
            </w:r>
          </w:p>
          <w:p w14:paraId="10C1D36F">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科室收入统计</w:t>
            </w:r>
          </w:p>
          <w:p w14:paraId="16D3043C">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检验科</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或者其他医技科室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各个条件下的收入统计操作。</w:t>
            </w:r>
          </w:p>
          <w:p w14:paraId="06032C7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条件：</w:t>
            </w:r>
            <w:r>
              <w:rPr>
                <w:rFonts w:asciiTheme="majorEastAsia" w:hAnsiTheme="majorEastAsia" w:eastAsiaTheme="majorEastAsia"/>
                <w:color w:val="auto"/>
                <w:szCs w:val="21"/>
              </w:rPr>
              <w:t>指定时间范围，按住院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体检患者类型的统计模式，可考虑按日分组统计方式。</w:t>
            </w:r>
          </w:p>
          <w:p w14:paraId="7D7C4CC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1）检验科室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下属检验专业组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的内的费用统计。</w:t>
            </w:r>
          </w:p>
          <w:p w14:paraId="5C82355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2）专业组内</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生化</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免疫等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检验设备工作费用统计。</w:t>
            </w:r>
          </w:p>
          <w:p w14:paraId="6A13F2C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3）检验科室对检验项目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如血常规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等项目的全科室统计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不考虑设备做为条件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35AF7A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4）检验科室内对单项项目进行收入统计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此内容中仅考虑单项存在费用的情况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对于血常规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尿常规中的单项不考虑此统计方式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2DC859A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5）按送检科室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送检医生方式的收入统计方式。</w:t>
            </w:r>
          </w:p>
          <w:p w14:paraId="45F1ABD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6）按检验医生的工作方式进行收入统计。</w:t>
            </w:r>
          </w:p>
          <w:p w14:paraId="76374EF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科室工作量统计</w:t>
            </w:r>
          </w:p>
          <w:p w14:paraId="045243C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检验科</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或者其他医技科室</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各个条件下的工作量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件数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统计操作。</w:t>
            </w:r>
          </w:p>
          <w:p w14:paraId="7690A22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条件：</w:t>
            </w:r>
            <w:r>
              <w:rPr>
                <w:rFonts w:asciiTheme="majorEastAsia" w:hAnsiTheme="majorEastAsia" w:eastAsiaTheme="majorEastAsia"/>
                <w:color w:val="auto"/>
                <w:szCs w:val="21"/>
              </w:rPr>
              <w:t>指定时间范围，按住院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门诊</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体检患者类型的统计模式，可考虑按日分组统计方式。</w:t>
            </w:r>
          </w:p>
          <w:p w14:paraId="56A8A4C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 xml:space="preserve">1）按专业小组进行总的工作量的统计 </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人次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562CA68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2）按检验设备进行检验项目的工作量统计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人次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 xml:space="preserve">。 </w:t>
            </w:r>
          </w:p>
          <w:p w14:paraId="0EAF532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3）按检验人员进行工作量统计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人次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399F95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4）按检验项目进行工作量统计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人次/件数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0CCDD97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5）按送检科室进行工作量统计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人次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9D55EC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6）按测试项目进行件数统计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对血常规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尿常规等项目无意义</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51E035E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综合统计</w:t>
            </w:r>
          </w:p>
          <w:p w14:paraId="5A1DBBB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对工作量和收入的综合统计方式：对检验项目和收入的数据根据日期和患者类型方式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可按日分组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进行多条件综合表格的查询统计操作。</w:t>
            </w:r>
          </w:p>
          <w:p w14:paraId="02221B88">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标本管理</w:t>
            </w:r>
          </w:p>
          <w:p w14:paraId="0B9A4DB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（1）危急值统计报表</w:t>
            </w:r>
          </w:p>
          <w:p w14:paraId="4A070AE1">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对每日发生的危急值信息进行查询</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条件</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可用患者编号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日期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条码号</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危急项目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6C2159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对每日危急值处理情况的统计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已经处理的</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未处理的数量</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.可进入明细查询。</w:t>
            </w:r>
          </w:p>
          <w:p w14:paraId="458B37D5">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可按日对一段时间的处理情况进行汇总。</w:t>
            </w:r>
          </w:p>
          <w:p w14:paraId="441A126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（2）敏感项目统计报表</w:t>
            </w:r>
          </w:p>
          <w:p w14:paraId="0161958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对HIV</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梅毒等国家控制类的传染病</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敏感项目的明细报表。</w:t>
            </w:r>
          </w:p>
          <w:p w14:paraId="022FC3E0">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对HIV</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梅毒等项目的按日统计方式的汇总数据表格。</w:t>
            </w:r>
          </w:p>
          <w:p w14:paraId="13E447C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对阳性数据清单的查询。</w:t>
            </w:r>
          </w:p>
          <w:p w14:paraId="6887D46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对阳性率的统计表。</w:t>
            </w:r>
          </w:p>
          <w:p w14:paraId="3D9026F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（3）全流程时间管理-TAT</w:t>
            </w:r>
          </w:p>
          <w:p w14:paraId="69829927">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对样本流程中的时间点进行管理(开立时间,条码打印时间(采血时间),送检时间,接收时间,核收时间,审核时间,打印时间)的时间点,操作人的查询管理。可以通过条码号,患者编号，项目等进行相关的时间点的查询。</w:t>
            </w:r>
          </w:p>
          <w:p w14:paraId="017B105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根据预先确定的两个时间点的时间约束,进行超时管理,可以对工作人员的工作流程是否满足管理要求进行监管。</w:t>
            </w:r>
          </w:p>
          <w:p w14:paraId="38D2E44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（4）工作流量管理</w:t>
            </w:r>
          </w:p>
          <w:p w14:paraId="05BAA5F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通过对流程中的时间点的分段统计模式,确定各个检验项目,在不同时段内的样本数量，确定每日工作高峰和低谷的样本管理。以达到优化工作流程的目的,确定人员安排的策略。</w:t>
            </w:r>
          </w:p>
          <w:p w14:paraId="7D8DABE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通过流程中两个时间的时间差,查看工作情况效率,如两个时间点的差为1小时对应的样本数量，2小时内对应的数量等。可以考察科室人员工作质量情况。</w:t>
            </w:r>
          </w:p>
          <w:p w14:paraId="22E3590B">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（5）护士采血工作量统计</w:t>
            </w:r>
          </w:p>
          <w:p w14:paraId="2BFFA89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护士采血工作量人次统计。</w:t>
            </w:r>
          </w:p>
          <w:p w14:paraId="3645E173">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护士采血工作量件数统计。</w:t>
            </w:r>
          </w:p>
          <w:p w14:paraId="3F18177A">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（6）不合格样本统计表</w:t>
            </w:r>
          </w:p>
          <w:p w14:paraId="77CC28A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按日对不合格样本进行统计,查询表格。</w:t>
            </w:r>
          </w:p>
          <w:p w14:paraId="1ADF74F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按科室、操作人、不合格原因等进行不合格样本的统计管理，确定需要改进的工作内容。</w:t>
            </w:r>
          </w:p>
          <w:p w14:paraId="0393344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（7）检验样本后管理查询</w:t>
            </w:r>
            <w:r>
              <w:rPr>
                <w:rFonts w:asciiTheme="majorEastAsia" w:hAnsiTheme="majorEastAsia" w:eastAsiaTheme="majorEastAsia"/>
                <w:color w:val="auto"/>
                <w:szCs w:val="21"/>
              </w:rPr>
              <w:tab/>
            </w:r>
          </w:p>
          <w:p w14:paraId="194F0D3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对每日样本是否存在未进入后处理的样本的状态统计,查看,确定未进入后处理的原因，了解每日工作状态。</w:t>
            </w:r>
          </w:p>
          <w:p w14:paraId="4FC98FF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对每日销毁后处理样本的情况进行查看,确定销毁工作状况。</w:t>
            </w:r>
          </w:p>
          <w:p w14:paraId="03A2A4B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查询是否存在未完成后管理的样本信息情况。</w:t>
            </w:r>
          </w:p>
          <w:p w14:paraId="44B10243">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阳性报告清单</w:t>
            </w:r>
          </w:p>
          <w:p w14:paraId="2E4EE2C5">
            <w:pPr>
              <w:numPr>
                <w:ilvl w:val="0"/>
                <w:numId w:val="4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对乙肝类、免疫类等进行阳性率的统计(可以针对某个项目,或者是几个项目的情况组合进行查看和统计)。</w:t>
            </w:r>
          </w:p>
          <w:p w14:paraId="15E8DE8D">
            <w:pPr>
              <w:numPr>
                <w:ilvl w:val="0"/>
                <w:numId w:val="46"/>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可以对项目的正常率的统计。</w:t>
            </w:r>
          </w:p>
          <w:p w14:paraId="03E1AC3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asciiTheme="majorEastAsia" w:hAnsiTheme="majorEastAsia" w:eastAsiaTheme="majorEastAsia"/>
                <w:color w:val="auto"/>
                <w:szCs w:val="21"/>
              </w:rPr>
              <w:tab/>
            </w:r>
            <w:r>
              <w:rPr>
                <w:rFonts w:asciiTheme="majorEastAsia" w:hAnsiTheme="majorEastAsia" w:eastAsiaTheme="majorEastAsia"/>
                <w:color w:val="auto"/>
                <w:szCs w:val="21"/>
              </w:rPr>
              <w:t>处理样本日志</w:t>
            </w:r>
          </w:p>
          <w:p w14:paraId="2FBB1948">
            <w:pPr>
              <w:numPr>
                <w:ilvl w:val="0"/>
                <w:numId w:val="4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每日删除样本管理：可以对删除样本进行查看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获得删除情况信息。</w:t>
            </w:r>
          </w:p>
          <w:p w14:paraId="23A9FBCE">
            <w:pPr>
              <w:numPr>
                <w:ilvl w:val="0"/>
                <w:numId w:val="47"/>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每日取消审核信息：</w:t>
            </w:r>
          </w:p>
          <w:p w14:paraId="1EDB0F6E">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对每日发生的取消审核的检验单进行查看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获得详细清单信息。</w:t>
            </w:r>
          </w:p>
          <w:p w14:paraId="5CA23E3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对取消审核的原因</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取消人等作为分组进行统计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确定取消审核的情况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便于改进工作流程和方法。</w:t>
            </w:r>
          </w:p>
          <w:p w14:paraId="156FEECB">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asciiTheme="majorEastAsia" w:hAnsiTheme="majorEastAsia" w:eastAsiaTheme="majorEastAsia"/>
                <w:color w:val="auto"/>
                <w:szCs w:val="21"/>
              </w:rPr>
              <w:tab/>
            </w:r>
            <w:r>
              <w:rPr>
                <w:rFonts w:asciiTheme="majorEastAsia" w:hAnsiTheme="majorEastAsia" w:eastAsiaTheme="majorEastAsia"/>
                <w:color w:val="auto"/>
                <w:szCs w:val="21"/>
              </w:rPr>
              <w:t>送检单</w:t>
            </w:r>
          </w:p>
          <w:p w14:paraId="3597790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每日送检单查看：对每日送检样本的情况进行查看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可以了解送检单的工作状态是否正常。</w:t>
            </w:r>
          </w:p>
          <w:p w14:paraId="5D96B97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asciiTheme="majorEastAsia" w:hAnsiTheme="majorEastAsia" w:eastAsiaTheme="majorEastAsia"/>
                <w:color w:val="auto"/>
                <w:szCs w:val="21"/>
              </w:rPr>
              <w:tab/>
            </w:r>
            <w:r>
              <w:rPr>
                <w:rFonts w:asciiTheme="majorEastAsia" w:hAnsiTheme="majorEastAsia" w:eastAsiaTheme="majorEastAsia"/>
                <w:color w:val="auto"/>
                <w:szCs w:val="21"/>
              </w:rPr>
              <w:t>日常工作表格</w:t>
            </w:r>
          </w:p>
          <w:p w14:paraId="395D647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检验差错记录：对每日工作出现的差错情况进行记录.可对差错问题进行统计</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查询。查询出错频度问题</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可指导科室的改进意见。</w:t>
            </w:r>
          </w:p>
          <w:p w14:paraId="021528B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9、</w:t>
            </w:r>
            <w:r>
              <w:rPr>
                <w:rFonts w:asciiTheme="majorEastAsia" w:hAnsiTheme="majorEastAsia" w:eastAsiaTheme="majorEastAsia"/>
                <w:color w:val="auto"/>
                <w:szCs w:val="21"/>
              </w:rPr>
              <w:tab/>
            </w:r>
            <w:r>
              <w:rPr>
                <w:rFonts w:asciiTheme="majorEastAsia" w:hAnsiTheme="majorEastAsia" w:eastAsiaTheme="majorEastAsia"/>
                <w:color w:val="auto"/>
                <w:szCs w:val="21"/>
              </w:rPr>
              <w:t>检验设备运行记录</w:t>
            </w:r>
          </w:p>
          <w:p w14:paraId="450A8086">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检验设备运行记录：对检验设备每日运行情况的记录操作，可以完成全科检验设备的运行情况日清单的查询，打印工作。</w:t>
            </w:r>
          </w:p>
          <w:p w14:paraId="57E9763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10、</w:t>
            </w:r>
            <w:r>
              <w:rPr>
                <w:rFonts w:asciiTheme="majorEastAsia" w:hAnsiTheme="majorEastAsia" w:eastAsiaTheme="majorEastAsia"/>
                <w:color w:val="auto"/>
                <w:szCs w:val="21"/>
              </w:rPr>
              <w:tab/>
            </w:r>
            <w:r>
              <w:rPr>
                <w:rFonts w:asciiTheme="majorEastAsia" w:hAnsiTheme="majorEastAsia" w:eastAsiaTheme="majorEastAsia"/>
                <w:color w:val="auto"/>
                <w:szCs w:val="21"/>
              </w:rPr>
              <w:t>试剂查询</w:t>
            </w:r>
          </w:p>
          <w:p w14:paraId="1EBDAD23">
            <w:pPr>
              <w:numPr>
                <w:ilvl w:val="0"/>
                <w:numId w:val="4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试剂消耗查询统：每日试剂消耗情况看统计。</w:t>
            </w:r>
          </w:p>
          <w:p w14:paraId="076E9BE9">
            <w:pPr>
              <w:numPr>
                <w:ilvl w:val="0"/>
                <w:numId w:val="48"/>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试剂相关信息查询</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库存预警查看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试剂</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杂品类</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asciiTheme="majorEastAsia" w:hAnsiTheme="majorEastAsia" w:eastAsiaTheme="majorEastAsia"/>
                <w:color w:val="auto"/>
                <w:szCs w:val="21"/>
              </w:rPr>
              <w:t>库存试剂有效期查看。</w:t>
            </w:r>
          </w:p>
          <w:p w14:paraId="29176FA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11、</w:t>
            </w:r>
            <w:r>
              <w:rPr>
                <w:rFonts w:asciiTheme="majorEastAsia" w:hAnsiTheme="majorEastAsia" w:eastAsiaTheme="majorEastAsia"/>
                <w:color w:val="auto"/>
                <w:szCs w:val="21"/>
              </w:rPr>
              <w:tab/>
            </w:r>
            <w:r>
              <w:rPr>
                <w:rFonts w:asciiTheme="majorEastAsia" w:hAnsiTheme="majorEastAsia" w:eastAsiaTheme="majorEastAsia"/>
                <w:color w:val="auto"/>
                <w:szCs w:val="21"/>
              </w:rPr>
              <w:t>质控管理</w:t>
            </w:r>
          </w:p>
          <w:p w14:paraId="30974B7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质控项目查看：</w:t>
            </w:r>
          </w:p>
          <w:p w14:paraId="7ED3329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1）管理者对每日检验设备质控情况查看</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是否做过质控的管理。</w:t>
            </w:r>
          </w:p>
          <w:p w14:paraId="681E852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2）可以直接查看每日任何一台检验设备的质控数据情况，是否存在失控报告等。</w:t>
            </w:r>
          </w:p>
          <w:p w14:paraId="15D94D1E">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12、</w:t>
            </w:r>
            <w:r>
              <w:rPr>
                <w:rFonts w:asciiTheme="majorEastAsia" w:hAnsiTheme="majorEastAsia" w:eastAsiaTheme="majorEastAsia"/>
                <w:color w:val="auto"/>
                <w:szCs w:val="21"/>
              </w:rPr>
              <w:tab/>
            </w:r>
            <w:r>
              <w:rPr>
                <w:rFonts w:asciiTheme="majorEastAsia" w:hAnsiTheme="majorEastAsia" w:eastAsiaTheme="majorEastAsia"/>
                <w:color w:val="auto"/>
                <w:szCs w:val="21"/>
              </w:rPr>
              <w:t>检验结果分析</w:t>
            </w:r>
          </w:p>
          <w:p w14:paraId="5BD62D5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根据多种条件来查看满足条件的数据清单列表信息。</w:t>
            </w:r>
          </w:p>
          <w:p w14:paraId="30D5D52A">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13、</w:t>
            </w:r>
            <w:r>
              <w:rPr>
                <w:rFonts w:asciiTheme="majorEastAsia" w:hAnsiTheme="majorEastAsia" w:eastAsiaTheme="majorEastAsia"/>
                <w:color w:val="auto"/>
                <w:szCs w:val="21"/>
              </w:rPr>
              <w:tab/>
            </w:r>
            <w:r>
              <w:rPr>
                <w:rFonts w:asciiTheme="majorEastAsia" w:hAnsiTheme="majorEastAsia" w:eastAsiaTheme="majorEastAsia"/>
                <w:color w:val="auto"/>
                <w:szCs w:val="21"/>
              </w:rPr>
              <w:t>单患者检验波动管理</w:t>
            </w:r>
          </w:p>
          <w:p w14:paraId="6A286038">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波动管理：对某个患者某个项目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或者几个项目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进行数据</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图像分析</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查看波动情况</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如糖耐量的表格</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w:t>
            </w:r>
          </w:p>
          <w:p w14:paraId="134ED29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14、</w:t>
            </w:r>
            <w:r>
              <w:rPr>
                <w:rFonts w:asciiTheme="majorEastAsia" w:hAnsiTheme="majorEastAsia" w:eastAsiaTheme="majorEastAsia"/>
                <w:color w:val="auto"/>
                <w:szCs w:val="21"/>
              </w:rPr>
              <w:tab/>
            </w:r>
            <w:r>
              <w:rPr>
                <w:rFonts w:asciiTheme="majorEastAsia" w:hAnsiTheme="majorEastAsia" w:eastAsiaTheme="majorEastAsia"/>
                <w:color w:val="auto"/>
                <w:szCs w:val="21"/>
              </w:rPr>
              <w:t>卫生部质量指标</w:t>
            </w:r>
          </w:p>
          <w:p w14:paraId="5266B529">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按卫生部质量指标标准导出可以上报数据。</w:t>
            </w:r>
          </w:p>
        </w:tc>
        <w:tc>
          <w:tcPr>
            <w:tcW w:w="657" w:type="dxa"/>
            <w:vMerge w:val="continue"/>
            <w:vAlign w:val="center"/>
          </w:tcPr>
          <w:p w14:paraId="4C7B4050">
            <w:pPr>
              <w:adjustRightInd w:val="0"/>
              <w:snapToGrid w:val="0"/>
              <w:spacing w:line="360" w:lineRule="exact"/>
              <w:jc w:val="center"/>
              <w:rPr>
                <w:color w:val="auto"/>
                <w:szCs w:val="21"/>
              </w:rPr>
            </w:pPr>
          </w:p>
        </w:tc>
      </w:tr>
      <w:tr w14:paraId="4827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00BF9ABC">
            <w:pPr>
              <w:spacing w:line="360" w:lineRule="exact"/>
              <w:ind w:firstLine="108"/>
              <w:rPr>
                <w:rFonts w:ascii="宋体" w:hAnsi="宋体"/>
                <w:color w:val="auto"/>
                <w:szCs w:val="21"/>
              </w:rPr>
            </w:pPr>
          </w:p>
        </w:tc>
        <w:tc>
          <w:tcPr>
            <w:tcW w:w="831" w:type="dxa"/>
            <w:vMerge w:val="continue"/>
            <w:vAlign w:val="center"/>
          </w:tcPr>
          <w:p w14:paraId="554648FA">
            <w:pPr>
              <w:spacing w:line="360" w:lineRule="exact"/>
              <w:jc w:val="left"/>
              <w:rPr>
                <w:rFonts w:ascii="宋体" w:hAnsi="宋体"/>
                <w:color w:val="auto"/>
                <w:szCs w:val="21"/>
              </w:rPr>
            </w:pPr>
          </w:p>
        </w:tc>
        <w:tc>
          <w:tcPr>
            <w:tcW w:w="7654" w:type="dxa"/>
          </w:tcPr>
          <w:p w14:paraId="16FF8EF3">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打印模板管理</w:t>
            </w:r>
          </w:p>
          <w:p w14:paraId="68D3FB34">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报告单模板维护</w:t>
            </w:r>
          </w:p>
          <w:p w14:paraId="55A9BF41">
            <w:pPr>
              <w:numPr>
                <w:ilvl w:val="0"/>
                <w:numId w:val="4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常规检验，酶标检验报告模板进行定义控件维护；可以进行LIS控件，HIS控件，工具类控件进行拖拽，复制，剪切，删除等操作。通过属性的修改完成风格的编辑。报告单模板的格式定义（双列，函数限制，日期格式等）。</w:t>
            </w:r>
          </w:p>
          <w:p w14:paraId="3F2EBE3C">
            <w:pPr>
              <w:numPr>
                <w:ilvl w:val="0"/>
                <w:numId w:val="4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对微生物检验报告单维护，完成短报告，鉴定报告，药敏报告，多药敏报告的格式定义和编辑；满足微生物系统对于检验报告的要求。</w:t>
            </w:r>
          </w:p>
          <w:p w14:paraId="713A11D1">
            <w:pPr>
              <w:numPr>
                <w:ilvl w:val="0"/>
                <w:numId w:val="49"/>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对骨髓类等图文报告格式进行编辑。</w:t>
            </w:r>
          </w:p>
          <w:p w14:paraId="14AC7C6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asciiTheme="majorEastAsia" w:hAnsiTheme="majorEastAsia" w:eastAsiaTheme="majorEastAsia"/>
                <w:color w:val="auto"/>
                <w:szCs w:val="21"/>
              </w:rPr>
              <w:tab/>
            </w:r>
            <w:r>
              <w:rPr>
                <w:rFonts w:asciiTheme="majorEastAsia" w:hAnsiTheme="majorEastAsia" w:eastAsiaTheme="majorEastAsia"/>
                <w:color w:val="auto"/>
                <w:szCs w:val="21"/>
              </w:rPr>
              <w:t>报告单使用</w:t>
            </w:r>
          </w:p>
          <w:p w14:paraId="68E42C5F">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常规检验，酶标检验，微生物检验，骨髓检验等，在病房打印，自助报告打印，一站式服务，检验科等完成单报告，批量打印。打印动作通过报告模板的加载完成对应格式报告的打印操作。</w:t>
            </w:r>
          </w:p>
          <w:p w14:paraId="04A1E8C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3、</w:t>
            </w:r>
            <w:r>
              <w:rPr>
                <w:rFonts w:asciiTheme="majorEastAsia" w:hAnsiTheme="majorEastAsia" w:eastAsiaTheme="majorEastAsia"/>
                <w:color w:val="auto"/>
                <w:szCs w:val="21"/>
              </w:rPr>
              <w:tab/>
            </w:r>
            <w:r>
              <w:rPr>
                <w:rFonts w:asciiTheme="majorEastAsia" w:hAnsiTheme="majorEastAsia" w:eastAsiaTheme="majorEastAsia"/>
                <w:color w:val="auto"/>
                <w:szCs w:val="21"/>
              </w:rPr>
              <w:t>条码打印模板</w:t>
            </w:r>
          </w:p>
          <w:p w14:paraId="1C38DBAD">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条码打印模板维护：根据不同患者类型完成门诊，住院，体检患者类型的条码打印，也可处理外送样本的条码管理。</w:t>
            </w:r>
          </w:p>
          <w:p w14:paraId="39356272">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4、</w:t>
            </w:r>
            <w:r>
              <w:rPr>
                <w:rFonts w:asciiTheme="majorEastAsia" w:hAnsiTheme="majorEastAsia" w:eastAsiaTheme="majorEastAsia"/>
                <w:color w:val="auto"/>
                <w:szCs w:val="21"/>
              </w:rPr>
              <w:tab/>
            </w:r>
            <w:r>
              <w:rPr>
                <w:rFonts w:asciiTheme="majorEastAsia" w:hAnsiTheme="majorEastAsia" w:eastAsiaTheme="majorEastAsia"/>
                <w:color w:val="auto"/>
                <w:szCs w:val="21"/>
              </w:rPr>
              <w:t>回执单打印模板</w:t>
            </w:r>
          </w:p>
          <w:p w14:paraId="5FFA32B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通过对门诊条码打印回执单模板的编辑，完成条码回执单的打印，可灵活编辑该模板。</w:t>
            </w:r>
          </w:p>
          <w:p w14:paraId="7E4055B0">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asciiTheme="majorEastAsia" w:hAnsiTheme="majorEastAsia" w:eastAsiaTheme="majorEastAsia"/>
                <w:color w:val="auto"/>
                <w:szCs w:val="21"/>
              </w:rPr>
              <w:tab/>
            </w:r>
            <w:r>
              <w:rPr>
                <w:rFonts w:asciiTheme="majorEastAsia" w:hAnsiTheme="majorEastAsia" w:eastAsiaTheme="majorEastAsia"/>
                <w:color w:val="auto"/>
                <w:szCs w:val="21"/>
              </w:rPr>
              <w:t>微生物室内条码模板</w:t>
            </w:r>
          </w:p>
          <w:p w14:paraId="0912D4D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可以对微生物室内条码模板进行自定义编辑，完成条码的信息处理，按照要求打印出数量不等的条码标签。</w:t>
            </w:r>
          </w:p>
        </w:tc>
        <w:tc>
          <w:tcPr>
            <w:tcW w:w="657" w:type="dxa"/>
            <w:vMerge w:val="continue"/>
            <w:vAlign w:val="center"/>
          </w:tcPr>
          <w:p w14:paraId="2A4B63D5">
            <w:pPr>
              <w:adjustRightInd w:val="0"/>
              <w:snapToGrid w:val="0"/>
              <w:spacing w:line="360" w:lineRule="exact"/>
              <w:jc w:val="center"/>
              <w:rPr>
                <w:color w:val="auto"/>
                <w:szCs w:val="21"/>
              </w:rPr>
            </w:pPr>
          </w:p>
        </w:tc>
      </w:tr>
      <w:tr w14:paraId="05CB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4C69210B">
            <w:pPr>
              <w:spacing w:line="360" w:lineRule="exact"/>
              <w:ind w:firstLine="108"/>
              <w:rPr>
                <w:rFonts w:ascii="宋体" w:hAnsi="宋体"/>
                <w:color w:val="auto"/>
                <w:szCs w:val="21"/>
              </w:rPr>
            </w:pPr>
          </w:p>
        </w:tc>
        <w:tc>
          <w:tcPr>
            <w:tcW w:w="831" w:type="dxa"/>
            <w:vMerge w:val="continue"/>
            <w:vAlign w:val="center"/>
          </w:tcPr>
          <w:p w14:paraId="25D252F9">
            <w:pPr>
              <w:spacing w:line="360" w:lineRule="exact"/>
              <w:jc w:val="left"/>
              <w:rPr>
                <w:rFonts w:ascii="宋体" w:hAnsi="宋体"/>
                <w:color w:val="auto"/>
                <w:szCs w:val="21"/>
              </w:rPr>
            </w:pPr>
          </w:p>
        </w:tc>
        <w:tc>
          <w:tcPr>
            <w:tcW w:w="7654" w:type="dxa"/>
          </w:tcPr>
          <w:p w14:paraId="215EEDFF">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结果报告模块</w:t>
            </w:r>
          </w:p>
          <w:p w14:paraId="50486DCD">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asciiTheme="majorEastAsia" w:hAnsiTheme="majorEastAsia" w:eastAsiaTheme="majorEastAsia"/>
                <w:color w:val="auto"/>
                <w:szCs w:val="21"/>
              </w:rPr>
              <w:t>报告打印</w:t>
            </w:r>
          </w:p>
          <w:p w14:paraId="0CC842BF">
            <w:pPr>
              <w:numPr>
                <w:ilvl w:val="0"/>
                <w:numId w:val="5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自助报告打印：患者通过就诊卡，病历本等标识通过刷卡，扫描等操作在自助报告打印机上获得已经审核的检验报告单。</w:t>
            </w:r>
          </w:p>
          <w:p w14:paraId="5A0C4A6B">
            <w:pPr>
              <w:numPr>
                <w:ilvl w:val="0"/>
                <w:numId w:val="5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一站式报告服务：在设置专人的报告服务台通过人员的操作对就诊卡，病历本进行扫描，人工服务打印报告单。</w:t>
            </w:r>
          </w:p>
          <w:p w14:paraId="419752E4">
            <w:pPr>
              <w:numPr>
                <w:ilvl w:val="0"/>
                <w:numId w:val="50"/>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病房报告打印：在病区通过病房报告打印程序，完成病区报告打印，不需检验科再对病房的报告打印和分拣。</w:t>
            </w:r>
          </w:p>
        </w:tc>
        <w:tc>
          <w:tcPr>
            <w:tcW w:w="657" w:type="dxa"/>
            <w:vMerge w:val="continue"/>
            <w:vAlign w:val="center"/>
          </w:tcPr>
          <w:p w14:paraId="2AB77D0E">
            <w:pPr>
              <w:adjustRightInd w:val="0"/>
              <w:snapToGrid w:val="0"/>
              <w:spacing w:line="360" w:lineRule="exact"/>
              <w:jc w:val="center"/>
              <w:rPr>
                <w:color w:val="auto"/>
                <w:szCs w:val="21"/>
              </w:rPr>
            </w:pPr>
          </w:p>
        </w:tc>
      </w:tr>
      <w:tr w14:paraId="7778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3E84416B">
            <w:pPr>
              <w:spacing w:line="360" w:lineRule="exact"/>
              <w:ind w:firstLine="108"/>
              <w:rPr>
                <w:rFonts w:ascii="宋体" w:hAnsi="宋体"/>
                <w:color w:val="auto"/>
                <w:szCs w:val="21"/>
              </w:rPr>
            </w:pPr>
          </w:p>
        </w:tc>
        <w:tc>
          <w:tcPr>
            <w:tcW w:w="831" w:type="dxa"/>
            <w:vMerge w:val="continue"/>
            <w:vAlign w:val="center"/>
          </w:tcPr>
          <w:p w14:paraId="241BA6CC">
            <w:pPr>
              <w:spacing w:line="360" w:lineRule="exact"/>
              <w:jc w:val="left"/>
              <w:rPr>
                <w:rFonts w:ascii="宋体" w:hAnsi="宋体"/>
                <w:color w:val="auto"/>
                <w:szCs w:val="21"/>
              </w:rPr>
            </w:pPr>
          </w:p>
        </w:tc>
        <w:tc>
          <w:tcPr>
            <w:tcW w:w="7654" w:type="dxa"/>
          </w:tcPr>
          <w:p w14:paraId="73755997">
            <w:pPr>
              <w:spacing w:line="440" w:lineRule="exact"/>
              <w:rPr>
                <w:rFonts w:asciiTheme="majorEastAsia" w:hAnsiTheme="majorEastAsia" w:eastAsiaTheme="majorEastAsia"/>
                <w:b/>
                <w:color w:val="auto"/>
                <w:szCs w:val="21"/>
              </w:rPr>
            </w:pPr>
            <w:r>
              <w:rPr>
                <w:rFonts w:hint="eastAsia" w:asciiTheme="majorEastAsia" w:hAnsiTheme="majorEastAsia" w:eastAsiaTheme="majorEastAsia"/>
                <w:b/>
                <w:color w:val="auto"/>
                <w:szCs w:val="21"/>
              </w:rPr>
              <w:t>日志管理</w:t>
            </w:r>
          </w:p>
          <w:p w14:paraId="22334F89">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asciiTheme="majorEastAsia" w:hAnsiTheme="majorEastAsia" w:eastAsiaTheme="majorEastAsia"/>
                <w:color w:val="auto"/>
                <w:szCs w:val="21"/>
              </w:rPr>
              <w:tab/>
            </w:r>
            <w:r>
              <w:rPr>
                <w:rFonts w:hint="eastAsia" w:asciiTheme="majorEastAsia" w:hAnsiTheme="majorEastAsia" w:eastAsiaTheme="majorEastAsia"/>
                <w:color w:val="auto"/>
                <w:szCs w:val="21"/>
              </w:rPr>
              <w:t>系统</w:t>
            </w:r>
            <w:r>
              <w:rPr>
                <w:rFonts w:asciiTheme="majorEastAsia" w:hAnsiTheme="majorEastAsia" w:eastAsiaTheme="majorEastAsia"/>
                <w:color w:val="auto"/>
                <w:szCs w:val="21"/>
              </w:rPr>
              <w:t>日志管理</w:t>
            </w:r>
          </w:p>
          <w:p w14:paraId="010258B7">
            <w:pPr>
              <w:numPr>
                <w:ilvl w:val="0"/>
                <w:numId w:val="5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 xml:space="preserve">操作痕迹记录信息：根据病历号与医嘱号及条码号的关联，可实时与LIS等相关信息系统进行表的交换，同时LIS等信息系统对后续流程中产生的处置结果与节点信息，亦同样可实时与HIS等相关信息系统进行表的交换。 </w:t>
            </w:r>
          </w:p>
          <w:p w14:paraId="6B26197B">
            <w:pPr>
              <w:numPr>
                <w:ilvl w:val="0"/>
                <w:numId w:val="51"/>
              </w:num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检验单操作记录：</w:t>
            </w:r>
          </w:p>
          <w:p w14:paraId="686FCAB2">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检验单修改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更新</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删除等操作记录。</w:t>
            </w:r>
          </w:p>
          <w:p w14:paraId="3E22895E">
            <w:pPr>
              <w:spacing w:line="440" w:lineRule="exact"/>
              <w:ind w:firstLine="420" w:firstLineChars="200"/>
              <w:rPr>
                <w:rFonts w:asciiTheme="majorEastAsia" w:hAnsiTheme="majorEastAsia" w:eastAsiaTheme="majorEastAsia"/>
                <w:color w:val="auto"/>
                <w:szCs w:val="21"/>
              </w:rPr>
            </w:pPr>
            <w:r>
              <w:rPr>
                <w:rFonts w:asciiTheme="majorEastAsia" w:hAnsiTheme="majorEastAsia" w:eastAsiaTheme="majorEastAsia"/>
                <w:color w:val="auto"/>
                <w:szCs w:val="21"/>
              </w:rPr>
              <w:t>检验结果修改</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删除等操作记录。</w:t>
            </w:r>
          </w:p>
        </w:tc>
        <w:tc>
          <w:tcPr>
            <w:tcW w:w="657" w:type="dxa"/>
            <w:vMerge w:val="continue"/>
            <w:vAlign w:val="center"/>
          </w:tcPr>
          <w:p w14:paraId="1159F1F2">
            <w:pPr>
              <w:adjustRightInd w:val="0"/>
              <w:snapToGrid w:val="0"/>
              <w:spacing w:line="360" w:lineRule="exact"/>
              <w:jc w:val="center"/>
              <w:rPr>
                <w:color w:val="auto"/>
                <w:szCs w:val="21"/>
              </w:rPr>
            </w:pPr>
          </w:p>
        </w:tc>
      </w:tr>
      <w:tr w14:paraId="4865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29" w:type="dxa"/>
            <w:vMerge w:val="continue"/>
            <w:vAlign w:val="center"/>
          </w:tcPr>
          <w:p w14:paraId="0F6DA372">
            <w:pPr>
              <w:spacing w:line="360" w:lineRule="exact"/>
              <w:ind w:firstLine="108"/>
              <w:rPr>
                <w:rFonts w:ascii="宋体" w:hAnsi="宋体"/>
                <w:color w:val="auto"/>
                <w:szCs w:val="21"/>
              </w:rPr>
            </w:pPr>
          </w:p>
        </w:tc>
        <w:tc>
          <w:tcPr>
            <w:tcW w:w="831" w:type="dxa"/>
            <w:vMerge w:val="continue"/>
            <w:vAlign w:val="center"/>
          </w:tcPr>
          <w:p w14:paraId="1BFAD6B5">
            <w:pPr>
              <w:spacing w:line="360" w:lineRule="exact"/>
              <w:jc w:val="left"/>
              <w:rPr>
                <w:rFonts w:ascii="宋体" w:hAnsi="宋体"/>
                <w:color w:val="auto"/>
                <w:szCs w:val="21"/>
              </w:rPr>
            </w:pPr>
          </w:p>
        </w:tc>
        <w:tc>
          <w:tcPr>
            <w:tcW w:w="7654" w:type="dxa"/>
          </w:tcPr>
          <w:p w14:paraId="785EBB6A">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实现“标本流转监控工作站”，对于未到实验室的标本也可以查看其所处状态。</w:t>
            </w:r>
          </w:p>
          <w:p w14:paraId="3E2510A0">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实现实验室管理项，包括：交班日志、投诉（抱怨）处理、差错事故登记、临床联系记录、临床查房/会诊记录、员工意外伤害事件记录（职业暴露登记）、临床满意度调查、患者满意度调查。</w:t>
            </w:r>
          </w:p>
          <w:p w14:paraId="065A15DF">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对于超时标本，在相应科室设置弹窗提醒，直至其确认处理完。比如超时未送检的标本，设置弹窗提示护士站安排送检；超时未审核的标本，弹窗提示检验科审核该标本，直至其处理完。在病房医生的HIS系统中集成一个危急值跳出窗口，以便检验科审核危急值后能及时通知值班医生，防止检验科上报危急值后医护未及时记录，引起不良事件。</w:t>
            </w:r>
          </w:p>
          <w:p w14:paraId="6A7212EE">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报告单设置：报告单上应设置有标本状态栏，以提示该标本是否合格；报告单最下面有温馨提醒及说明，设置一个“建议与解释的位置”留</w:t>
            </w:r>
            <w:r>
              <w:rPr>
                <w:rFonts w:asciiTheme="majorEastAsia" w:hAnsiTheme="majorEastAsia" w:eastAsiaTheme="majorEastAsia"/>
                <w:color w:val="auto"/>
                <w:szCs w:val="21"/>
              </w:rPr>
              <w:t>200</w:t>
            </w:r>
            <w:r>
              <w:rPr>
                <w:rFonts w:hint="eastAsia" w:asciiTheme="majorEastAsia" w:hAnsiTheme="majorEastAsia" w:eastAsiaTheme="majorEastAsia"/>
                <w:color w:val="auto"/>
                <w:szCs w:val="21"/>
              </w:rPr>
              <w:t>个字以上的位置，以便检验科留言给医生及患者。设置电子签名。检验工作站中希望能看到临床医生的诊断信息，以便综合判断结果，审核结果。</w:t>
            </w:r>
          </w:p>
          <w:p w14:paraId="7588DD4B">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细菌及免疫组实现功能，比如出现细菌培养阳性及梅毒抗体检测阳性时分别需要增做药物敏感试验及甲苯胺红滴度试验时，系统自动发出临床医生和患者手机端提示补交费用的提示，并且生成二维码让其可以即时缴费，以便我们的检测结果尽快发出。</w:t>
            </w:r>
          </w:p>
          <w:p w14:paraId="0781A008">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权限设置，所有检测结果只要审核之后，没有经过解除审核的结果，都不允许系统或者个人随意覆盖或者修改结果。</w:t>
            </w:r>
          </w:p>
          <w:p w14:paraId="69AB051A">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质控系统中实现仪器间的结果比对功能。</w:t>
            </w:r>
          </w:p>
          <w:p w14:paraId="505AC5ED">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设置漏项提醒，比如条码中包含10个项目，只完成了8个项目，漏了2个项目，系统弹窗提示有两个项目漏做。</w:t>
            </w:r>
          </w:p>
          <w:p w14:paraId="332E2B67">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统计工作量功能中，增加按病种统计及按科室统计功能；细菌组血培养的统计，需要统计阳性率、阴性率、污染率；系统需要实现导出细菌室开展的全部数据。实现每次能查询多个项目结果的功能，并以EXCEL形式保存。能按时间段统计和抓取抗凝标本凝集率、血培养污染率、实验室内周转中位数等质控指标。</w:t>
            </w:r>
          </w:p>
          <w:p w14:paraId="6AA5DE88">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系统满足电子病历系统功能应用水平分级评价5级以上相关要求、系统满足互联互通标准化成熟度四级甲等以上标准相关要求、系统满足医院智慧服务分级评估3级以上相关要求。</w:t>
            </w:r>
          </w:p>
          <w:p w14:paraId="6D6A21A2">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系统免费与医院相关系统无缝对接，包含但不限于：集成平台、数据中心、his系统、pacs系统、病理系统、心电图系统、电子病历系统无缝对接等，具体以医院实际需求为准。</w:t>
            </w:r>
          </w:p>
          <w:p w14:paraId="7090CB25">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实现医院现有所有检验设备接入系统</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约300台设备左右</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维护期内免费对接医院新购检验设备15</w:t>
            </w:r>
            <w:r>
              <w:rPr>
                <w:rFonts w:asciiTheme="majorEastAsia" w:hAnsiTheme="majorEastAsia" w:eastAsiaTheme="majorEastAsia"/>
                <w:color w:val="auto"/>
                <w:szCs w:val="21"/>
              </w:rPr>
              <w:t>0</w:t>
            </w:r>
            <w:r>
              <w:rPr>
                <w:rFonts w:hint="eastAsia" w:asciiTheme="majorEastAsia" w:hAnsiTheme="majorEastAsia" w:eastAsiaTheme="majorEastAsia"/>
                <w:color w:val="auto"/>
                <w:szCs w:val="21"/>
              </w:rPr>
              <w:t>台，维护期内不额外收取费用，在本次采购范围内</w:t>
            </w:r>
            <w:r>
              <w:rPr>
                <w:rFonts w:asciiTheme="majorEastAsia" w:hAnsiTheme="majorEastAsia" w:eastAsiaTheme="majorEastAsia"/>
                <w:color w:val="auto"/>
                <w:szCs w:val="21"/>
              </w:rPr>
              <w:t>。</w:t>
            </w:r>
          </w:p>
          <w:p w14:paraId="656C0ABE">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提供本地化开发服务</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需求满足医院实际需要为准</w:t>
            </w:r>
            <w:r>
              <w:rPr>
                <w:rFonts w:asciiTheme="majorEastAsia" w:hAnsiTheme="majorEastAsia" w:eastAsiaTheme="majorEastAsia"/>
                <w:color w:val="auto"/>
                <w:szCs w:val="21"/>
              </w:rPr>
              <w:t>。</w:t>
            </w:r>
          </w:p>
          <w:p w14:paraId="1464CBF1">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提供从系统验收合格之日起软件系统原厂</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年的免费质保服务</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包括监听程序。</w:t>
            </w:r>
          </w:p>
          <w:p w14:paraId="65C7F5D9">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本项目所有软件、系统和平台必须安装在院内运行。不能运行在未经医院允许的第三方平台。</w:t>
            </w:r>
          </w:p>
          <w:p w14:paraId="61B3470E">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中标人承诺本次提供软件产品为公司最新产品，实施阶段如有新版本产生，需免费帮升级到最新版本。</w:t>
            </w:r>
          </w:p>
          <w:p w14:paraId="2BBA2719">
            <w:pPr>
              <w:numPr>
                <w:ilvl w:val="0"/>
                <w:numId w:val="52"/>
              </w:num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承诺软件产品没有侵权问题。如有，中标人承担所有法律责任。</w:t>
            </w:r>
          </w:p>
          <w:p w14:paraId="4A279BFD">
            <w:pPr>
              <w:numPr>
                <w:ilvl w:val="0"/>
                <w:numId w:val="52"/>
              </w:numPr>
              <w:spacing w:line="440" w:lineRule="exact"/>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系统有设备管理功能：记录科室所有设备相关信息，内容包括设备名称、厂家名称、维修工程师联系电话、购买时间、使用时间、维护和维修情况日志记录、购买价格等信息，能够导入说明书等相关资料电子版信息、如果需要不定期或定期检定的仪器检定日志记录和检定结果处理情况，弹出提醒栏，提醒对到期检定的设备进行校验。</w:t>
            </w:r>
          </w:p>
        </w:tc>
        <w:tc>
          <w:tcPr>
            <w:tcW w:w="657" w:type="dxa"/>
            <w:vAlign w:val="center"/>
          </w:tcPr>
          <w:p w14:paraId="24D46DFE">
            <w:pPr>
              <w:adjustRightInd w:val="0"/>
              <w:snapToGrid w:val="0"/>
              <w:spacing w:line="360" w:lineRule="exact"/>
              <w:jc w:val="center"/>
              <w:rPr>
                <w:color w:val="auto"/>
                <w:szCs w:val="21"/>
              </w:rPr>
            </w:pPr>
            <w:r>
              <w:rPr>
                <w:rFonts w:ascii="宋体" w:hAnsi="宋体"/>
                <w:color w:val="auto"/>
                <w:szCs w:val="21"/>
              </w:rPr>
              <w:t>1</w:t>
            </w:r>
            <w:r>
              <w:rPr>
                <w:rFonts w:hint="eastAsia" w:ascii="宋体" w:hAnsi="宋体"/>
                <w:color w:val="auto"/>
                <w:szCs w:val="21"/>
              </w:rPr>
              <w:t>套</w:t>
            </w:r>
          </w:p>
        </w:tc>
      </w:tr>
      <w:tr w14:paraId="79A9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871" w:type="dxa"/>
            <w:gridSpan w:val="4"/>
          </w:tcPr>
          <w:p w14:paraId="6BE0C34E">
            <w:pPr>
              <w:spacing w:line="360" w:lineRule="exact"/>
              <w:ind w:firstLine="422" w:firstLineChars="200"/>
              <w:jc w:val="left"/>
              <w:rPr>
                <w:rFonts w:ascii="宋体" w:hAnsi="宋体"/>
                <w:b/>
                <w:color w:val="auto"/>
                <w:szCs w:val="21"/>
              </w:rPr>
            </w:pPr>
            <w:r>
              <w:rPr>
                <w:rFonts w:hint="eastAsia" w:ascii="宋体" w:hAnsi="宋体"/>
                <w:b/>
                <w:color w:val="auto"/>
                <w:szCs w:val="21"/>
              </w:rPr>
              <w:t>备注：号参数为必备参数配置及要求，对这些必备参数配置及要求的任意一项不满足将导致竞标投标无效，不带号的一般技术参数负偏离超过3项（不含3项）将导致竞标投标无效；</w:t>
            </w:r>
          </w:p>
        </w:tc>
      </w:tr>
      <w:tr w14:paraId="49F9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9871" w:type="dxa"/>
            <w:gridSpan w:val="4"/>
          </w:tcPr>
          <w:p w14:paraId="1C674787">
            <w:pPr>
              <w:spacing w:line="440" w:lineRule="exact"/>
              <w:rPr>
                <w:rFonts w:ascii="宋体" w:hAnsi="宋体"/>
                <w:color w:val="auto"/>
                <w:szCs w:val="21"/>
              </w:rPr>
            </w:pPr>
            <w:r>
              <w:rPr>
                <w:rFonts w:hint="eastAsia" w:ascii="宋体" w:hAnsi="宋体"/>
                <w:color w:val="auto"/>
                <w:szCs w:val="21"/>
              </w:rPr>
              <w:t xml:space="preserve">售后服务及其他要求： </w:t>
            </w:r>
          </w:p>
          <w:p w14:paraId="7EC664D6">
            <w:pPr>
              <w:spacing w:line="440" w:lineRule="exact"/>
              <w:rPr>
                <w:rFonts w:ascii="宋体" w:hAnsi="宋体"/>
                <w:color w:val="auto"/>
                <w:szCs w:val="21"/>
              </w:rPr>
            </w:pPr>
            <w:r>
              <w:rPr>
                <w:rFonts w:hint="eastAsia" w:ascii="宋体" w:hAnsi="宋体"/>
                <w:color w:val="auto"/>
                <w:szCs w:val="21"/>
              </w:rPr>
              <w:t>1、系统维护期为</w:t>
            </w:r>
            <w:r>
              <w:rPr>
                <w:rFonts w:ascii="宋体" w:hAnsi="宋体"/>
                <w:color w:val="auto"/>
                <w:szCs w:val="21"/>
              </w:rPr>
              <w:t>2</w:t>
            </w:r>
            <w:r>
              <w:rPr>
                <w:rFonts w:hint="eastAsia" w:ascii="宋体" w:hAnsi="宋体"/>
                <w:color w:val="auto"/>
                <w:szCs w:val="21"/>
              </w:rPr>
              <w:t>年，起始时间从系统验收合格之日起计算；</w:t>
            </w:r>
          </w:p>
          <w:p w14:paraId="3A6782EF">
            <w:pPr>
              <w:spacing w:line="440" w:lineRule="exact"/>
              <w:rPr>
                <w:rFonts w:ascii="宋体" w:hAnsi="宋体"/>
                <w:color w:val="auto"/>
                <w:szCs w:val="21"/>
              </w:rPr>
            </w:pPr>
            <w:r>
              <w:rPr>
                <w:rFonts w:hint="eastAsia" w:ascii="宋体" w:hAnsi="宋体"/>
                <w:color w:val="auto"/>
                <w:szCs w:val="21"/>
              </w:rPr>
              <w:t>2、维护期内因信息系统本身缺陷造成各种故障由竞标投标人提供技术服务和维修；</w:t>
            </w:r>
          </w:p>
          <w:p w14:paraId="30F27AA2">
            <w:pPr>
              <w:spacing w:line="440" w:lineRule="exact"/>
              <w:outlineLvl w:val="0"/>
              <w:rPr>
                <w:rFonts w:ascii="宋体" w:hAnsi="宋体"/>
                <w:color w:val="auto"/>
                <w:szCs w:val="21"/>
              </w:rPr>
            </w:pPr>
            <w:r>
              <w:rPr>
                <w:rFonts w:hint="eastAsia" w:ascii="宋体" w:hAnsi="宋体"/>
                <w:color w:val="auto"/>
                <w:szCs w:val="21"/>
              </w:rPr>
              <w:t>3、系统试运行期内及质量保修期内竞标投标人应免费提供与第三方系统的接口开发服务；</w:t>
            </w:r>
          </w:p>
          <w:p w14:paraId="7B30ABBF">
            <w:pPr>
              <w:spacing w:line="440" w:lineRule="exact"/>
              <w:outlineLvl w:val="0"/>
              <w:rPr>
                <w:rFonts w:ascii="宋体" w:hAnsi="宋体"/>
                <w:color w:val="auto"/>
                <w:szCs w:val="21"/>
              </w:rPr>
            </w:pPr>
            <w:r>
              <w:rPr>
                <w:rFonts w:hint="eastAsia" w:ascii="宋体" w:hAnsi="宋体"/>
                <w:color w:val="auto"/>
                <w:szCs w:val="21"/>
              </w:rPr>
              <w:t>4、系统试运行期内及质量保修期内竞标投标人应免费提供系统软件升级服务；</w:t>
            </w:r>
          </w:p>
          <w:p w14:paraId="565AB8ED">
            <w:pPr>
              <w:spacing w:line="440" w:lineRule="exact"/>
              <w:rPr>
                <w:rFonts w:ascii="宋体" w:hAnsi="宋体"/>
                <w:color w:val="auto"/>
                <w:szCs w:val="21"/>
              </w:rPr>
            </w:pPr>
            <w:r>
              <w:rPr>
                <w:rFonts w:ascii="宋体" w:hAnsi="宋体"/>
                <w:color w:val="auto"/>
                <w:szCs w:val="21"/>
              </w:rPr>
              <w:t>5、维保期内竞标投标人应至少提供7*24小时的电话服务。一般故障，在1个小时内解决；若出现系统重大故障，必须3小时内到现场处理。要求最迟24小时内修复。重大故障指：系统无法正常使用、数据丢失等。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bl>
    <w:p w14:paraId="58AB914C">
      <w:pPr>
        <w:rPr>
          <w:color w:val="auto"/>
          <w:sz w:val="18"/>
          <w:szCs w:val="18"/>
        </w:rPr>
      </w:pPr>
      <w:r>
        <w:rPr>
          <w:color w:val="auto"/>
          <w:sz w:val="18"/>
          <w:szCs w:val="18"/>
        </w:rPr>
        <w:br w:type="page"/>
      </w:r>
    </w:p>
    <w:tbl>
      <w:tblPr>
        <w:tblStyle w:val="9"/>
        <w:tblW w:w="879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708"/>
        <w:gridCol w:w="728"/>
        <w:gridCol w:w="6010"/>
        <w:gridCol w:w="781"/>
      </w:tblGrid>
      <w:tr w14:paraId="38C1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568" w:type="dxa"/>
            <w:vAlign w:val="center"/>
          </w:tcPr>
          <w:p w14:paraId="163A6989">
            <w:pPr>
              <w:spacing w:line="240" w:lineRule="exact"/>
              <w:jc w:val="center"/>
              <w:rPr>
                <w:rFonts w:ascii="宋体" w:hAnsi="宋体"/>
                <w:color w:val="auto"/>
                <w:szCs w:val="21"/>
              </w:rPr>
            </w:pPr>
            <w:r>
              <w:rPr>
                <w:rFonts w:hint="eastAsia" w:ascii="宋体" w:hAnsi="宋体"/>
                <w:color w:val="auto"/>
                <w:szCs w:val="21"/>
              </w:rPr>
              <w:t>项目名称</w:t>
            </w:r>
          </w:p>
        </w:tc>
        <w:tc>
          <w:tcPr>
            <w:tcW w:w="708" w:type="dxa"/>
            <w:vAlign w:val="center"/>
          </w:tcPr>
          <w:p w14:paraId="42EAA0C3">
            <w:pPr>
              <w:spacing w:line="240" w:lineRule="exact"/>
              <w:rPr>
                <w:rFonts w:ascii="宋体" w:hAnsi="宋体"/>
                <w:color w:val="auto"/>
                <w:szCs w:val="21"/>
              </w:rPr>
            </w:pPr>
            <w:r>
              <w:rPr>
                <w:rFonts w:hint="eastAsia" w:ascii="宋体" w:hAnsi="宋体"/>
                <w:color w:val="auto"/>
                <w:szCs w:val="21"/>
              </w:rPr>
              <w:t>项号</w:t>
            </w:r>
          </w:p>
        </w:tc>
        <w:tc>
          <w:tcPr>
            <w:tcW w:w="728" w:type="dxa"/>
            <w:vAlign w:val="center"/>
          </w:tcPr>
          <w:p w14:paraId="3C9F7791">
            <w:pPr>
              <w:spacing w:line="320" w:lineRule="exact"/>
              <w:jc w:val="center"/>
              <w:rPr>
                <w:rFonts w:ascii="宋体" w:hAnsi="宋体"/>
                <w:color w:val="auto"/>
                <w:szCs w:val="21"/>
              </w:rPr>
            </w:pPr>
            <w:r>
              <w:rPr>
                <w:rFonts w:hint="eastAsia" w:ascii="宋体" w:hAnsi="宋体"/>
                <w:color w:val="auto"/>
                <w:szCs w:val="21"/>
              </w:rPr>
              <w:t>货物名称</w:t>
            </w:r>
          </w:p>
        </w:tc>
        <w:tc>
          <w:tcPr>
            <w:tcW w:w="6010" w:type="dxa"/>
            <w:vAlign w:val="center"/>
          </w:tcPr>
          <w:p w14:paraId="6F3072A0">
            <w:pPr>
              <w:spacing w:line="320" w:lineRule="exact"/>
              <w:ind w:firstLine="108"/>
              <w:jc w:val="center"/>
              <w:rPr>
                <w:rFonts w:ascii="宋体" w:hAnsi="宋体"/>
                <w:color w:val="auto"/>
                <w:szCs w:val="21"/>
              </w:rPr>
            </w:pPr>
            <w:r>
              <w:rPr>
                <w:rFonts w:hint="eastAsia" w:ascii="宋体" w:hAnsi="宋体"/>
                <w:color w:val="auto"/>
                <w:szCs w:val="21"/>
              </w:rPr>
              <w:t>技术参数及性能（配置）要求</w:t>
            </w:r>
          </w:p>
        </w:tc>
        <w:tc>
          <w:tcPr>
            <w:tcW w:w="781" w:type="dxa"/>
            <w:vAlign w:val="center"/>
          </w:tcPr>
          <w:p w14:paraId="7516144F">
            <w:pPr>
              <w:spacing w:line="320" w:lineRule="exact"/>
              <w:ind w:firstLine="108"/>
              <w:jc w:val="center"/>
              <w:rPr>
                <w:rFonts w:ascii="宋体" w:hAnsi="宋体"/>
                <w:color w:val="auto"/>
                <w:szCs w:val="21"/>
              </w:rPr>
            </w:pPr>
            <w:r>
              <w:rPr>
                <w:rFonts w:hint="eastAsia" w:ascii="宋体" w:hAnsi="宋体"/>
                <w:color w:val="auto"/>
                <w:szCs w:val="21"/>
              </w:rPr>
              <w:t>总数量</w:t>
            </w:r>
          </w:p>
        </w:tc>
      </w:tr>
      <w:tr w14:paraId="4DFE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restart"/>
            <w:vAlign w:val="center"/>
          </w:tcPr>
          <w:p w14:paraId="4B2C584B">
            <w:pPr>
              <w:spacing w:line="240" w:lineRule="exact"/>
              <w:ind w:firstLine="108"/>
              <w:jc w:val="center"/>
              <w:rPr>
                <w:rFonts w:ascii="宋体" w:hAnsi="宋体"/>
                <w:color w:val="auto"/>
                <w:szCs w:val="21"/>
              </w:rPr>
            </w:pPr>
            <w:r>
              <w:rPr>
                <w:rFonts w:hint="eastAsia" w:ascii="宋体" w:hAnsi="宋体"/>
                <w:color w:val="auto"/>
                <w:szCs w:val="21"/>
              </w:rPr>
              <w:t>4、医疗急诊医学临床信息系统</w:t>
            </w:r>
          </w:p>
        </w:tc>
        <w:tc>
          <w:tcPr>
            <w:tcW w:w="708" w:type="dxa"/>
            <w:vAlign w:val="center"/>
          </w:tcPr>
          <w:p w14:paraId="7E3E7309">
            <w:pPr>
              <w:spacing w:line="240" w:lineRule="exact"/>
              <w:ind w:firstLine="108"/>
              <w:jc w:val="center"/>
              <w:rPr>
                <w:rFonts w:ascii="宋体" w:hAnsi="宋体"/>
                <w:color w:val="auto"/>
                <w:szCs w:val="21"/>
              </w:rPr>
            </w:pPr>
            <w:r>
              <w:rPr>
                <w:rFonts w:ascii="宋体" w:hAnsi="宋体"/>
                <w:color w:val="auto"/>
                <w:szCs w:val="21"/>
              </w:rPr>
              <w:t>5</w:t>
            </w:r>
            <w:r>
              <w:rPr>
                <w:rFonts w:hint="eastAsia" w:ascii="宋体" w:hAnsi="宋体"/>
                <w:color w:val="auto"/>
                <w:szCs w:val="21"/>
              </w:rPr>
              <w:t>.1</w:t>
            </w:r>
          </w:p>
        </w:tc>
        <w:tc>
          <w:tcPr>
            <w:tcW w:w="728" w:type="dxa"/>
            <w:vAlign w:val="center"/>
          </w:tcPr>
          <w:p w14:paraId="609ECB09">
            <w:pPr>
              <w:jc w:val="center"/>
              <w:rPr>
                <w:rFonts w:ascii="宋体" w:hAnsi="宋体"/>
                <w:color w:val="auto"/>
                <w:szCs w:val="21"/>
              </w:rPr>
            </w:pPr>
            <w:r>
              <w:rPr>
                <w:rFonts w:hint="eastAsia" w:ascii="宋体" w:hAnsi="宋体"/>
                <w:color w:val="auto"/>
                <w:szCs w:val="21"/>
              </w:rPr>
              <w:t>急诊预检分诊工作站软件</w:t>
            </w:r>
          </w:p>
        </w:tc>
        <w:tc>
          <w:tcPr>
            <w:tcW w:w="6010" w:type="dxa"/>
            <w:vAlign w:val="center"/>
          </w:tcPr>
          <w:p w14:paraId="5970F424">
            <w:pPr>
              <w:numPr>
                <w:ilvl w:val="0"/>
                <w:numId w:val="53"/>
              </w:numPr>
              <w:spacing w:line="440" w:lineRule="exact"/>
              <w:ind w:left="420" w:firstLine="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系统符合卫健委的《急诊患者病情分级试点指导原则（2011 征求意见稿）》要求。</w:t>
            </w:r>
          </w:p>
          <w:p w14:paraId="252AD653">
            <w:pPr>
              <w:numPr>
                <w:ilvl w:val="0"/>
                <w:numId w:val="53"/>
              </w:numPr>
              <w:spacing w:line="440" w:lineRule="exact"/>
              <w:ind w:left="420" w:firstLine="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系统按照《医院急诊科规范化流程》（WS/T390-2012）执行病情分诊程序。</w:t>
            </w:r>
          </w:p>
          <w:p w14:paraId="7A2D1D04">
            <w:pPr>
              <w:numPr>
                <w:ilvl w:val="0"/>
                <w:numId w:val="53"/>
              </w:numPr>
              <w:spacing w:line="440" w:lineRule="exact"/>
              <w:ind w:left="420" w:firstLine="0"/>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系统符合《急诊预检分诊专家共识（2018年版）》标准。</w:t>
            </w:r>
          </w:p>
          <w:p w14:paraId="150DF3D7">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读卡器对接，实现预检分诊快速读取患者基本信息进行登记。常见就诊卡、医保卡、身份证、电子健康卡、扫描患者微信二维码（院内公众号）等多种方式进行选择。实现直接录入患者身份信息、发病时间、来院方式、主诉等内容。</w:t>
            </w:r>
          </w:p>
          <w:p w14:paraId="1A15177C">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实现直接录入患者基本信息、身份信息、来院方式、发病时间、主诉等内容。</w:t>
            </w:r>
          </w:p>
          <w:p w14:paraId="1FED456A">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实现与院内系统对接，自动获取患者挂号信息。</w:t>
            </w:r>
          </w:p>
          <w:p w14:paraId="75687EBB">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实现特殊人群登记与标识，如无名氏、群伤患者、120患者、老人、儿童、孕产妇等，建立特殊患者标识，方便患者信息追踪。</w:t>
            </w:r>
          </w:p>
          <w:p w14:paraId="37BE95C1">
            <w:pPr>
              <w:numPr>
                <w:ilvl w:val="0"/>
                <w:numId w:val="53"/>
              </w:numPr>
              <w:spacing w:line="440" w:lineRule="exact"/>
              <w:ind w:left="420" w:firstLine="0"/>
              <w:rPr>
                <w:rFonts w:asciiTheme="majorEastAsia" w:hAnsiTheme="majorEastAsia" w:eastAsiaTheme="majorEastAsia"/>
                <w:color w:val="auto"/>
                <w:szCs w:val="21"/>
              </w:rPr>
            </w:pPr>
            <w:bookmarkStart w:id="174" w:name="_Hlk28357387"/>
            <w:r>
              <w:rPr>
                <w:rFonts w:hint="eastAsia" w:asciiTheme="majorEastAsia" w:hAnsiTheme="majorEastAsia" w:eastAsiaTheme="majorEastAsia"/>
                <w:color w:val="auto"/>
                <w:szCs w:val="21"/>
              </w:rPr>
              <w:t>实现群伤患者管理与标识，快速建立群伤患者列表，实现批量分诊功能，批量分诊完成后可随时补充患者的详细分诊信息。</w:t>
            </w:r>
          </w:p>
          <w:bookmarkEnd w:id="174"/>
          <w:p w14:paraId="4632450A">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实现1</w:t>
            </w:r>
            <w:r>
              <w:rPr>
                <w:rFonts w:asciiTheme="majorEastAsia" w:hAnsiTheme="majorEastAsia" w:eastAsiaTheme="majorEastAsia"/>
                <w:color w:val="auto"/>
                <w:szCs w:val="21"/>
              </w:rPr>
              <w:t>20</w:t>
            </w:r>
            <w:r>
              <w:rPr>
                <w:rFonts w:hint="eastAsia" w:asciiTheme="majorEastAsia" w:hAnsiTheme="majorEastAsia" w:eastAsiaTheme="majorEastAsia"/>
                <w:color w:val="auto"/>
                <w:szCs w:val="21"/>
              </w:rPr>
              <w:t>患者登记，能够登记1</w:t>
            </w:r>
            <w:r>
              <w:rPr>
                <w:rFonts w:asciiTheme="majorEastAsia" w:hAnsiTheme="majorEastAsia" w:eastAsiaTheme="majorEastAsia"/>
                <w:color w:val="auto"/>
                <w:szCs w:val="21"/>
              </w:rPr>
              <w:t>20</w:t>
            </w:r>
            <w:r>
              <w:rPr>
                <w:rFonts w:hint="eastAsia" w:asciiTheme="majorEastAsia" w:hAnsiTheme="majorEastAsia" w:eastAsiaTheme="majorEastAsia"/>
                <w:color w:val="auto"/>
                <w:szCs w:val="21"/>
              </w:rPr>
              <w:t>车辆信息。</w:t>
            </w:r>
          </w:p>
          <w:p w14:paraId="7D971F69">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实现患者生命体征数据：血压、心率、SPO</w:t>
            </w:r>
            <w:r>
              <w:rPr>
                <w:rFonts w:hint="eastAsia" w:asciiTheme="majorEastAsia" w:hAnsiTheme="majorEastAsia" w:eastAsiaTheme="majorEastAsia"/>
                <w:color w:val="auto"/>
                <w:szCs w:val="21"/>
                <w:vertAlign w:val="subscript"/>
              </w:rPr>
              <w:t>2</w:t>
            </w:r>
            <w:r>
              <w:rPr>
                <w:rFonts w:hint="eastAsia" w:asciiTheme="majorEastAsia" w:hAnsiTheme="majorEastAsia" w:eastAsiaTheme="majorEastAsia"/>
                <w:color w:val="auto"/>
                <w:szCs w:val="21"/>
              </w:rPr>
              <w:t>、呼吸、体温的自动采集和直接录入。</w:t>
            </w:r>
          </w:p>
          <w:p w14:paraId="066A2FC7">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实现生命体征数据自动化分级。</w:t>
            </w:r>
          </w:p>
          <w:p w14:paraId="6299C6D2">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实现自定义生命体征分级推荐策略。</w:t>
            </w:r>
          </w:p>
          <w:p w14:paraId="3E958592">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实现患者评分管理，包括：MEWS评分、REMS评分、GCS评分、创伤评分、疼痛评分，实现通过评分进行自动化分级。</w:t>
            </w:r>
          </w:p>
          <w:p w14:paraId="0A6A4D9B">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患者评分实现已获取的数据自动代入，主观数据快速点选，自动计算分值。</w:t>
            </w:r>
          </w:p>
          <w:p w14:paraId="162586A1">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◎实现分诊知识库（症状分类、主诉、判定依据）进行自动化分级并关联患者分诊去向。</w:t>
            </w:r>
          </w:p>
          <w:p w14:paraId="1D8C64ED">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◎实现根据常见的急诊患者症状进行快捷分诊，实现自动化分级并关联患者分诊去向。</w:t>
            </w:r>
          </w:p>
          <w:p w14:paraId="1AA5A1CC">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实现人工更改自动化分级和去向信息，同时填写分级更改理由。</w:t>
            </w:r>
          </w:p>
          <w:p w14:paraId="62337997">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实现人工选择患者分诊级别和去向。</w:t>
            </w:r>
          </w:p>
          <w:p w14:paraId="0B4E5451">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实现分诊后打印腕带或分诊条，可以根据医院需要配置打印的信息。</w:t>
            </w:r>
          </w:p>
          <w:p w14:paraId="65E80A1A">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实现分诊各项指标统计</w:t>
            </w:r>
            <w:r>
              <w:rPr>
                <w:rFonts w:asciiTheme="majorEastAsia" w:hAnsiTheme="majorEastAsia" w:eastAsiaTheme="majorEastAsia"/>
                <w:color w:val="auto"/>
                <w:szCs w:val="21"/>
              </w:rPr>
              <w:t xml:space="preserve"> ，如</w:t>
            </w:r>
            <w:r>
              <w:rPr>
                <w:rFonts w:hint="eastAsia" w:asciiTheme="majorEastAsia" w:hAnsiTheme="majorEastAsia" w:eastAsiaTheme="majorEastAsia"/>
                <w:color w:val="auto"/>
                <w:szCs w:val="21"/>
              </w:rPr>
              <w:t>分诊人数、分</w:t>
            </w:r>
            <w:r>
              <w:rPr>
                <w:rFonts w:asciiTheme="majorEastAsia" w:hAnsiTheme="majorEastAsia" w:eastAsiaTheme="majorEastAsia"/>
                <w:color w:val="auto"/>
                <w:szCs w:val="21"/>
              </w:rPr>
              <w:t>级</w:t>
            </w:r>
            <w:r>
              <w:rPr>
                <w:rFonts w:hint="eastAsia" w:asciiTheme="majorEastAsia" w:hAnsiTheme="majorEastAsia" w:eastAsiaTheme="majorEastAsia"/>
                <w:color w:val="auto"/>
                <w:szCs w:val="21"/>
              </w:rPr>
              <w:t>患者</w:t>
            </w:r>
            <w:r>
              <w:rPr>
                <w:rFonts w:asciiTheme="majorEastAsia" w:hAnsiTheme="majorEastAsia" w:eastAsiaTheme="majorEastAsia"/>
                <w:color w:val="auto"/>
                <w:szCs w:val="21"/>
              </w:rPr>
              <w:t>比例、三无患者占比</w:t>
            </w:r>
            <w:r>
              <w:rPr>
                <w:rFonts w:hint="eastAsia" w:asciiTheme="majorEastAsia" w:hAnsiTheme="majorEastAsia" w:eastAsiaTheme="majorEastAsia"/>
                <w:color w:val="auto"/>
                <w:szCs w:val="21"/>
              </w:rPr>
              <w:t>等。</w:t>
            </w:r>
          </w:p>
          <w:p w14:paraId="7D20B46A">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实现统计报表，急诊日报表、分诊病人登记表、分诊工作量统计表自动生成，能够打印和导出。</w:t>
            </w:r>
          </w:p>
          <w:p w14:paraId="1F1A37FB">
            <w:pPr>
              <w:numPr>
                <w:ilvl w:val="0"/>
                <w:numId w:val="53"/>
              </w:numPr>
              <w:spacing w:line="440" w:lineRule="exact"/>
              <w:ind w:left="420" w:firstLine="0"/>
              <w:rPr>
                <w:rFonts w:asciiTheme="majorEastAsia" w:hAnsiTheme="majorEastAsia" w:eastAsiaTheme="majorEastAsia"/>
                <w:color w:val="auto"/>
                <w:szCs w:val="21"/>
              </w:rPr>
            </w:pPr>
            <w:r>
              <w:rPr>
                <w:rFonts w:asciiTheme="majorEastAsia" w:hAnsiTheme="majorEastAsia" w:eastAsiaTheme="majorEastAsia"/>
                <w:color w:val="auto"/>
                <w:szCs w:val="21"/>
              </w:rPr>
              <w:t>急诊</w:t>
            </w:r>
            <w:r>
              <w:rPr>
                <w:rFonts w:hint="eastAsia" w:asciiTheme="majorEastAsia" w:hAnsiTheme="majorEastAsia" w:eastAsiaTheme="majorEastAsia"/>
                <w:color w:val="auto"/>
                <w:szCs w:val="21"/>
              </w:rPr>
              <w:t>分诊</w:t>
            </w:r>
            <w:r>
              <w:rPr>
                <w:rFonts w:asciiTheme="majorEastAsia" w:hAnsiTheme="majorEastAsia" w:eastAsiaTheme="majorEastAsia"/>
                <w:color w:val="auto"/>
                <w:szCs w:val="21"/>
              </w:rPr>
              <w:t>常用统计功能</w:t>
            </w:r>
            <w:r>
              <w:rPr>
                <w:rFonts w:hint="eastAsia" w:asciiTheme="majorEastAsia" w:hAnsiTheme="majorEastAsia" w:eastAsiaTheme="majorEastAsia"/>
                <w:color w:val="auto"/>
                <w:szCs w:val="21"/>
              </w:rPr>
              <w:t>，可以统计的指标有：分诊患者性别比例分布、预检分诊分级分布、分诊患者评分使用情况统计、分诊患者分诊去向统计、分诊患者年龄分布统计、分诊准确率统计等指标。</w:t>
            </w:r>
          </w:p>
          <w:p w14:paraId="587FB3BB">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实现预留120院前系统集成接口，方便实现院前院内无缝衔接。</w:t>
            </w:r>
          </w:p>
          <w:p w14:paraId="05783B12">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实现分诊记录绿色通道患者发病时间。</w:t>
            </w:r>
          </w:p>
          <w:p w14:paraId="4D5AC6A1">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◎实现已分诊的患者进行群伤标识关联。</w:t>
            </w:r>
          </w:p>
          <w:p w14:paraId="40B5C134">
            <w:pPr>
              <w:numPr>
                <w:ilvl w:val="0"/>
                <w:numId w:val="53"/>
              </w:numPr>
              <w:spacing w:line="440" w:lineRule="exact"/>
              <w:ind w:left="420" w:firstLine="0"/>
              <w:rPr>
                <w:rFonts w:asciiTheme="majorEastAsia" w:hAnsiTheme="majorEastAsia" w:eastAsiaTheme="majorEastAsia"/>
                <w:color w:val="auto"/>
                <w:szCs w:val="21"/>
              </w:rPr>
            </w:pPr>
            <w:r>
              <w:rPr>
                <w:rFonts w:hint="eastAsia" w:asciiTheme="majorEastAsia" w:hAnsiTheme="majorEastAsia" w:eastAsiaTheme="majorEastAsia"/>
                <w:color w:val="auto"/>
                <w:szCs w:val="21"/>
              </w:rPr>
              <w:t>分诊患者列表实现导出患者信息。</w:t>
            </w:r>
          </w:p>
        </w:tc>
        <w:tc>
          <w:tcPr>
            <w:tcW w:w="781" w:type="dxa"/>
            <w:vAlign w:val="center"/>
          </w:tcPr>
          <w:p w14:paraId="15101839">
            <w:pPr>
              <w:jc w:val="center"/>
              <w:rPr>
                <w:rFonts w:ascii="宋体" w:hAnsi="宋体"/>
                <w:color w:val="auto"/>
                <w:szCs w:val="21"/>
              </w:rPr>
            </w:pPr>
            <w:r>
              <w:rPr>
                <w:rFonts w:hint="eastAsia" w:ascii="宋体" w:hAnsi="宋体"/>
                <w:color w:val="auto"/>
                <w:szCs w:val="21"/>
              </w:rPr>
              <w:t>1套</w:t>
            </w:r>
          </w:p>
        </w:tc>
      </w:tr>
      <w:tr w14:paraId="357D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continue"/>
            <w:vAlign w:val="center"/>
          </w:tcPr>
          <w:p w14:paraId="4695A4B4">
            <w:pPr>
              <w:spacing w:line="240" w:lineRule="exact"/>
              <w:ind w:firstLine="108"/>
              <w:rPr>
                <w:rFonts w:ascii="宋体" w:hAnsi="宋体"/>
                <w:color w:val="auto"/>
                <w:szCs w:val="21"/>
              </w:rPr>
            </w:pPr>
          </w:p>
        </w:tc>
        <w:tc>
          <w:tcPr>
            <w:tcW w:w="708" w:type="dxa"/>
            <w:vAlign w:val="center"/>
          </w:tcPr>
          <w:p w14:paraId="01D20E40">
            <w:pPr>
              <w:spacing w:line="240" w:lineRule="exact"/>
              <w:ind w:firstLine="108"/>
              <w:jc w:val="center"/>
              <w:rPr>
                <w:rFonts w:ascii="宋体" w:hAnsi="宋体"/>
                <w:color w:val="auto"/>
                <w:szCs w:val="21"/>
              </w:rPr>
            </w:pPr>
            <w:r>
              <w:rPr>
                <w:rFonts w:ascii="宋体" w:hAnsi="宋体"/>
                <w:color w:val="auto"/>
                <w:szCs w:val="21"/>
              </w:rPr>
              <w:t>5</w:t>
            </w:r>
            <w:r>
              <w:rPr>
                <w:rFonts w:hint="eastAsia" w:ascii="宋体" w:hAnsi="宋体"/>
                <w:color w:val="auto"/>
                <w:szCs w:val="21"/>
              </w:rPr>
              <w:t>.2</w:t>
            </w:r>
          </w:p>
        </w:tc>
        <w:tc>
          <w:tcPr>
            <w:tcW w:w="728" w:type="dxa"/>
            <w:vAlign w:val="center"/>
          </w:tcPr>
          <w:p w14:paraId="108E9AAF">
            <w:pPr>
              <w:jc w:val="center"/>
              <w:rPr>
                <w:rFonts w:ascii="宋体" w:hAnsi="宋体"/>
                <w:color w:val="auto"/>
                <w:szCs w:val="21"/>
              </w:rPr>
            </w:pPr>
            <w:r>
              <w:rPr>
                <w:rFonts w:hint="eastAsia" w:ascii="宋体" w:hAnsi="宋体" w:cs="宋体"/>
                <w:color w:val="auto"/>
                <w:szCs w:val="21"/>
              </w:rPr>
              <w:t>患者管理工作站软件</w:t>
            </w:r>
          </w:p>
        </w:tc>
        <w:tc>
          <w:tcPr>
            <w:tcW w:w="6010" w:type="dxa"/>
            <w:vAlign w:val="center"/>
          </w:tcPr>
          <w:p w14:paraId="17CA1A04">
            <w:pPr>
              <w:numPr>
                <w:ilvl w:val="0"/>
                <w:numId w:val="54"/>
              </w:numPr>
              <w:spacing w:line="440" w:lineRule="exact"/>
              <w:ind w:left="452" w:hanging="32"/>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实现医生按照分诊去向科室区域自动筛选就诊患者。实现按照区域区分展示患者列表。</w:t>
            </w:r>
          </w:p>
          <w:p w14:paraId="21960C49">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实现右键快捷键操作，编辑患者基本信息，打印腕带，打印床卡，患者出科，转区。</w:t>
            </w:r>
          </w:p>
          <w:p w14:paraId="38C5CDC2">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实现特殊图例对患者进行标记，未入科，医嘱未执行，特殊关注患者，已挂号。</w:t>
            </w:r>
          </w:p>
          <w:p w14:paraId="1122BEB5">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实现显示当前系统硬件网络参数，IP地址，内存，磁盘，CPU使用率，可用物理内存，MAC地址，CPU信息，操作系统版本，磁盘使用率。</w:t>
            </w:r>
          </w:p>
          <w:p w14:paraId="63582743">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患者展示，实现床卡模式和患者列表两种展示方式。</w:t>
            </w:r>
          </w:p>
          <w:p w14:paraId="33DCAEBD">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患者概览实现录入诊断功能，过敏信息，查看生命体征，查看分诊评分，查看患者流转记录，实现查看修改完善患者基本信息。实现分诊级别调整；</w:t>
            </w:r>
          </w:p>
          <w:p w14:paraId="503FC777">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实现展示患者绿道标识。</w:t>
            </w:r>
          </w:p>
          <w:p w14:paraId="32E74C6D">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患者列表实现按照区域，按照就诊状态（已诊，待诊）按照姓名，床号，患者ID进行快速检索定位查找。</w:t>
            </w:r>
          </w:p>
          <w:p w14:paraId="1ABC08B7">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实现患者结束就诊，患者转区，患者出科操作。</w:t>
            </w:r>
          </w:p>
          <w:p w14:paraId="33564E2B">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实现患者评分管理，医生和护理人员可录入疼痛评分，M</w:t>
            </w:r>
            <w:r>
              <w:rPr>
                <w:rFonts w:cs="宋体" w:asciiTheme="majorEastAsia" w:hAnsiTheme="majorEastAsia" w:eastAsiaTheme="majorEastAsia"/>
                <w:color w:val="auto"/>
                <w:szCs w:val="21"/>
              </w:rPr>
              <w:t>EWS</w:t>
            </w:r>
            <w:r>
              <w:rPr>
                <w:rFonts w:hint="eastAsia" w:cs="宋体" w:asciiTheme="majorEastAsia" w:hAnsiTheme="majorEastAsia" w:eastAsiaTheme="majorEastAsia"/>
                <w:color w:val="auto"/>
                <w:szCs w:val="21"/>
              </w:rPr>
              <w:t>评分，GCS评分（儿童/成人）。</w:t>
            </w:r>
          </w:p>
          <w:p w14:paraId="7B3B70E6">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实现评分自动生成趋势图，方便查看。</w:t>
            </w:r>
          </w:p>
          <w:p w14:paraId="1167A28F">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实现患者召回，通过查询历史患者信息，对患者进行出科召回操作。</w:t>
            </w:r>
          </w:p>
          <w:p w14:paraId="58834264">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w:t>
            </w:r>
            <w:r>
              <w:rPr>
                <w:rFonts w:cs="宋体" w:asciiTheme="majorEastAsia" w:hAnsiTheme="majorEastAsia" w:eastAsiaTheme="majorEastAsia"/>
                <w:color w:val="auto"/>
                <w:szCs w:val="21"/>
              </w:rPr>
              <w:t>时间轴展示患者分诊、入科、检验检查开立、会诊申请、转区等关键医疗行为</w:t>
            </w:r>
            <w:r>
              <w:rPr>
                <w:rFonts w:hint="eastAsia" w:cs="宋体" w:asciiTheme="majorEastAsia" w:hAnsiTheme="majorEastAsia" w:eastAsiaTheme="majorEastAsia"/>
                <w:color w:val="auto"/>
                <w:szCs w:val="21"/>
              </w:rPr>
              <w:t>节点信息。</w:t>
            </w:r>
          </w:p>
          <w:p w14:paraId="051A10C7">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实现一键操作患者的转区和出科，自动记录流转信息。</w:t>
            </w:r>
          </w:p>
          <w:p w14:paraId="0118CC2D">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实现用户登录密码复杂度设置，实现长时间用户不操作界面自动锁定。</w:t>
            </w:r>
          </w:p>
          <w:p w14:paraId="67A49838">
            <w:pPr>
              <w:numPr>
                <w:ilvl w:val="0"/>
                <w:numId w:val="54"/>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能实现急诊绿色通道管理、脑卒中、胸痛、创伤等患者管理。</w:t>
            </w:r>
          </w:p>
        </w:tc>
        <w:tc>
          <w:tcPr>
            <w:tcW w:w="781" w:type="dxa"/>
            <w:vAlign w:val="center"/>
          </w:tcPr>
          <w:p w14:paraId="09E0A54D">
            <w:pPr>
              <w:jc w:val="center"/>
              <w:rPr>
                <w:rFonts w:ascii="宋体" w:hAnsi="宋体"/>
                <w:color w:val="auto"/>
                <w:szCs w:val="21"/>
              </w:rPr>
            </w:pPr>
            <w:r>
              <w:rPr>
                <w:rFonts w:hint="eastAsia" w:ascii="宋体" w:hAnsi="宋体"/>
                <w:color w:val="auto"/>
                <w:szCs w:val="21"/>
              </w:rPr>
              <w:t>1套</w:t>
            </w:r>
          </w:p>
        </w:tc>
      </w:tr>
      <w:tr w14:paraId="64AD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continue"/>
            <w:vAlign w:val="center"/>
          </w:tcPr>
          <w:p w14:paraId="349C3C7A">
            <w:pPr>
              <w:spacing w:line="240" w:lineRule="exact"/>
              <w:ind w:firstLine="108"/>
              <w:rPr>
                <w:rFonts w:ascii="宋体" w:hAnsi="宋体"/>
                <w:color w:val="auto"/>
                <w:szCs w:val="21"/>
              </w:rPr>
            </w:pPr>
          </w:p>
        </w:tc>
        <w:tc>
          <w:tcPr>
            <w:tcW w:w="708" w:type="dxa"/>
            <w:vAlign w:val="center"/>
          </w:tcPr>
          <w:p w14:paraId="7AC50811">
            <w:pPr>
              <w:spacing w:line="240" w:lineRule="exact"/>
              <w:ind w:firstLine="108"/>
              <w:jc w:val="center"/>
              <w:rPr>
                <w:rFonts w:ascii="宋体" w:hAnsi="宋体"/>
                <w:color w:val="auto"/>
                <w:szCs w:val="21"/>
              </w:rPr>
            </w:pPr>
            <w:r>
              <w:rPr>
                <w:rFonts w:ascii="宋体" w:hAnsi="宋体"/>
                <w:color w:val="auto"/>
                <w:szCs w:val="21"/>
              </w:rPr>
              <w:t>5</w:t>
            </w:r>
            <w:r>
              <w:rPr>
                <w:rFonts w:hint="eastAsia" w:ascii="宋体" w:hAnsi="宋体"/>
                <w:color w:val="auto"/>
                <w:szCs w:val="21"/>
              </w:rPr>
              <w:t>.3</w:t>
            </w:r>
          </w:p>
        </w:tc>
        <w:tc>
          <w:tcPr>
            <w:tcW w:w="728" w:type="dxa"/>
            <w:vAlign w:val="center"/>
          </w:tcPr>
          <w:p w14:paraId="2D3712AA">
            <w:pPr>
              <w:jc w:val="center"/>
              <w:rPr>
                <w:rFonts w:ascii="宋体" w:hAnsi="宋体"/>
                <w:color w:val="auto"/>
                <w:szCs w:val="21"/>
              </w:rPr>
            </w:pPr>
            <w:r>
              <w:rPr>
                <w:rFonts w:hint="eastAsia" w:ascii="宋体" w:hAnsi="宋体" w:cs="宋体"/>
                <w:color w:val="auto"/>
                <w:szCs w:val="21"/>
              </w:rPr>
              <w:t>急诊护理工作站软件（抢救区）</w:t>
            </w:r>
          </w:p>
        </w:tc>
        <w:tc>
          <w:tcPr>
            <w:tcW w:w="6010" w:type="dxa"/>
            <w:vAlign w:val="center"/>
          </w:tcPr>
          <w:p w14:paraId="2016E7BB">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提供列表、床卡两种模式展示在科患者信息，展示信息可配置。 </w:t>
            </w:r>
          </w:p>
          <w:p w14:paraId="68148990">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患者床位管理：提供入出科、转床功能。</w:t>
            </w:r>
          </w:p>
          <w:p w14:paraId="650EB059">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实现患者入科，能够进行床位分配及相关信息录入。</w:t>
            </w:r>
          </w:p>
          <w:p w14:paraId="1B646432">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患者列表实现按区域、距挂号时间过滤患者信息。</w:t>
            </w:r>
          </w:p>
          <w:p w14:paraId="46651230">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患者列表实现根据患者ID、姓名、床号精准搜索。</w:t>
            </w:r>
          </w:p>
          <w:p w14:paraId="7AA3338C">
            <w:pPr>
              <w:numPr>
                <w:ilvl w:val="0"/>
                <w:numId w:val="55"/>
              </w:numPr>
              <w:spacing w:line="440" w:lineRule="exact"/>
              <w:ind w:left="0" w:firstLine="420" w:firstLineChars="20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患者列表实现标记重点关注的患者，通过图标的颜色变化提醒用户关注的患者，点击图标后，能够编辑或显示重点关注的内容。</w:t>
            </w:r>
          </w:p>
          <w:p w14:paraId="6640D0D8">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患者列表实现提示患者的未执行医嘱内容。</w:t>
            </w:r>
          </w:p>
          <w:p w14:paraId="33313D39">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实现医嘱自动转抄，系统记录护士对医嘱的核对、执行。</w:t>
            </w:r>
          </w:p>
          <w:p w14:paraId="0286AAA8">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实现将医嘱自动根据频次、时间拆分，护士可根据排班班次信息筛选医嘱，并计划执行。</w:t>
            </w:r>
          </w:p>
          <w:p w14:paraId="07910758">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实现新医嘱提醒，患者列表图标闪烁。</w:t>
            </w:r>
          </w:p>
          <w:p w14:paraId="352901BB">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实现快速录入观察项/出入量/导管信息。</w:t>
            </w:r>
          </w:p>
          <w:p w14:paraId="291469B7">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护理文书实现快速记录模板，实现动态结构化病情录入，在关键词上用点选的方式，快速录入护理文书，用户可以维护模板内容，缩减护士书写护理文书的时间，规范医疗文书。</w:t>
            </w:r>
          </w:p>
          <w:p w14:paraId="41B21BB3">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实现已获取的数据自动代入特护单，实现特护单的放大和缩小、翻页、打印预览和打印。</w:t>
            </w:r>
          </w:p>
          <w:p w14:paraId="5B133894">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 xml:space="preserve">实现患者出入量统计：根据医嘱执行情况帮助计算补液量，实现手动修改换算用药剂量；提供患者出入量的记录，帮助统计一段时间内的出入总量和平衡量。 </w:t>
            </w:r>
          </w:p>
          <w:p w14:paraId="275C5AE8">
            <w:pPr>
              <w:numPr>
                <w:ilvl w:val="0"/>
                <w:numId w:val="55"/>
              </w:numPr>
              <w:spacing w:line="440" w:lineRule="exact"/>
              <w:ind w:left="420" w:firstLine="0"/>
              <w:rPr>
                <w:rFonts w:cs="宋体" w:asciiTheme="majorEastAsia" w:hAnsiTheme="majorEastAsia" w:eastAsiaTheme="majorEastAsia"/>
                <w:color w:val="auto"/>
                <w:szCs w:val="21"/>
              </w:rPr>
            </w:pPr>
            <w:bookmarkStart w:id="175" w:name="_Hlk26974210"/>
            <w:r>
              <w:rPr>
                <w:rFonts w:hint="eastAsia" w:cs="宋体" w:asciiTheme="majorEastAsia" w:hAnsiTheme="majorEastAsia" w:eastAsiaTheme="majorEastAsia"/>
                <w:color w:val="auto"/>
                <w:szCs w:val="21"/>
              </w:rPr>
              <w:t>实现患者导管记录：提供插管时间、重置及拔管时间，记录导管的类型、规格、引流液的颜色、性质及量，穿刺部位的皮肤情况。</w:t>
            </w:r>
            <w:bookmarkEnd w:id="175"/>
          </w:p>
          <w:p w14:paraId="3EB10E56">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实现患者观察项记录：自动汇总床边设备能够采集到的生命体征数据。</w:t>
            </w:r>
          </w:p>
          <w:p w14:paraId="63C22340">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实现编辑及打印护理评估单。</w:t>
            </w:r>
          </w:p>
          <w:p w14:paraId="26C5FBFF">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实现皮试医嘱执行及皮试结果录入，实现与电子医嘱系统对接，能够将皮试结果反馈给医生。</w:t>
            </w:r>
          </w:p>
          <w:p w14:paraId="6412BCB6">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医嘱执行内容实现颜色对医嘱执行状态进行区分，方便展示医嘱各个执行状态。</w:t>
            </w:r>
          </w:p>
          <w:p w14:paraId="2FD367AD">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实现打印输液贴。</w:t>
            </w:r>
          </w:p>
          <w:p w14:paraId="381F2C45">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实现打印腕带。</w:t>
            </w:r>
          </w:p>
          <w:p w14:paraId="685C7874">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实现打印床头卡，巡视卡。</w:t>
            </w:r>
          </w:p>
          <w:p w14:paraId="256D58BC">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实现批量核对医嘱，批量执行医嘱。</w:t>
            </w:r>
          </w:p>
          <w:p w14:paraId="63239DD5">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实现体温单。</w:t>
            </w:r>
          </w:p>
          <w:p w14:paraId="3FDE5943">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实现书写特殊护理记录单。</w:t>
            </w:r>
          </w:p>
          <w:p w14:paraId="3BA66E99">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实现书写一般护理记录单。</w:t>
            </w:r>
          </w:p>
          <w:p w14:paraId="30E21CFA">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实现抢救/留观护理记录单模板根据患者流转切换，完成精细化记录。</w:t>
            </w:r>
          </w:p>
          <w:p w14:paraId="7774AC09">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实现定制化特护单模板。</w:t>
            </w:r>
          </w:p>
          <w:p w14:paraId="4B6283BE">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实现护理评分。</w:t>
            </w:r>
          </w:p>
          <w:p w14:paraId="5BCD019B">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实现医嘱执行药品备用量设置。实现液体医嘱分多次执行。</w:t>
            </w:r>
          </w:p>
          <w:p w14:paraId="56398633">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实现病情记录个人模板/公共模板维护，快速完成病情记录。</w:t>
            </w:r>
          </w:p>
          <w:p w14:paraId="6D594077">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实现医嘱执行分类显示，按照医嘱类型进行分类，如：药品，检查，检验，嘱托等医嘱类型。</w:t>
            </w:r>
          </w:p>
          <w:p w14:paraId="2B499D3F">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特护单实现按照班次自动汇总出入量。</w:t>
            </w:r>
          </w:p>
          <w:p w14:paraId="3D80900E">
            <w:pPr>
              <w:numPr>
                <w:ilvl w:val="0"/>
                <w:numId w:val="55"/>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特护单实现自动汇总医嘱执行药品的出入量。</w:t>
            </w:r>
          </w:p>
          <w:p w14:paraId="4C7313E7">
            <w:pPr>
              <w:numPr>
                <w:ilvl w:val="0"/>
                <w:numId w:val="55"/>
              </w:numPr>
              <w:spacing w:line="440" w:lineRule="exact"/>
              <w:ind w:left="0" w:firstLine="420" w:firstLineChars="200"/>
              <w:outlineLvl w:val="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特护单书写病情记录实现插入检查，检验结果。</w:t>
            </w:r>
          </w:p>
        </w:tc>
        <w:tc>
          <w:tcPr>
            <w:tcW w:w="781" w:type="dxa"/>
            <w:vAlign w:val="center"/>
          </w:tcPr>
          <w:p w14:paraId="0CE2ACCB">
            <w:pPr>
              <w:jc w:val="center"/>
              <w:rPr>
                <w:rFonts w:ascii="宋体" w:hAnsi="宋体"/>
                <w:color w:val="auto"/>
                <w:szCs w:val="21"/>
              </w:rPr>
            </w:pPr>
            <w:r>
              <w:rPr>
                <w:rFonts w:hint="eastAsia" w:ascii="宋体" w:hAnsi="宋体"/>
                <w:color w:val="auto"/>
                <w:szCs w:val="21"/>
              </w:rPr>
              <w:t>1套</w:t>
            </w:r>
          </w:p>
        </w:tc>
      </w:tr>
      <w:tr w14:paraId="62F6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continue"/>
            <w:vAlign w:val="center"/>
          </w:tcPr>
          <w:p w14:paraId="52A6C392">
            <w:pPr>
              <w:spacing w:line="240" w:lineRule="exact"/>
              <w:ind w:firstLine="108"/>
              <w:rPr>
                <w:rFonts w:ascii="宋体" w:hAnsi="宋体"/>
                <w:color w:val="auto"/>
                <w:szCs w:val="21"/>
              </w:rPr>
            </w:pPr>
          </w:p>
        </w:tc>
        <w:tc>
          <w:tcPr>
            <w:tcW w:w="708" w:type="dxa"/>
            <w:vAlign w:val="center"/>
          </w:tcPr>
          <w:p w14:paraId="43EE27A0">
            <w:pPr>
              <w:spacing w:line="240" w:lineRule="exact"/>
              <w:ind w:firstLine="108"/>
              <w:rPr>
                <w:rFonts w:ascii="宋体" w:hAnsi="宋体"/>
                <w:color w:val="auto"/>
                <w:szCs w:val="21"/>
              </w:rPr>
            </w:pPr>
            <w:r>
              <w:rPr>
                <w:rFonts w:ascii="宋体" w:hAnsi="宋体"/>
                <w:color w:val="auto"/>
                <w:szCs w:val="21"/>
              </w:rPr>
              <w:t>5</w:t>
            </w:r>
            <w:r>
              <w:rPr>
                <w:rFonts w:hint="eastAsia" w:ascii="宋体" w:hAnsi="宋体"/>
                <w:color w:val="auto"/>
                <w:szCs w:val="21"/>
              </w:rPr>
              <w:t>.4</w:t>
            </w:r>
          </w:p>
        </w:tc>
        <w:tc>
          <w:tcPr>
            <w:tcW w:w="728" w:type="dxa"/>
            <w:vAlign w:val="center"/>
          </w:tcPr>
          <w:p w14:paraId="0B33C0F8">
            <w:pPr>
              <w:jc w:val="left"/>
              <w:rPr>
                <w:rFonts w:ascii="宋体" w:hAnsi="宋体"/>
                <w:color w:val="auto"/>
                <w:szCs w:val="21"/>
              </w:rPr>
            </w:pPr>
            <w:r>
              <w:rPr>
                <w:rFonts w:hint="eastAsia" w:ascii="宋体" w:hAnsi="宋体" w:cs="宋体"/>
                <w:color w:val="auto"/>
                <w:szCs w:val="21"/>
              </w:rPr>
              <w:t>急诊质控工作站软件</w:t>
            </w:r>
          </w:p>
        </w:tc>
        <w:tc>
          <w:tcPr>
            <w:tcW w:w="6010" w:type="dxa"/>
            <w:vAlign w:val="center"/>
          </w:tcPr>
          <w:p w14:paraId="28F879D0">
            <w:pPr>
              <w:numPr>
                <w:ilvl w:val="0"/>
                <w:numId w:val="56"/>
              </w:numPr>
              <w:spacing w:line="440" w:lineRule="exact"/>
              <w:ind w:left="420" w:firstLine="0"/>
              <w:rPr>
                <w:rFonts w:cs="宋体" w:asciiTheme="majorEastAsia" w:hAnsiTheme="majorEastAsia" w:eastAsiaTheme="majorEastAsia"/>
                <w:color w:val="auto"/>
                <w:szCs w:val="21"/>
              </w:rPr>
            </w:pPr>
            <w:bookmarkStart w:id="176" w:name="_Hlk90469590"/>
            <w:r>
              <w:rPr>
                <w:rFonts w:hint="eastAsia" w:cs="宋体" w:asciiTheme="majorEastAsia" w:hAnsiTheme="majorEastAsia" w:eastAsiaTheme="majorEastAsia"/>
                <w:color w:val="auto"/>
                <w:szCs w:val="21"/>
              </w:rPr>
              <w:t>急诊科管理驾驶舱，一个界面直观呈现：急诊科就诊人次数、挂号人次数、累计死亡病例数、不同病情分级的患者2</w:t>
            </w:r>
            <w:r>
              <w:rPr>
                <w:rFonts w:cs="宋体" w:asciiTheme="majorEastAsia" w:hAnsiTheme="majorEastAsia" w:eastAsiaTheme="majorEastAsia"/>
                <w:color w:val="auto"/>
                <w:szCs w:val="21"/>
              </w:rPr>
              <w:t>4</w:t>
            </w:r>
            <w:r>
              <w:rPr>
                <w:rFonts w:hint="eastAsia" w:cs="宋体" w:asciiTheme="majorEastAsia" w:hAnsiTheme="majorEastAsia" w:eastAsiaTheme="majorEastAsia"/>
                <w:color w:val="auto"/>
                <w:szCs w:val="21"/>
              </w:rPr>
              <w:t>小时就诊时间分布、年急诊患者3</w:t>
            </w:r>
            <w:r>
              <w:rPr>
                <w:rFonts w:cs="宋体" w:asciiTheme="majorEastAsia" w:hAnsiTheme="majorEastAsia" w:eastAsiaTheme="majorEastAsia"/>
                <w:color w:val="auto"/>
                <w:szCs w:val="21"/>
              </w:rPr>
              <w:t>65</w:t>
            </w:r>
            <w:r>
              <w:rPr>
                <w:rFonts w:hint="eastAsia" w:cs="宋体" w:asciiTheme="majorEastAsia" w:hAnsiTheme="majorEastAsia" w:eastAsiaTheme="majorEastAsia"/>
                <w:color w:val="auto"/>
                <w:szCs w:val="21"/>
              </w:rPr>
              <w:t>天就诊时间分布、2</w:t>
            </w:r>
            <w:r>
              <w:rPr>
                <w:rFonts w:cs="宋体" w:asciiTheme="majorEastAsia" w:hAnsiTheme="majorEastAsia" w:eastAsiaTheme="majorEastAsia"/>
                <w:color w:val="auto"/>
                <w:szCs w:val="21"/>
              </w:rPr>
              <w:t>015</w:t>
            </w:r>
            <w:r>
              <w:rPr>
                <w:rFonts w:hint="eastAsia" w:cs="宋体" w:asciiTheme="majorEastAsia" w:hAnsiTheme="majorEastAsia" w:eastAsiaTheme="majorEastAsia"/>
                <w:color w:val="auto"/>
                <w:szCs w:val="21"/>
              </w:rPr>
              <w:t>年1</w:t>
            </w:r>
            <w:r>
              <w:rPr>
                <w:rFonts w:cs="宋体" w:asciiTheme="majorEastAsia" w:hAnsiTheme="majorEastAsia" w:eastAsiaTheme="majorEastAsia"/>
                <w:color w:val="auto"/>
                <w:szCs w:val="21"/>
              </w:rPr>
              <w:t>0</w:t>
            </w:r>
            <w:r>
              <w:rPr>
                <w:rFonts w:hint="eastAsia" w:cs="宋体" w:asciiTheme="majorEastAsia" w:hAnsiTheme="majorEastAsia" w:eastAsiaTheme="majorEastAsia"/>
                <w:color w:val="auto"/>
                <w:szCs w:val="21"/>
              </w:rPr>
              <w:t>项急诊质控指标。</w:t>
            </w:r>
          </w:p>
          <w:p w14:paraId="7C58FA8E">
            <w:pPr>
              <w:numPr>
                <w:ilvl w:val="0"/>
                <w:numId w:val="56"/>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w:t>
            </w:r>
            <w:r>
              <w:rPr>
                <w:rFonts w:cs="宋体" w:asciiTheme="majorEastAsia" w:hAnsiTheme="majorEastAsia" w:eastAsiaTheme="majorEastAsia"/>
                <w:color w:val="auto"/>
                <w:szCs w:val="21"/>
              </w:rPr>
              <w:t>015</w:t>
            </w:r>
            <w:r>
              <w:rPr>
                <w:rFonts w:hint="eastAsia" w:cs="宋体" w:asciiTheme="majorEastAsia" w:hAnsiTheme="majorEastAsia" w:eastAsiaTheme="majorEastAsia"/>
                <w:color w:val="auto"/>
                <w:szCs w:val="21"/>
              </w:rPr>
              <w:t>版1</w:t>
            </w:r>
            <w:r>
              <w:rPr>
                <w:rFonts w:cs="宋体" w:asciiTheme="majorEastAsia" w:hAnsiTheme="majorEastAsia" w:eastAsiaTheme="majorEastAsia"/>
                <w:color w:val="auto"/>
                <w:szCs w:val="21"/>
              </w:rPr>
              <w:t>0</w:t>
            </w:r>
            <w:r>
              <w:rPr>
                <w:rFonts w:hint="eastAsia" w:cs="宋体" w:asciiTheme="majorEastAsia" w:hAnsiTheme="majorEastAsia" w:eastAsiaTheme="majorEastAsia"/>
                <w:color w:val="auto"/>
                <w:szCs w:val="21"/>
              </w:rPr>
              <w:t>项急诊质控指标（包括指标定义、计算公式、指标意义、指标实际值）：急诊科医患比、急诊科护患比、急诊各级患者比例、抢救室滞留时间中位数、急性心肌梗死（STEMI）患者平均门药时间及门药时间达标率、急性心肌梗死（STEMI）患者平均门球时间及门球时间达标率、急诊抢救室患者死亡率、急诊手术患者死亡率、ROSC成功率、非计划重返抢救室率。可设置指标的期望值和预警值，并给予红黄绿灯警示。</w:t>
            </w:r>
          </w:p>
          <w:p w14:paraId="159C11AC">
            <w:pPr>
              <w:numPr>
                <w:ilvl w:val="0"/>
                <w:numId w:val="56"/>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急诊科常用统计功能，可以统计的指标有：当天急诊挂号人次、急诊患者分诊后平均等待时间、急诊科当天床位占用比例、急诊科死亡例数、急诊留观时间分布统计等指标。</w:t>
            </w:r>
          </w:p>
          <w:p w14:paraId="71230FC7">
            <w:pPr>
              <w:numPr>
                <w:ilvl w:val="0"/>
                <w:numId w:val="56"/>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急诊科常用科室管理统计功能，可以统计的指标有：急诊医务人员工作量统计。</w:t>
            </w:r>
            <w:bookmarkEnd w:id="176"/>
          </w:p>
        </w:tc>
        <w:tc>
          <w:tcPr>
            <w:tcW w:w="781" w:type="dxa"/>
            <w:vAlign w:val="center"/>
          </w:tcPr>
          <w:p w14:paraId="62DD9BCB">
            <w:pPr>
              <w:jc w:val="center"/>
              <w:rPr>
                <w:rFonts w:ascii="宋体" w:hAnsi="宋体"/>
                <w:color w:val="auto"/>
                <w:szCs w:val="21"/>
              </w:rPr>
            </w:pPr>
            <w:r>
              <w:rPr>
                <w:rFonts w:hint="eastAsia" w:ascii="宋体" w:hAnsi="宋体"/>
                <w:color w:val="auto"/>
                <w:szCs w:val="21"/>
              </w:rPr>
              <w:t>1套</w:t>
            </w:r>
          </w:p>
        </w:tc>
      </w:tr>
      <w:tr w14:paraId="2308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continue"/>
            <w:vAlign w:val="center"/>
          </w:tcPr>
          <w:p w14:paraId="3F14F125">
            <w:pPr>
              <w:spacing w:line="240" w:lineRule="exact"/>
              <w:ind w:firstLine="108"/>
              <w:rPr>
                <w:rFonts w:ascii="宋体" w:hAnsi="宋体"/>
                <w:color w:val="auto"/>
                <w:szCs w:val="21"/>
              </w:rPr>
            </w:pPr>
          </w:p>
        </w:tc>
        <w:tc>
          <w:tcPr>
            <w:tcW w:w="708" w:type="dxa"/>
            <w:vAlign w:val="center"/>
          </w:tcPr>
          <w:p w14:paraId="3B10DF39">
            <w:pPr>
              <w:spacing w:line="240" w:lineRule="exact"/>
              <w:ind w:firstLine="108"/>
              <w:rPr>
                <w:rFonts w:ascii="宋体" w:hAnsi="宋体"/>
                <w:color w:val="auto"/>
                <w:szCs w:val="21"/>
              </w:rPr>
            </w:pPr>
            <w:r>
              <w:rPr>
                <w:rFonts w:ascii="宋体" w:hAnsi="宋体"/>
                <w:color w:val="auto"/>
                <w:szCs w:val="21"/>
              </w:rPr>
              <w:t>5</w:t>
            </w:r>
            <w:r>
              <w:rPr>
                <w:rFonts w:hint="eastAsia" w:ascii="宋体" w:hAnsi="宋体"/>
                <w:color w:val="auto"/>
                <w:szCs w:val="21"/>
              </w:rPr>
              <w:t>.5</w:t>
            </w:r>
          </w:p>
        </w:tc>
        <w:tc>
          <w:tcPr>
            <w:tcW w:w="728" w:type="dxa"/>
            <w:vAlign w:val="center"/>
          </w:tcPr>
          <w:p w14:paraId="179BC421">
            <w:pPr>
              <w:jc w:val="left"/>
              <w:rPr>
                <w:rFonts w:ascii="宋体" w:hAnsi="宋体"/>
                <w:color w:val="auto"/>
                <w:szCs w:val="21"/>
              </w:rPr>
            </w:pPr>
            <w:r>
              <w:rPr>
                <w:rFonts w:hint="eastAsia" w:ascii="宋体" w:hAnsi="宋体" w:cs="宋体"/>
                <w:color w:val="auto"/>
                <w:szCs w:val="21"/>
              </w:rPr>
              <w:t>设备连接工作站软件</w:t>
            </w:r>
          </w:p>
        </w:tc>
        <w:tc>
          <w:tcPr>
            <w:tcW w:w="6010" w:type="dxa"/>
            <w:vAlign w:val="center"/>
          </w:tcPr>
          <w:p w14:paraId="0302B421">
            <w:pPr>
              <w:numPr>
                <w:ilvl w:val="0"/>
                <w:numId w:val="57"/>
              </w:numPr>
              <w:spacing w:line="440" w:lineRule="exact"/>
              <w:ind w:left="452" w:hanging="32"/>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接入抢救区Philips、迈瑞、GE等主流品牌监护仪及呼吸机。（需要提供协议和具备输出端口）</w:t>
            </w:r>
          </w:p>
          <w:p w14:paraId="2BD6D3CC">
            <w:pPr>
              <w:numPr>
                <w:ilvl w:val="0"/>
                <w:numId w:val="57"/>
              </w:numPr>
              <w:spacing w:line="440" w:lineRule="exact"/>
              <w:ind w:left="420" w:firstLine="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接入Roche、GEM、Alere等主流品牌血气、心肌标志物POCT。（需要提供协议和具备输出端口）</w:t>
            </w:r>
          </w:p>
        </w:tc>
        <w:tc>
          <w:tcPr>
            <w:tcW w:w="781" w:type="dxa"/>
            <w:vAlign w:val="center"/>
          </w:tcPr>
          <w:p w14:paraId="3DCBB91B">
            <w:pPr>
              <w:jc w:val="center"/>
              <w:rPr>
                <w:rFonts w:ascii="宋体" w:hAnsi="宋体"/>
                <w:color w:val="auto"/>
                <w:szCs w:val="21"/>
              </w:rPr>
            </w:pPr>
            <w:r>
              <w:rPr>
                <w:rFonts w:hint="eastAsia" w:ascii="宋体" w:hAnsi="宋体"/>
                <w:color w:val="auto"/>
                <w:szCs w:val="21"/>
              </w:rPr>
              <w:t>1套</w:t>
            </w:r>
          </w:p>
        </w:tc>
      </w:tr>
      <w:tr w14:paraId="1188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8" w:type="dxa"/>
            <w:vMerge w:val="continue"/>
            <w:vAlign w:val="center"/>
          </w:tcPr>
          <w:p w14:paraId="1E6909ED">
            <w:pPr>
              <w:spacing w:line="240" w:lineRule="exact"/>
              <w:ind w:firstLine="108"/>
              <w:rPr>
                <w:rFonts w:ascii="宋体" w:hAnsi="宋体"/>
                <w:color w:val="auto"/>
                <w:szCs w:val="21"/>
              </w:rPr>
            </w:pPr>
          </w:p>
        </w:tc>
        <w:tc>
          <w:tcPr>
            <w:tcW w:w="708" w:type="dxa"/>
            <w:vAlign w:val="center"/>
          </w:tcPr>
          <w:p w14:paraId="7FF082B7">
            <w:pPr>
              <w:spacing w:line="240" w:lineRule="exact"/>
              <w:ind w:firstLine="108"/>
              <w:rPr>
                <w:rFonts w:ascii="宋体" w:hAnsi="宋体"/>
                <w:color w:val="auto"/>
                <w:szCs w:val="21"/>
              </w:rPr>
            </w:pPr>
            <w:r>
              <w:rPr>
                <w:rFonts w:ascii="宋体" w:hAnsi="宋体"/>
                <w:color w:val="auto"/>
                <w:szCs w:val="21"/>
              </w:rPr>
              <w:t>5</w:t>
            </w:r>
            <w:r>
              <w:rPr>
                <w:rFonts w:hint="eastAsia" w:ascii="宋体" w:hAnsi="宋体"/>
                <w:color w:val="auto"/>
                <w:szCs w:val="21"/>
              </w:rPr>
              <w:t>.</w:t>
            </w:r>
            <w:r>
              <w:rPr>
                <w:rFonts w:ascii="宋体" w:hAnsi="宋体"/>
                <w:color w:val="auto"/>
                <w:szCs w:val="21"/>
              </w:rPr>
              <w:t>6</w:t>
            </w:r>
          </w:p>
        </w:tc>
        <w:tc>
          <w:tcPr>
            <w:tcW w:w="728" w:type="dxa"/>
            <w:vAlign w:val="center"/>
          </w:tcPr>
          <w:p w14:paraId="4D45B509">
            <w:pPr>
              <w:jc w:val="left"/>
              <w:rPr>
                <w:color w:val="auto"/>
                <w:szCs w:val="21"/>
              </w:rPr>
            </w:pPr>
            <w:r>
              <w:rPr>
                <w:rFonts w:hint="eastAsia" w:ascii="宋体" w:hAnsi="宋体" w:cs="宋体"/>
                <w:color w:val="auto"/>
                <w:szCs w:val="21"/>
              </w:rPr>
              <w:t>系统功能</w:t>
            </w:r>
          </w:p>
        </w:tc>
        <w:tc>
          <w:tcPr>
            <w:tcW w:w="6010" w:type="dxa"/>
            <w:vAlign w:val="center"/>
          </w:tcPr>
          <w:p w14:paraId="22A68E88">
            <w:pPr>
              <w:spacing w:line="440" w:lineRule="exact"/>
              <w:ind w:left="42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系统满足电子病历系统功能应用水平分级评价5级以上相关要求、系统满足互联互通标准化成熟度四级甲等以上标准相关要求、系统满足医院智慧服务分级评估3级以上相关要求。</w:t>
            </w:r>
          </w:p>
          <w:p w14:paraId="5C84ABFE">
            <w:pPr>
              <w:spacing w:line="440" w:lineRule="exact"/>
              <w:ind w:left="42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系统免费与医院相关系统无缝对接，包含但不限于：集成平台、数据中心、his系统、pacs系统、lis系统、病理系统、心电图系统、电子病历系统无缝对接等，具体以医院实际需求为准。</w:t>
            </w:r>
            <w:r>
              <w:rPr>
                <w:rFonts w:cs="宋体" w:asciiTheme="majorEastAsia" w:hAnsiTheme="majorEastAsia" w:eastAsiaTheme="majorEastAsia"/>
                <w:color w:val="auto"/>
                <w:szCs w:val="21"/>
              </w:rPr>
              <w:br w:type="textWrapping"/>
            </w:r>
            <w:r>
              <w:rPr>
                <w:rFonts w:cs="宋体" w:asciiTheme="majorEastAsia" w:hAnsiTheme="majorEastAsia" w:eastAsiaTheme="majorEastAsia"/>
                <w:color w:val="auto"/>
                <w:szCs w:val="21"/>
              </w:rPr>
              <w:t>提供本地化开发服务，功能或需求以医院实际需要为准。</w:t>
            </w:r>
            <w:r>
              <w:rPr>
                <w:rFonts w:cs="宋体" w:asciiTheme="majorEastAsia" w:hAnsiTheme="majorEastAsia" w:eastAsiaTheme="majorEastAsia"/>
                <w:color w:val="auto"/>
                <w:szCs w:val="21"/>
              </w:rPr>
              <w:br w:type="textWrapping"/>
            </w:r>
            <w:r>
              <w:rPr>
                <w:rFonts w:cs="宋体" w:asciiTheme="majorEastAsia" w:hAnsiTheme="majorEastAsia" w:eastAsiaTheme="majorEastAsia"/>
                <w:color w:val="auto"/>
                <w:szCs w:val="21"/>
              </w:rPr>
              <w:t>本项目所有软件、系统和平台必须安装在院内运行。不能运行在未经医院允许的第三方平台。</w:t>
            </w:r>
          </w:p>
          <w:p w14:paraId="0D753AC7">
            <w:pPr>
              <w:spacing w:line="440" w:lineRule="exact"/>
              <w:ind w:left="42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中标人承诺本次提供软件产品为公司最新产品，实施阶段如有新版本产生，需免费帮升级到最新版本。</w:t>
            </w:r>
          </w:p>
          <w:p w14:paraId="70159690">
            <w:pPr>
              <w:spacing w:line="440" w:lineRule="exact"/>
              <w:ind w:left="420"/>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承诺软件产品没有侵权问题。如有，中标人承担所有法律责任。</w:t>
            </w:r>
          </w:p>
          <w:p w14:paraId="3269B977">
            <w:pPr>
              <w:spacing w:line="440" w:lineRule="exact"/>
              <w:ind w:left="420"/>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提供从系统验收合格之日起软件系统原厂</w:t>
            </w:r>
            <w:r>
              <w:rPr>
                <w:rFonts w:cs="宋体" w:asciiTheme="majorEastAsia" w:hAnsiTheme="majorEastAsia" w:eastAsiaTheme="majorEastAsia"/>
                <w:color w:val="auto"/>
                <w:szCs w:val="21"/>
              </w:rPr>
              <w:t>2</w:t>
            </w:r>
            <w:r>
              <w:rPr>
                <w:rFonts w:hint="eastAsia" w:cs="宋体" w:asciiTheme="majorEastAsia" w:hAnsiTheme="majorEastAsia" w:eastAsiaTheme="majorEastAsia"/>
                <w:color w:val="auto"/>
                <w:szCs w:val="21"/>
              </w:rPr>
              <w:t>年的免费质保服务。</w:t>
            </w:r>
          </w:p>
        </w:tc>
        <w:tc>
          <w:tcPr>
            <w:tcW w:w="781" w:type="dxa"/>
            <w:vAlign w:val="center"/>
          </w:tcPr>
          <w:p w14:paraId="7C60337B">
            <w:pPr>
              <w:jc w:val="center"/>
              <w:rPr>
                <w:rFonts w:ascii="宋体" w:hAnsi="宋体"/>
                <w:color w:val="auto"/>
                <w:szCs w:val="21"/>
              </w:rPr>
            </w:pPr>
            <w:r>
              <w:rPr>
                <w:rFonts w:hint="eastAsia" w:ascii="宋体" w:hAnsi="宋体"/>
                <w:color w:val="auto"/>
                <w:szCs w:val="21"/>
              </w:rPr>
              <w:t>1套</w:t>
            </w:r>
          </w:p>
        </w:tc>
      </w:tr>
      <w:tr w14:paraId="6C1D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795" w:type="dxa"/>
            <w:gridSpan w:val="5"/>
          </w:tcPr>
          <w:p w14:paraId="684AAD33">
            <w:pPr>
              <w:spacing w:line="360" w:lineRule="exact"/>
              <w:ind w:firstLine="422" w:firstLineChars="200"/>
              <w:jc w:val="left"/>
              <w:rPr>
                <w:rFonts w:ascii="宋体" w:hAnsi="宋体" w:cs="宋体"/>
                <w:b/>
                <w:color w:val="auto"/>
                <w:szCs w:val="21"/>
              </w:rPr>
            </w:pPr>
          </w:p>
        </w:tc>
      </w:tr>
      <w:tr w14:paraId="70F0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8795" w:type="dxa"/>
            <w:gridSpan w:val="5"/>
          </w:tcPr>
          <w:p w14:paraId="13FEE2F7">
            <w:pPr>
              <w:spacing w:line="320" w:lineRule="exact"/>
              <w:rPr>
                <w:rFonts w:ascii="宋体" w:hAnsi="宋体"/>
                <w:color w:val="auto"/>
                <w:szCs w:val="21"/>
              </w:rPr>
            </w:pPr>
            <w:r>
              <w:rPr>
                <w:rFonts w:hint="eastAsia" w:ascii="宋体" w:hAnsi="宋体"/>
                <w:color w:val="auto"/>
                <w:szCs w:val="21"/>
              </w:rPr>
              <w:t xml:space="preserve">售后服务及其他要求： </w:t>
            </w:r>
          </w:p>
          <w:p w14:paraId="62C1B54C">
            <w:pPr>
              <w:spacing w:line="320" w:lineRule="exact"/>
              <w:rPr>
                <w:rFonts w:ascii="宋体" w:hAnsi="宋体"/>
                <w:color w:val="auto"/>
                <w:szCs w:val="21"/>
              </w:rPr>
            </w:pPr>
            <w:r>
              <w:rPr>
                <w:rFonts w:hint="eastAsia" w:ascii="宋体" w:hAnsi="宋体"/>
                <w:color w:val="auto"/>
                <w:szCs w:val="21"/>
              </w:rPr>
              <w:t>1、系统维护期为</w:t>
            </w:r>
            <w:r>
              <w:rPr>
                <w:rFonts w:ascii="宋体" w:hAnsi="宋体"/>
                <w:color w:val="auto"/>
                <w:szCs w:val="21"/>
              </w:rPr>
              <w:t>2</w:t>
            </w:r>
            <w:r>
              <w:rPr>
                <w:rFonts w:hint="eastAsia" w:ascii="宋体" w:hAnsi="宋体"/>
                <w:color w:val="auto"/>
                <w:szCs w:val="21"/>
              </w:rPr>
              <w:t>年，起始时间从系统验收合格之日起计算；</w:t>
            </w:r>
          </w:p>
          <w:p w14:paraId="78D5E346">
            <w:pPr>
              <w:spacing w:line="320" w:lineRule="exact"/>
              <w:rPr>
                <w:rFonts w:ascii="宋体" w:hAnsi="宋体"/>
                <w:color w:val="auto"/>
                <w:szCs w:val="21"/>
              </w:rPr>
            </w:pPr>
            <w:r>
              <w:rPr>
                <w:rFonts w:hint="eastAsia" w:ascii="宋体" w:hAnsi="宋体"/>
                <w:color w:val="auto"/>
                <w:szCs w:val="21"/>
              </w:rPr>
              <w:t>2、维护期内因信息系统本身缺陷造成各种故障由投标人提供技术服务和维修；</w:t>
            </w:r>
          </w:p>
          <w:p w14:paraId="5538CFA7">
            <w:pPr>
              <w:spacing w:line="360" w:lineRule="auto"/>
              <w:outlineLvl w:val="0"/>
              <w:rPr>
                <w:rFonts w:ascii="宋体" w:hAnsi="宋体"/>
                <w:color w:val="auto"/>
                <w:szCs w:val="21"/>
              </w:rPr>
            </w:pPr>
            <w:r>
              <w:rPr>
                <w:rFonts w:hint="eastAsia" w:ascii="宋体" w:hAnsi="宋体"/>
                <w:color w:val="auto"/>
                <w:szCs w:val="21"/>
              </w:rPr>
              <w:t>3、系统试运行期内及质量保修期内投标人应免费提供与第三方系统的接口开发服务；</w:t>
            </w:r>
          </w:p>
          <w:p w14:paraId="3E6CCE0A">
            <w:pPr>
              <w:spacing w:line="360" w:lineRule="auto"/>
              <w:outlineLvl w:val="0"/>
              <w:rPr>
                <w:rFonts w:ascii="宋体" w:hAnsi="宋体"/>
                <w:color w:val="auto"/>
                <w:szCs w:val="21"/>
              </w:rPr>
            </w:pPr>
            <w:r>
              <w:rPr>
                <w:rFonts w:hint="eastAsia" w:ascii="宋体" w:hAnsi="宋体"/>
                <w:color w:val="auto"/>
                <w:szCs w:val="21"/>
              </w:rPr>
              <w:t>4、系统试运行期内及质量保修期内投标人应免费提供系统软件升级服务；</w:t>
            </w:r>
          </w:p>
          <w:p w14:paraId="464D8FB1">
            <w:pPr>
              <w:spacing w:line="360" w:lineRule="exact"/>
              <w:rPr>
                <w:rFonts w:ascii="宋体" w:hAnsi="宋体" w:cs="宋体"/>
                <w:color w:val="auto"/>
                <w:szCs w:val="21"/>
              </w:rPr>
            </w:pPr>
            <w:r>
              <w:rPr>
                <w:rFonts w:ascii="宋体" w:hAnsi="宋体"/>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bl>
    <w:p w14:paraId="64083100">
      <w:pPr>
        <w:rPr>
          <w:color w:val="auto"/>
          <w:sz w:val="18"/>
          <w:szCs w:val="18"/>
        </w:rPr>
      </w:pPr>
      <w:r>
        <w:rPr>
          <w:color w:val="auto"/>
          <w:sz w:val="18"/>
          <w:szCs w:val="18"/>
        </w:rPr>
        <w:br w:type="page"/>
      </w:r>
    </w:p>
    <w:tbl>
      <w:tblPr>
        <w:tblStyle w:val="9"/>
        <w:tblpPr w:leftFromText="180" w:rightFromText="180" w:vertAnchor="text" w:horzAnchor="page" w:tblpX="1782" w:tblpY="29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826"/>
        <w:gridCol w:w="1012"/>
        <w:gridCol w:w="5544"/>
        <w:gridCol w:w="499"/>
      </w:tblGrid>
      <w:tr w14:paraId="0894A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tcPr>
          <w:p w14:paraId="36BFBD4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系统名称</w:t>
            </w:r>
          </w:p>
        </w:tc>
        <w:tc>
          <w:tcPr>
            <w:tcW w:w="826" w:type="dxa"/>
            <w:vAlign w:val="center"/>
          </w:tcPr>
          <w:p w14:paraId="0F6F164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分系统名称</w:t>
            </w:r>
          </w:p>
        </w:tc>
        <w:tc>
          <w:tcPr>
            <w:tcW w:w="1012" w:type="dxa"/>
            <w:vAlign w:val="center"/>
          </w:tcPr>
          <w:p w14:paraId="21E6099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系统功能</w:t>
            </w:r>
          </w:p>
        </w:tc>
        <w:tc>
          <w:tcPr>
            <w:tcW w:w="5544" w:type="dxa"/>
            <w:vAlign w:val="center"/>
          </w:tcPr>
          <w:p w14:paraId="4FF4EE9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技术参数及性能（配置）要求</w:t>
            </w:r>
          </w:p>
        </w:tc>
        <w:tc>
          <w:tcPr>
            <w:tcW w:w="499" w:type="dxa"/>
            <w:vAlign w:val="center"/>
          </w:tcPr>
          <w:p w14:paraId="5B95CD7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总数量</w:t>
            </w:r>
          </w:p>
        </w:tc>
      </w:tr>
      <w:tr w14:paraId="3868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vMerge w:val="restart"/>
          </w:tcPr>
          <w:p w14:paraId="3A045DD7">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5、医院DRG精细化管理平台</w:t>
            </w:r>
          </w:p>
        </w:tc>
        <w:tc>
          <w:tcPr>
            <w:tcW w:w="826" w:type="dxa"/>
            <w:vMerge w:val="restart"/>
            <w:vAlign w:val="center"/>
          </w:tcPr>
          <w:p w14:paraId="2FFC8D9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数据治理平台</w:t>
            </w:r>
          </w:p>
        </w:tc>
        <w:tc>
          <w:tcPr>
            <w:tcW w:w="1012" w:type="dxa"/>
            <w:vAlign w:val="center"/>
          </w:tcPr>
          <w:p w14:paraId="73C291A4">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前端数据采集</w:t>
            </w:r>
          </w:p>
        </w:tc>
        <w:tc>
          <w:tcPr>
            <w:tcW w:w="5544" w:type="dxa"/>
            <w:vAlign w:val="center"/>
          </w:tcPr>
          <w:p w14:paraId="09C16B8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与电子病历、HIS系统进行前端功能接口对接，实现各类主流开发框架及开发语言，对接方式支持：客户端、dll、jssdk等，实现功能实时触发，数据实时采集。</w:t>
            </w:r>
          </w:p>
        </w:tc>
        <w:tc>
          <w:tcPr>
            <w:tcW w:w="499" w:type="dxa"/>
            <w:vMerge w:val="restart"/>
            <w:vAlign w:val="center"/>
          </w:tcPr>
          <w:p w14:paraId="3B6A2163">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r>
      <w:tr w14:paraId="09FD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vMerge w:val="continue"/>
          </w:tcPr>
          <w:p w14:paraId="58C46DD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8E64F69">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2835F638">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数据采集、映射、清洗</w:t>
            </w:r>
          </w:p>
        </w:tc>
        <w:tc>
          <w:tcPr>
            <w:tcW w:w="5544" w:type="dxa"/>
            <w:vAlign w:val="center"/>
          </w:tcPr>
          <w:p w14:paraId="3F298A6D">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支持Oracle、SQLServer等主流数据库对接，对院内各个业务系统数据进行数据聚合、数据解析、字段映射、数据清洗等操作，采用ETL数据抽取方式实现复制库中的运行数据的抽取到临床数据中心。针对复制库中的数据，将通过ETL方式全量一次性抽取由ODS抽取到数据中心。对新增数据，将通过增量抽取的机制，结合使用时间戳、CDC技术，依据标志字段值来识别新增数据进行数据抽取。</w:t>
            </w:r>
          </w:p>
        </w:tc>
        <w:tc>
          <w:tcPr>
            <w:tcW w:w="499" w:type="dxa"/>
            <w:vMerge w:val="continue"/>
            <w:vAlign w:val="center"/>
          </w:tcPr>
          <w:p w14:paraId="5AF7ECC9">
            <w:pPr>
              <w:widowControl/>
              <w:spacing w:line="440" w:lineRule="exact"/>
              <w:jc w:val="left"/>
              <w:rPr>
                <w:rFonts w:cs="宋体" w:asciiTheme="majorEastAsia" w:hAnsiTheme="majorEastAsia" w:eastAsiaTheme="majorEastAsia"/>
                <w:color w:val="auto"/>
                <w:kern w:val="0"/>
                <w:szCs w:val="21"/>
              </w:rPr>
            </w:pPr>
          </w:p>
        </w:tc>
      </w:tr>
      <w:tr w14:paraId="6910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vMerge w:val="continue"/>
          </w:tcPr>
          <w:p w14:paraId="61BB302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6103C1D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2B69E90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基础数据质量监控</w:t>
            </w:r>
          </w:p>
        </w:tc>
        <w:tc>
          <w:tcPr>
            <w:tcW w:w="5544" w:type="dxa"/>
            <w:vAlign w:val="center"/>
          </w:tcPr>
          <w:p w14:paraId="0B085582">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产品依赖基础数据质量监控，至少包含以下业务：</w:t>
            </w:r>
          </w:p>
          <w:p w14:paraId="3C45F8D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1.自动对病房医师、门诊医师、检查科室、检验处理等业务项目自动进行数据质量评分。</w:t>
            </w:r>
          </w:p>
          <w:p w14:paraId="04C4B475">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针对病房医师，纳入数据质量监控的业务项目至少包含：医嘱处理、检验报告、检验申请、检查报告、检查申请、病历记录。针对检查科室，纳入数据质量监控的业务项目至少包含：申请与预约、检查记录、检查报告。</w:t>
            </w:r>
          </w:p>
          <w:p w14:paraId="5CA95622">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对各个业务数据的编码对照率、字段有值率、字段关联率、时间顺序正确进行自动统计并实现对于缺陷数据下钻至记录明细，记录明细至少包含：角色、业务项目、评价标准、评价项目、未通过记录ID、患者标识。</w:t>
            </w:r>
          </w:p>
          <w:p w14:paraId="15AC78D7">
            <w:pPr>
              <w:widowControl/>
              <w:spacing w:line="440" w:lineRule="exact"/>
              <w:jc w:val="lef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4</w:t>
            </w:r>
            <w:r>
              <w:rPr>
                <w:rFonts w:hint="eastAsia" w:cs="宋体" w:asciiTheme="majorEastAsia" w:hAnsiTheme="majorEastAsia" w:eastAsiaTheme="majorEastAsia"/>
                <w:color w:val="auto"/>
                <w:kern w:val="0"/>
                <w:szCs w:val="21"/>
              </w:rPr>
              <w:t>.可直接查看任意评价项目的sql配置。</w:t>
            </w:r>
          </w:p>
        </w:tc>
        <w:tc>
          <w:tcPr>
            <w:tcW w:w="499" w:type="dxa"/>
            <w:vMerge w:val="continue"/>
            <w:vAlign w:val="center"/>
          </w:tcPr>
          <w:p w14:paraId="7D81BDB4">
            <w:pPr>
              <w:widowControl/>
              <w:spacing w:line="440" w:lineRule="exact"/>
              <w:jc w:val="left"/>
              <w:rPr>
                <w:rFonts w:cs="宋体" w:asciiTheme="majorEastAsia" w:hAnsiTheme="majorEastAsia" w:eastAsiaTheme="majorEastAsia"/>
                <w:color w:val="auto"/>
                <w:kern w:val="0"/>
                <w:szCs w:val="21"/>
              </w:rPr>
            </w:pPr>
          </w:p>
        </w:tc>
      </w:tr>
      <w:tr w14:paraId="2E01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vMerge w:val="continue"/>
          </w:tcPr>
          <w:p w14:paraId="73B5615B">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6041FC4">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FB4DF58">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DRG数据质量监控</w:t>
            </w:r>
          </w:p>
        </w:tc>
        <w:tc>
          <w:tcPr>
            <w:tcW w:w="5544" w:type="dxa"/>
            <w:vAlign w:val="center"/>
          </w:tcPr>
          <w:p w14:paraId="5E36D7CD">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DRG数据质量监控：对任意时间段内DRG相关业务项目自动进行数据质量评分，具备对核心指标（门诊人次、急诊人次、门诊处方费用、急诊处方费用、住院结算人次、住院结算费用）在不同系统的对比监控功能。具备对指标监控结果数据进行列表展示功能。具备对指标监控结果数据进行汇总、正确和异常分类统计、展示功能。具备对指标监控结果数据按时间、具体指标、比对结果状态进行查询和检索功能。</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监控业务项目至少包含：</w:t>
            </w:r>
          </w:p>
          <w:p w14:paraId="042BC16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1.住院费用、医保结算、医嘱开立、基本信息、病案首页－医生端、病案首页－病案端、麻醉费用等。</w:t>
            </w:r>
          </w:p>
          <w:p w14:paraId="17C1793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 监控的维度包括：一致性、完整性、整合性、及时性、合理性、有效性。其中住院费用的完整性质控必须包含“住院费用明细－医嘱号”等15项评价项目；</w:t>
            </w:r>
          </w:p>
          <w:p w14:paraId="2D4242E1">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3.医保结算的完整监控必须包含“医保支付费用”等9项评价项目；病案首页－医生端数据完整性必须包含“手术费”等40项评价项目及至少9项合理性评价项目；</w:t>
            </w:r>
          </w:p>
          <w:p w14:paraId="219EADBD">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4.必须包含“医保结算总费用=所用医保费用/医保统筹支付+病人支付金额－自费”评价项目。</w:t>
            </w:r>
          </w:p>
          <w:p w14:paraId="6778D729">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5.可直接查看每一评价项目的sql配置。</w:t>
            </w:r>
          </w:p>
        </w:tc>
        <w:tc>
          <w:tcPr>
            <w:tcW w:w="499" w:type="dxa"/>
            <w:vMerge w:val="continue"/>
            <w:vAlign w:val="center"/>
          </w:tcPr>
          <w:p w14:paraId="5645CA78">
            <w:pPr>
              <w:widowControl/>
              <w:spacing w:line="440" w:lineRule="exact"/>
              <w:jc w:val="left"/>
              <w:rPr>
                <w:rFonts w:cs="宋体" w:asciiTheme="majorEastAsia" w:hAnsiTheme="majorEastAsia" w:eastAsiaTheme="majorEastAsia"/>
                <w:color w:val="auto"/>
                <w:kern w:val="0"/>
                <w:szCs w:val="21"/>
              </w:rPr>
            </w:pPr>
          </w:p>
        </w:tc>
      </w:tr>
      <w:tr w14:paraId="4AF2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635" w:type="dxa"/>
            <w:vMerge w:val="continue"/>
          </w:tcPr>
          <w:p w14:paraId="55C8B9D4">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25D05DAF">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148B40F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数据后结构化处理（自然语言处理、深度学习算法等）</w:t>
            </w:r>
          </w:p>
        </w:tc>
        <w:tc>
          <w:tcPr>
            <w:tcW w:w="5544" w:type="dxa"/>
            <w:vAlign w:val="center"/>
          </w:tcPr>
          <w:p w14:paraId="0D19400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利用人工智能（NLP）和大数据挖掘技术对非结构化的病历文本（20余种，包括但不限于入院记录、手术记录、首次病程记录、出院记录等）、医嘱（标准药库映射）、检查/检验报告、手术记录、护理记录等未结构化的业务数据进行后结构化处理，通过标准术语库汇、分词库模型，聚集大量符合SNOMED-CT、ICD-10等标准的结构化数据，形成医院临床诊疗结构化数据库。</w:t>
            </w:r>
          </w:p>
        </w:tc>
        <w:tc>
          <w:tcPr>
            <w:tcW w:w="499" w:type="dxa"/>
            <w:vMerge w:val="continue"/>
            <w:vAlign w:val="center"/>
          </w:tcPr>
          <w:p w14:paraId="4BE70100">
            <w:pPr>
              <w:widowControl/>
              <w:spacing w:line="440" w:lineRule="exact"/>
              <w:jc w:val="left"/>
              <w:rPr>
                <w:rFonts w:cs="宋体" w:asciiTheme="majorEastAsia" w:hAnsiTheme="majorEastAsia" w:eastAsiaTheme="majorEastAsia"/>
                <w:color w:val="auto"/>
                <w:kern w:val="0"/>
                <w:szCs w:val="21"/>
              </w:rPr>
            </w:pPr>
          </w:p>
        </w:tc>
      </w:tr>
      <w:tr w14:paraId="09B0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35" w:type="dxa"/>
            <w:vMerge w:val="continue"/>
          </w:tcPr>
          <w:p w14:paraId="07AFF1A4">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A2F541F">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62C21F8E">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420B796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可对各类非结构化医疗文书进行实时后结构化处理，如对于整段文本形式的出院记录可进行实时智能分析，至少包括：</w:t>
            </w:r>
          </w:p>
        </w:tc>
        <w:tc>
          <w:tcPr>
            <w:tcW w:w="499" w:type="dxa"/>
            <w:vMerge w:val="continue"/>
            <w:vAlign w:val="center"/>
          </w:tcPr>
          <w:p w14:paraId="05D093C0">
            <w:pPr>
              <w:widowControl/>
              <w:spacing w:line="440" w:lineRule="exact"/>
              <w:jc w:val="left"/>
              <w:rPr>
                <w:rFonts w:cs="宋体" w:asciiTheme="majorEastAsia" w:hAnsiTheme="majorEastAsia" w:eastAsiaTheme="majorEastAsia"/>
                <w:color w:val="auto"/>
                <w:kern w:val="0"/>
                <w:szCs w:val="21"/>
              </w:rPr>
            </w:pPr>
          </w:p>
        </w:tc>
      </w:tr>
      <w:tr w14:paraId="7789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635" w:type="dxa"/>
            <w:vMerge w:val="continue"/>
          </w:tcPr>
          <w:p w14:paraId="4CF349E3">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FD299F5">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1AA2DF09">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66F6BF9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 自动分段、分句：自动解析出入院日期、出院日期、入院情况、入院诊断、诊疗经过、出院情况、出院诊断、出院医嘱。并将每段文本中的句子进行自动分段。</w:t>
            </w:r>
          </w:p>
        </w:tc>
        <w:tc>
          <w:tcPr>
            <w:tcW w:w="499" w:type="dxa"/>
            <w:vMerge w:val="continue"/>
            <w:vAlign w:val="center"/>
          </w:tcPr>
          <w:p w14:paraId="6287A13D">
            <w:pPr>
              <w:widowControl/>
              <w:spacing w:line="440" w:lineRule="exact"/>
              <w:jc w:val="left"/>
              <w:rPr>
                <w:rFonts w:cs="宋体" w:asciiTheme="majorEastAsia" w:hAnsiTheme="majorEastAsia" w:eastAsiaTheme="majorEastAsia"/>
                <w:color w:val="auto"/>
                <w:kern w:val="0"/>
                <w:szCs w:val="21"/>
              </w:rPr>
            </w:pPr>
          </w:p>
        </w:tc>
      </w:tr>
      <w:tr w14:paraId="63B8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35" w:type="dxa"/>
            <w:vMerge w:val="continue"/>
          </w:tcPr>
          <w:p w14:paraId="017E97B7">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853FD8D">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34A3502">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17EE798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自动分词：自动对每句文本中的医学实体进行正确识别，实体类型包括：TIM（时间类型）、POS（方位）、BDY（解剖部位）、VAU（值）、UNT（单位）、SYM（表现）、DIS（疾病）、EXA（检查名）、TEST（检验名）、OPX（器械）、OPR（入路）、OPM（术式）、MED（药品名）、DOS（用药剂量）、SPE（药品规格）、ROU（用药途径）、FRE（频率）、ATT（性质）、MAN（操作）、WAT（观察对象）、TEN（时态）、NEG（否定）、EXI（肯定）、MAY（疑似）、ALE（过敏原）、FOD（饮食）、TIC（条件）、PER（患者）、LOC（地点）、DEP（科室）、QUA（数量）、TIP（时间点）、STG（分期）、PLA（方案），至少34类。</w:t>
            </w:r>
          </w:p>
        </w:tc>
        <w:tc>
          <w:tcPr>
            <w:tcW w:w="499" w:type="dxa"/>
            <w:vMerge w:val="continue"/>
            <w:vAlign w:val="center"/>
          </w:tcPr>
          <w:p w14:paraId="6A80AD20">
            <w:pPr>
              <w:widowControl/>
              <w:spacing w:line="440" w:lineRule="exact"/>
              <w:jc w:val="left"/>
              <w:rPr>
                <w:rFonts w:cs="宋体" w:asciiTheme="majorEastAsia" w:hAnsiTheme="majorEastAsia" w:eastAsiaTheme="majorEastAsia"/>
                <w:color w:val="auto"/>
                <w:kern w:val="0"/>
                <w:szCs w:val="21"/>
              </w:rPr>
            </w:pPr>
          </w:p>
        </w:tc>
      </w:tr>
      <w:tr w14:paraId="0ED2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635" w:type="dxa"/>
            <w:vMerge w:val="continue"/>
          </w:tcPr>
          <w:p w14:paraId="4285F349">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A2BAA32">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CCC192D">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0E0820D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对应不同自然语言处理的深度机器学习算法模型，应具有：</w:t>
            </w:r>
          </w:p>
          <w:p w14:paraId="6E7F717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（1）基于双向长短期记忆网络和条件随机场的词性标注和命名实体识别算法</w:t>
            </w:r>
          </w:p>
          <w:p w14:paraId="6DF644D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（2）基于深度卷积神经网络的实体链接算法。</w:t>
            </w:r>
          </w:p>
        </w:tc>
        <w:tc>
          <w:tcPr>
            <w:tcW w:w="499" w:type="dxa"/>
            <w:vMerge w:val="continue"/>
            <w:vAlign w:val="center"/>
          </w:tcPr>
          <w:p w14:paraId="0C766CD4">
            <w:pPr>
              <w:widowControl/>
              <w:spacing w:line="440" w:lineRule="exact"/>
              <w:jc w:val="left"/>
              <w:rPr>
                <w:rFonts w:cs="宋体" w:asciiTheme="majorEastAsia" w:hAnsiTheme="majorEastAsia" w:eastAsiaTheme="majorEastAsia"/>
                <w:color w:val="auto"/>
                <w:kern w:val="0"/>
                <w:szCs w:val="21"/>
              </w:rPr>
            </w:pPr>
          </w:p>
        </w:tc>
      </w:tr>
      <w:tr w14:paraId="3214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635" w:type="dxa"/>
            <w:vMerge w:val="continue"/>
          </w:tcPr>
          <w:p w14:paraId="4537C05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79260972">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A5A95A6">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7FD3ECC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以上技术能力以可视化展示：</w:t>
            </w:r>
          </w:p>
          <w:p w14:paraId="3FA5BC7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 实体关联：对于不同实体之间的关系进行正确关联，如：对于肿瘤TNM分期可识别并与临床诊断进行关联。</w:t>
            </w:r>
          </w:p>
          <w:p w14:paraId="7296E24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 实体抽取：以数据库视图形式展示抽取的实体类型及值。</w:t>
            </w:r>
          </w:p>
          <w:p w14:paraId="5322CAD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 API视图：实现 API接口方式调用自然语言处理引擎并返回相应识别结果。</w:t>
            </w:r>
          </w:p>
        </w:tc>
        <w:tc>
          <w:tcPr>
            <w:tcW w:w="499" w:type="dxa"/>
            <w:vMerge w:val="continue"/>
            <w:vAlign w:val="center"/>
          </w:tcPr>
          <w:p w14:paraId="2DB9EF0A">
            <w:pPr>
              <w:widowControl/>
              <w:spacing w:line="440" w:lineRule="exact"/>
              <w:jc w:val="left"/>
              <w:rPr>
                <w:rFonts w:cs="宋体" w:asciiTheme="majorEastAsia" w:hAnsiTheme="majorEastAsia" w:eastAsiaTheme="majorEastAsia"/>
                <w:color w:val="auto"/>
                <w:kern w:val="0"/>
                <w:szCs w:val="21"/>
              </w:rPr>
            </w:pPr>
          </w:p>
        </w:tc>
      </w:tr>
      <w:tr w14:paraId="1C38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635" w:type="dxa"/>
            <w:vMerge w:val="continue"/>
          </w:tcPr>
          <w:p w14:paraId="2093367D">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3422376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事中控费</w:t>
            </w:r>
          </w:p>
        </w:tc>
        <w:tc>
          <w:tcPr>
            <w:tcW w:w="1012" w:type="dxa"/>
            <w:vAlign w:val="center"/>
          </w:tcPr>
          <w:p w14:paraId="06D3871F">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实时事中入组提示</w:t>
            </w:r>
          </w:p>
        </w:tc>
        <w:tc>
          <w:tcPr>
            <w:tcW w:w="5544" w:type="dxa"/>
            <w:vAlign w:val="center"/>
          </w:tcPr>
          <w:p w14:paraId="3266941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在医生书写病历文书的过程中实时提醒预测入组信息，不需要点击保存就可以自动弹窗提醒。如初步诊断中输入“急性心梗 肾功能衰竭”，可展示：</w:t>
            </w:r>
          </w:p>
          <w:p w14:paraId="7DE8C0F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1.当前入组[FR21]、病例点数及高/低倍风险，提醒预测盈亏金额，展示当前费用及结算费用金额并以条形图对比展示，当前住院天数及例均住院天数以及两者条形对比图。</w:t>
            </w:r>
          </w:p>
          <w:p w14:paraId="7515E15B">
            <w:pPr>
              <w:tabs>
                <w:tab w:val="center" w:pos="4153"/>
                <w:tab w:val="right" w:pos="8306"/>
              </w:tabs>
              <w:snapToGrid w:val="0"/>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2.展示当前入组与科室平均、本院平均、样本平均在以下维度的对比：住院天数、手术次数、总费用、日均费用、药品总费用、药品日均费用、耗材总费用。</w:t>
            </w:r>
          </w:p>
          <w:p w14:paraId="7AEA85CB">
            <w:pPr>
              <w:tabs>
                <w:tab w:val="center" w:pos="4153"/>
                <w:tab w:val="right" w:pos="8306"/>
              </w:tabs>
              <w:snapToGrid w:val="0"/>
              <w:spacing w:line="440" w:lineRule="exact"/>
              <w:rPr>
                <w:rFonts w:asciiTheme="majorEastAsia" w:hAnsiTheme="majorEastAsia" w:eastAsiaTheme="majorEastAsia"/>
                <w:color w:val="auto"/>
                <w:szCs w:val="21"/>
              </w:rPr>
            </w:pPr>
            <w:r>
              <w:rPr>
                <w:rFonts w:hint="eastAsia" w:cs="宋体" w:asciiTheme="majorEastAsia" w:hAnsiTheme="majorEastAsia" w:eastAsiaTheme="majorEastAsia"/>
                <w:color w:val="auto"/>
                <w:szCs w:val="21"/>
              </w:rPr>
              <w:t>3.展示推荐入组情况，并可一键切换入组。</w:t>
            </w:r>
          </w:p>
        </w:tc>
        <w:tc>
          <w:tcPr>
            <w:tcW w:w="499" w:type="dxa"/>
            <w:vMerge w:val="restart"/>
            <w:vAlign w:val="center"/>
          </w:tcPr>
          <w:p w14:paraId="0B6855D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1项</w:t>
            </w:r>
          </w:p>
        </w:tc>
      </w:tr>
      <w:tr w14:paraId="5459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35" w:type="dxa"/>
            <w:vMerge w:val="continue"/>
          </w:tcPr>
          <w:p w14:paraId="70A88D68">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BA56628">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2833018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合理性风险提示</w:t>
            </w:r>
          </w:p>
        </w:tc>
        <w:tc>
          <w:tcPr>
            <w:tcW w:w="5544" w:type="dxa"/>
            <w:vAlign w:val="center"/>
          </w:tcPr>
          <w:p w14:paraId="7FC097F7">
            <w:pPr>
              <w:widowControl/>
              <w:tabs>
                <w:tab w:val="left" w:pos="312"/>
              </w:tabs>
              <w:spacing w:line="440" w:lineRule="exac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实现30天再入院、住院天数超长、低风险死亡等风险进行提示，并实现医院自定义。</w:t>
            </w:r>
          </w:p>
        </w:tc>
        <w:tc>
          <w:tcPr>
            <w:tcW w:w="499" w:type="dxa"/>
            <w:vMerge w:val="continue"/>
            <w:vAlign w:val="center"/>
          </w:tcPr>
          <w:p w14:paraId="5F532090">
            <w:pPr>
              <w:widowControl/>
              <w:spacing w:line="440" w:lineRule="exact"/>
              <w:jc w:val="left"/>
              <w:rPr>
                <w:rFonts w:cs="宋体" w:asciiTheme="majorEastAsia" w:hAnsiTheme="majorEastAsia" w:eastAsiaTheme="majorEastAsia"/>
                <w:color w:val="auto"/>
                <w:kern w:val="0"/>
                <w:szCs w:val="21"/>
              </w:rPr>
            </w:pPr>
          </w:p>
        </w:tc>
      </w:tr>
      <w:tr w14:paraId="6522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35" w:type="dxa"/>
            <w:vMerge w:val="continue"/>
          </w:tcPr>
          <w:p w14:paraId="4BE6DF77">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394FE5A">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CE4CCB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违规行为分析</w:t>
            </w:r>
          </w:p>
        </w:tc>
        <w:tc>
          <w:tcPr>
            <w:tcW w:w="5544" w:type="dxa"/>
            <w:vAlign w:val="center"/>
          </w:tcPr>
          <w:p w14:paraId="5F98B84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可对在院、出院患者的收费情况进行违规行为分析。通过对全院及任意科室、行为认定、规则级别、规则名称、时间段等条件进行自主设定后，对所有存在违规行为的规则的违规病例数、违规次数、次数占比、扣减金额、费用占比进行快速查询、数据明细下钻及数据导出。</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提供管理者工作台，包括：今日动态违规、事中违规、事后违规。并具备违规查询功能，包括违规提醒、违规阻断次数与涉及金额、违规类型、相关科室、医生违规排名。</w:t>
            </w:r>
          </w:p>
        </w:tc>
        <w:tc>
          <w:tcPr>
            <w:tcW w:w="499" w:type="dxa"/>
            <w:vMerge w:val="continue"/>
            <w:vAlign w:val="center"/>
          </w:tcPr>
          <w:p w14:paraId="77A13446">
            <w:pPr>
              <w:widowControl/>
              <w:spacing w:line="440" w:lineRule="exact"/>
              <w:jc w:val="left"/>
              <w:rPr>
                <w:rFonts w:cs="宋体" w:asciiTheme="majorEastAsia" w:hAnsiTheme="majorEastAsia" w:eastAsiaTheme="majorEastAsia"/>
                <w:color w:val="auto"/>
                <w:kern w:val="0"/>
                <w:szCs w:val="21"/>
              </w:rPr>
            </w:pPr>
          </w:p>
        </w:tc>
      </w:tr>
      <w:tr w14:paraId="71AF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315210FE">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8F7508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359351ED">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结余提示</w:t>
            </w:r>
          </w:p>
        </w:tc>
        <w:tc>
          <w:tcPr>
            <w:tcW w:w="5544" w:type="dxa"/>
            <w:vAlign w:val="center"/>
          </w:tcPr>
          <w:p w14:paraId="42EA8A9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结合当前入组情况，预警医保结算金额测算结余情况，进行提示。具备发现超过警示值/目标值时，当达到指标警示值进行提醒，达到目标值仅提醒目标值功能。</w:t>
            </w:r>
          </w:p>
        </w:tc>
        <w:tc>
          <w:tcPr>
            <w:tcW w:w="499" w:type="dxa"/>
            <w:vMerge w:val="continue"/>
            <w:vAlign w:val="center"/>
          </w:tcPr>
          <w:p w14:paraId="19D2A98A">
            <w:pPr>
              <w:widowControl/>
              <w:spacing w:line="440" w:lineRule="exact"/>
              <w:jc w:val="left"/>
              <w:rPr>
                <w:rFonts w:cs="宋体" w:asciiTheme="majorEastAsia" w:hAnsiTheme="majorEastAsia" w:eastAsiaTheme="majorEastAsia"/>
                <w:color w:val="auto"/>
                <w:kern w:val="0"/>
                <w:szCs w:val="21"/>
              </w:rPr>
            </w:pPr>
          </w:p>
        </w:tc>
      </w:tr>
      <w:tr w14:paraId="3F04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549D282B">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C08B0E5">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3C58347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费用风险预警</w:t>
            </w:r>
          </w:p>
        </w:tc>
        <w:tc>
          <w:tcPr>
            <w:tcW w:w="5544" w:type="dxa"/>
            <w:vAlign w:val="center"/>
          </w:tcPr>
          <w:p w14:paraId="7320546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实现医院自定义费用风险预警，实现患者当前住院费用、日均费用、各项费用（药品、耗材、检查、检验、手术、麻醉等）与地区、医院、科室等费用的对比进行分级预警，高低倍率界限预警等。</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实现费用风险可设置自动提醒和手动提醒两种提醒方式。</w:t>
            </w:r>
          </w:p>
        </w:tc>
        <w:tc>
          <w:tcPr>
            <w:tcW w:w="499" w:type="dxa"/>
            <w:vMerge w:val="continue"/>
            <w:vAlign w:val="center"/>
          </w:tcPr>
          <w:p w14:paraId="574217B1">
            <w:pPr>
              <w:widowControl/>
              <w:spacing w:line="440" w:lineRule="exact"/>
              <w:jc w:val="left"/>
              <w:rPr>
                <w:rFonts w:cs="宋体" w:asciiTheme="majorEastAsia" w:hAnsiTheme="majorEastAsia" w:eastAsiaTheme="majorEastAsia"/>
                <w:color w:val="auto"/>
                <w:kern w:val="0"/>
                <w:szCs w:val="21"/>
              </w:rPr>
            </w:pPr>
          </w:p>
        </w:tc>
      </w:tr>
      <w:tr w14:paraId="20F2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57D4A72E">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561201E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医生端</w:t>
            </w:r>
          </w:p>
        </w:tc>
        <w:tc>
          <w:tcPr>
            <w:tcW w:w="1012" w:type="dxa"/>
            <w:vAlign w:val="center"/>
          </w:tcPr>
          <w:p w14:paraId="46FF958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事中入组提示</w:t>
            </w:r>
          </w:p>
        </w:tc>
        <w:tc>
          <w:tcPr>
            <w:tcW w:w="5544" w:type="dxa"/>
            <w:vAlign w:val="center"/>
          </w:tcPr>
          <w:p w14:paraId="0543CEA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采用大数据、人工智能技术、自然语言识别技术等，结合电子病历中的信息，进行事中入组提示。</w:t>
            </w:r>
          </w:p>
        </w:tc>
        <w:tc>
          <w:tcPr>
            <w:tcW w:w="499" w:type="dxa"/>
            <w:vMerge w:val="restart"/>
            <w:vAlign w:val="center"/>
          </w:tcPr>
          <w:p w14:paraId="3175717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7BF1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0FA1C178">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646EEBA">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13A2807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首页入组提示</w:t>
            </w:r>
          </w:p>
        </w:tc>
        <w:tc>
          <w:tcPr>
            <w:tcW w:w="5544" w:type="dxa"/>
            <w:vAlign w:val="center"/>
          </w:tcPr>
          <w:p w14:paraId="189DBDA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基于医生端病案首页信息自动转码，进行分组提示。</w:t>
            </w:r>
          </w:p>
        </w:tc>
        <w:tc>
          <w:tcPr>
            <w:tcW w:w="499" w:type="dxa"/>
            <w:vMerge w:val="continue"/>
            <w:vAlign w:val="center"/>
          </w:tcPr>
          <w:p w14:paraId="07D83CC3">
            <w:pPr>
              <w:widowControl/>
              <w:spacing w:line="440" w:lineRule="exact"/>
              <w:jc w:val="center"/>
              <w:rPr>
                <w:rFonts w:cs="宋体" w:asciiTheme="majorEastAsia" w:hAnsiTheme="majorEastAsia" w:eastAsiaTheme="majorEastAsia"/>
                <w:color w:val="auto"/>
                <w:kern w:val="0"/>
                <w:szCs w:val="21"/>
              </w:rPr>
            </w:pPr>
          </w:p>
        </w:tc>
      </w:tr>
      <w:tr w14:paraId="6493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006CCAF4">
            <w:pPr>
              <w:widowControl/>
              <w:spacing w:line="440" w:lineRule="exact"/>
              <w:rPr>
                <w:rFonts w:cs="宋体" w:asciiTheme="majorEastAsia" w:hAnsiTheme="majorEastAsia" w:eastAsiaTheme="majorEastAsia"/>
                <w:color w:val="auto"/>
                <w:kern w:val="0"/>
                <w:szCs w:val="21"/>
              </w:rPr>
            </w:pPr>
          </w:p>
        </w:tc>
        <w:tc>
          <w:tcPr>
            <w:tcW w:w="826" w:type="dxa"/>
            <w:vAlign w:val="center"/>
          </w:tcPr>
          <w:p w14:paraId="68374D5D">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病案端</w:t>
            </w:r>
          </w:p>
        </w:tc>
        <w:tc>
          <w:tcPr>
            <w:tcW w:w="1012" w:type="dxa"/>
            <w:vAlign w:val="center"/>
          </w:tcPr>
          <w:p w14:paraId="2FE953FC">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入组提示</w:t>
            </w:r>
          </w:p>
        </w:tc>
        <w:tc>
          <w:tcPr>
            <w:tcW w:w="5544" w:type="dxa"/>
            <w:vAlign w:val="center"/>
          </w:tcPr>
          <w:p w14:paraId="46D07B8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基于病案端病案首页信息自动转码，进行分组提示。</w:t>
            </w:r>
          </w:p>
        </w:tc>
        <w:tc>
          <w:tcPr>
            <w:tcW w:w="499" w:type="dxa"/>
            <w:vAlign w:val="center"/>
          </w:tcPr>
          <w:p w14:paraId="304C588D">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5E3C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757C0CB4">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16C6B78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DRG数据分析报告</w:t>
            </w:r>
          </w:p>
        </w:tc>
        <w:tc>
          <w:tcPr>
            <w:tcW w:w="1012" w:type="dxa"/>
            <w:vMerge w:val="restart"/>
            <w:vAlign w:val="center"/>
          </w:tcPr>
          <w:p w14:paraId="0D92673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指标运营分析</w:t>
            </w:r>
          </w:p>
        </w:tc>
        <w:tc>
          <w:tcPr>
            <w:tcW w:w="5544" w:type="dxa"/>
            <w:vAlign w:val="center"/>
          </w:tcPr>
          <w:p w14:paraId="7EB42D4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选择时间段，可直接一键导出DRG数据分析报告，并在报告预览页面可重新选择统计时间。分析报告应展示评估方法，包括数据来源、数据质量评价标准（必须为国家卫生主管部门最新标准）、分组工具及入组标准、样本标准测试及其计算方法。实现查找特定时间段的全院和各科室指标的完成结果功能，异常数据通过上标及下标的方式突出展现。</w:t>
            </w:r>
          </w:p>
        </w:tc>
        <w:tc>
          <w:tcPr>
            <w:tcW w:w="499" w:type="dxa"/>
            <w:vMerge w:val="restart"/>
            <w:vAlign w:val="center"/>
          </w:tcPr>
          <w:p w14:paraId="71F3E11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09D2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35" w:type="dxa"/>
            <w:vMerge w:val="continue"/>
          </w:tcPr>
          <w:p w14:paraId="7DB41B11">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FF78732">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3379153A">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1AFB8D4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分析报告应展示病案首页数据质量评价，包括选定时间段内的上传病案数、质量评分、合格病案率、入组率；各病案错误等级的错误病案数及占比；影响入组分析的重要字段及错误情况；问题病案占比明细表；病案首页项目确实及错误情况明细表（需包含项目类别、评分项、错误数量、占本院总缺失及错误比例）；分析报告应展示全院关键指标数据情况功能，根据时间、科室筛选，可针对单个数据做同比、环比及趋势分析；</w:t>
            </w:r>
          </w:p>
        </w:tc>
        <w:tc>
          <w:tcPr>
            <w:tcW w:w="499" w:type="dxa"/>
            <w:vMerge w:val="continue"/>
            <w:vAlign w:val="center"/>
          </w:tcPr>
          <w:p w14:paraId="15C51689">
            <w:pPr>
              <w:widowControl/>
              <w:spacing w:line="440" w:lineRule="exact"/>
              <w:jc w:val="left"/>
              <w:rPr>
                <w:rFonts w:cs="宋体" w:asciiTheme="majorEastAsia" w:hAnsiTheme="majorEastAsia" w:eastAsiaTheme="majorEastAsia"/>
                <w:color w:val="auto"/>
                <w:kern w:val="0"/>
                <w:szCs w:val="21"/>
              </w:rPr>
            </w:pPr>
          </w:p>
        </w:tc>
      </w:tr>
      <w:tr w14:paraId="76DF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5" w:hRule="atLeast"/>
        </w:trPr>
        <w:tc>
          <w:tcPr>
            <w:tcW w:w="635" w:type="dxa"/>
            <w:vMerge w:val="continue"/>
          </w:tcPr>
          <w:p w14:paraId="61C7DB07">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5E8B05E">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6418AF1">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9C573F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分析报告应展示服务绩效评价，包括总体情况、入组分布、科室分析（含服务能力—DRG组数、CMI值、服务能力总体评价四象限图；服务能力－费用消耗指数、时间消耗指数、服务效率评分四象限分析；服务质量－死亡率）；分析报告应展示全院盈亏分析、病组盈亏分析（可基于权重分段盈亏分析或亏损最多的权重范围病组分析），可展示亏损主要原因分析及优化建议。可对亏损病组的临床路径入组率情况进行分析。可对全院费用分布进行自动分析，展示全院费用分布及占比情况表。分析报告应展示各科室盈亏分布、科室费用分布（基于科室费用分布展示药占比、耗材费用占比、治疗费用占比较高的科室）并展示各科室总费用、药品费用、耗材费用、手术费用、麻醉费、治疗费、检查费、其他费用的明细列表。分析报告应展示医保基金运营情况分析，包含医疗收入、医保基金支出、医保基金使用进度、医保患者费用、医保拒付等综合分析。</w:t>
            </w:r>
          </w:p>
        </w:tc>
        <w:tc>
          <w:tcPr>
            <w:tcW w:w="499" w:type="dxa"/>
            <w:vMerge w:val="continue"/>
            <w:vAlign w:val="center"/>
          </w:tcPr>
          <w:p w14:paraId="29D4AFBA">
            <w:pPr>
              <w:widowControl/>
              <w:spacing w:line="440" w:lineRule="exact"/>
              <w:jc w:val="left"/>
              <w:rPr>
                <w:rFonts w:cs="宋体" w:asciiTheme="majorEastAsia" w:hAnsiTheme="majorEastAsia" w:eastAsiaTheme="majorEastAsia"/>
                <w:color w:val="auto"/>
                <w:kern w:val="0"/>
                <w:szCs w:val="21"/>
              </w:rPr>
            </w:pPr>
          </w:p>
        </w:tc>
      </w:tr>
      <w:tr w14:paraId="23F3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5" w:type="dxa"/>
            <w:vMerge w:val="continue"/>
          </w:tcPr>
          <w:p w14:paraId="5B72D174">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34B4401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DRG首页</w:t>
            </w:r>
          </w:p>
        </w:tc>
        <w:tc>
          <w:tcPr>
            <w:tcW w:w="1012" w:type="dxa"/>
            <w:vAlign w:val="center"/>
          </w:tcPr>
          <w:p w14:paraId="5D44C01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首页检索</w:t>
            </w:r>
          </w:p>
        </w:tc>
        <w:tc>
          <w:tcPr>
            <w:tcW w:w="5544" w:type="dxa"/>
            <w:vAlign w:val="center"/>
          </w:tcPr>
          <w:p w14:paraId="018FD3B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系统首页应实现按指定时间范围、DRG样本范围进行检索DRG绩效情况、DRG费用情况等。</w:t>
            </w:r>
          </w:p>
        </w:tc>
        <w:tc>
          <w:tcPr>
            <w:tcW w:w="499" w:type="dxa"/>
            <w:vMerge w:val="restart"/>
            <w:vAlign w:val="center"/>
          </w:tcPr>
          <w:p w14:paraId="2DFDC16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5CB5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1112D4F1">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A6ED12E">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019FDFD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全院DRG分组情况</w:t>
            </w:r>
          </w:p>
        </w:tc>
        <w:tc>
          <w:tcPr>
            <w:tcW w:w="5544" w:type="dxa"/>
            <w:vAlign w:val="center"/>
          </w:tcPr>
          <w:p w14:paraId="5F55C5D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系统首页应实现按DRG分组进行全院检索DRG绩效情况、DRG费用情况等。</w:t>
            </w:r>
          </w:p>
        </w:tc>
        <w:tc>
          <w:tcPr>
            <w:tcW w:w="499" w:type="dxa"/>
            <w:vMerge w:val="continue"/>
            <w:vAlign w:val="center"/>
          </w:tcPr>
          <w:p w14:paraId="119A597D">
            <w:pPr>
              <w:widowControl/>
              <w:spacing w:line="440" w:lineRule="exact"/>
              <w:jc w:val="center"/>
              <w:rPr>
                <w:rFonts w:cs="宋体" w:asciiTheme="majorEastAsia" w:hAnsiTheme="majorEastAsia" w:eastAsiaTheme="majorEastAsia"/>
                <w:color w:val="auto"/>
                <w:kern w:val="0"/>
                <w:szCs w:val="21"/>
              </w:rPr>
            </w:pPr>
          </w:p>
        </w:tc>
      </w:tr>
      <w:tr w14:paraId="4BD6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2116E0EA">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CDE00C9">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41AF0E0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出院患者入组率</w:t>
            </w:r>
          </w:p>
        </w:tc>
        <w:tc>
          <w:tcPr>
            <w:tcW w:w="5544" w:type="dxa"/>
            <w:vAlign w:val="center"/>
          </w:tcPr>
          <w:p w14:paraId="122D337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系统首页能够在指定时间范围内，自动统计全部出院患者入组率情况。</w:t>
            </w:r>
          </w:p>
        </w:tc>
        <w:tc>
          <w:tcPr>
            <w:tcW w:w="499" w:type="dxa"/>
            <w:vMerge w:val="continue"/>
            <w:vAlign w:val="center"/>
          </w:tcPr>
          <w:p w14:paraId="31FDECB2">
            <w:pPr>
              <w:widowControl/>
              <w:spacing w:line="440" w:lineRule="exact"/>
              <w:jc w:val="center"/>
              <w:rPr>
                <w:rFonts w:cs="宋体" w:asciiTheme="majorEastAsia" w:hAnsiTheme="majorEastAsia" w:eastAsiaTheme="majorEastAsia"/>
                <w:color w:val="auto"/>
                <w:kern w:val="0"/>
                <w:szCs w:val="21"/>
              </w:rPr>
            </w:pPr>
          </w:p>
        </w:tc>
      </w:tr>
      <w:tr w14:paraId="7407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57CF881E">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7467978">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6800AF1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入组率趋势</w:t>
            </w:r>
          </w:p>
        </w:tc>
        <w:tc>
          <w:tcPr>
            <w:tcW w:w="5544" w:type="dxa"/>
            <w:vAlign w:val="center"/>
          </w:tcPr>
          <w:p w14:paraId="21E7402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系统首页能够在全年时间范围内按月份将DRG入组率情况（死亡数、死亡率）进行趋势图展示。</w:t>
            </w:r>
          </w:p>
        </w:tc>
        <w:tc>
          <w:tcPr>
            <w:tcW w:w="499" w:type="dxa"/>
            <w:vMerge w:val="continue"/>
            <w:vAlign w:val="center"/>
          </w:tcPr>
          <w:p w14:paraId="55230E12">
            <w:pPr>
              <w:widowControl/>
              <w:spacing w:line="440" w:lineRule="exact"/>
              <w:jc w:val="center"/>
              <w:rPr>
                <w:rFonts w:cs="宋体" w:asciiTheme="majorEastAsia" w:hAnsiTheme="majorEastAsia" w:eastAsiaTheme="majorEastAsia"/>
                <w:color w:val="auto"/>
                <w:kern w:val="0"/>
                <w:szCs w:val="21"/>
              </w:rPr>
            </w:pPr>
          </w:p>
        </w:tc>
      </w:tr>
      <w:tr w14:paraId="0CCD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04DE9DD0">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5818073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首页绩效分析</w:t>
            </w:r>
          </w:p>
        </w:tc>
        <w:tc>
          <w:tcPr>
            <w:tcW w:w="1012" w:type="dxa"/>
            <w:vAlign w:val="center"/>
          </w:tcPr>
          <w:p w14:paraId="116AAFC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全院DRG绩效情况</w:t>
            </w:r>
          </w:p>
        </w:tc>
        <w:tc>
          <w:tcPr>
            <w:tcW w:w="5544" w:type="dxa"/>
            <w:vAlign w:val="center"/>
          </w:tcPr>
          <w:p w14:paraId="0D89B1F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系统首页至少应包括：医院总权重、DRG病例数、DRG病组数、低风险组死亡率等内容及各项的同比、环比情况。</w:t>
            </w:r>
          </w:p>
        </w:tc>
        <w:tc>
          <w:tcPr>
            <w:tcW w:w="499" w:type="dxa"/>
            <w:vMerge w:val="restart"/>
            <w:vAlign w:val="center"/>
          </w:tcPr>
          <w:p w14:paraId="02C7600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1BF7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6177622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68D4AEB">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3D5AB91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DRG指标分布</w:t>
            </w:r>
          </w:p>
        </w:tc>
        <w:tc>
          <w:tcPr>
            <w:tcW w:w="5544" w:type="dxa"/>
            <w:vAlign w:val="center"/>
          </w:tcPr>
          <w:p w14:paraId="55D963E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系统应实现雷达图及列表形式展示样本信息对比医院的绩效情况，至少应包括：总权重、DRG组数、CMI、时间消耗指数、费用消耗指数、低风险死亡率等内容展示。</w:t>
            </w:r>
          </w:p>
        </w:tc>
        <w:tc>
          <w:tcPr>
            <w:tcW w:w="499" w:type="dxa"/>
            <w:vMerge w:val="continue"/>
            <w:vAlign w:val="center"/>
          </w:tcPr>
          <w:p w14:paraId="34431FCD">
            <w:pPr>
              <w:widowControl/>
              <w:spacing w:line="440" w:lineRule="exact"/>
              <w:jc w:val="center"/>
              <w:rPr>
                <w:rFonts w:cs="宋体" w:asciiTheme="majorEastAsia" w:hAnsiTheme="majorEastAsia" w:eastAsiaTheme="majorEastAsia"/>
                <w:color w:val="auto"/>
                <w:kern w:val="0"/>
                <w:szCs w:val="21"/>
              </w:rPr>
            </w:pPr>
          </w:p>
        </w:tc>
      </w:tr>
      <w:tr w14:paraId="2878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50F0A7B3">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2987F827">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E5B0F6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DRG绩效得分</w:t>
            </w:r>
          </w:p>
        </w:tc>
        <w:tc>
          <w:tcPr>
            <w:tcW w:w="5544" w:type="dxa"/>
            <w:vAlign w:val="center"/>
          </w:tcPr>
          <w:p w14:paraId="47DA0257">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系统可列表展示医院DRG绩效的得分情况，至少应包括：综合得分、诊疗范围得分、诊疗难度得分、时间消耗得分、费用消耗得分、低风险死亡得分、环比情况。</w:t>
            </w:r>
          </w:p>
        </w:tc>
        <w:tc>
          <w:tcPr>
            <w:tcW w:w="499" w:type="dxa"/>
            <w:vMerge w:val="continue"/>
            <w:vAlign w:val="center"/>
          </w:tcPr>
          <w:p w14:paraId="6902291E">
            <w:pPr>
              <w:widowControl/>
              <w:spacing w:line="440" w:lineRule="exact"/>
              <w:jc w:val="center"/>
              <w:rPr>
                <w:rFonts w:cs="宋体" w:asciiTheme="majorEastAsia" w:hAnsiTheme="majorEastAsia" w:eastAsiaTheme="majorEastAsia"/>
                <w:color w:val="auto"/>
                <w:kern w:val="0"/>
                <w:szCs w:val="21"/>
              </w:rPr>
            </w:pPr>
          </w:p>
        </w:tc>
      </w:tr>
      <w:tr w14:paraId="1336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31ED164A">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03C858D">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05DD414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DRG绩效分析</w:t>
            </w:r>
          </w:p>
        </w:tc>
        <w:tc>
          <w:tcPr>
            <w:tcW w:w="5544" w:type="dxa"/>
            <w:vAlign w:val="center"/>
          </w:tcPr>
          <w:p w14:paraId="03EF416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系统可列表展示医院医疗能力分析、医疗效率分析、医疗安全分析情况。</w:t>
            </w:r>
          </w:p>
        </w:tc>
        <w:tc>
          <w:tcPr>
            <w:tcW w:w="499" w:type="dxa"/>
            <w:vMerge w:val="continue"/>
            <w:vAlign w:val="center"/>
          </w:tcPr>
          <w:p w14:paraId="7654A8FF">
            <w:pPr>
              <w:widowControl/>
              <w:spacing w:line="440" w:lineRule="exact"/>
              <w:jc w:val="center"/>
              <w:rPr>
                <w:rFonts w:cs="宋体" w:asciiTheme="majorEastAsia" w:hAnsiTheme="majorEastAsia" w:eastAsiaTheme="majorEastAsia"/>
                <w:color w:val="auto"/>
                <w:kern w:val="0"/>
                <w:szCs w:val="21"/>
              </w:rPr>
            </w:pPr>
          </w:p>
        </w:tc>
      </w:tr>
      <w:tr w14:paraId="578A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13BC0F2F">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6F97090">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873F96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DRG指标趋势分析</w:t>
            </w:r>
          </w:p>
        </w:tc>
        <w:tc>
          <w:tcPr>
            <w:tcW w:w="5544" w:type="dxa"/>
            <w:vAlign w:val="center"/>
          </w:tcPr>
          <w:p w14:paraId="165EFB7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系统能够在指定时间范围内，将DRG入组数量、CMI、时间消耗指数、费用消耗指数、低风险死亡等情况进行趋势图展示，并可按日、月、年的时间维度查看全年每月的死亡数和死亡率的情况。</w:t>
            </w:r>
          </w:p>
        </w:tc>
        <w:tc>
          <w:tcPr>
            <w:tcW w:w="499" w:type="dxa"/>
            <w:vMerge w:val="continue"/>
            <w:vAlign w:val="center"/>
          </w:tcPr>
          <w:p w14:paraId="37E2BD31">
            <w:pPr>
              <w:widowControl/>
              <w:spacing w:line="440" w:lineRule="exact"/>
              <w:jc w:val="center"/>
              <w:rPr>
                <w:rFonts w:cs="宋体" w:asciiTheme="majorEastAsia" w:hAnsiTheme="majorEastAsia" w:eastAsiaTheme="majorEastAsia"/>
                <w:color w:val="auto"/>
                <w:kern w:val="0"/>
                <w:szCs w:val="21"/>
              </w:rPr>
            </w:pPr>
          </w:p>
        </w:tc>
      </w:tr>
      <w:tr w14:paraId="7283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5759720A">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4939F26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首页费用分析</w:t>
            </w:r>
          </w:p>
        </w:tc>
        <w:tc>
          <w:tcPr>
            <w:tcW w:w="1012" w:type="dxa"/>
            <w:vAlign w:val="center"/>
          </w:tcPr>
          <w:p w14:paraId="4DA2051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全院DRG费用分析</w:t>
            </w:r>
          </w:p>
        </w:tc>
        <w:tc>
          <w:tcPr>
            <w:tcW w:w="5544" w:type="dxa"/>
            <w:vAlign w:val="center"/>
          </w:tcPr>
          <w:p w14:paraId="75D509F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系统首页DRG费用应至少包括：DRG医疗总费用、预测结算总费用、实际结算总费用、预测盈亏、实际结算总费用等内容及各项的同比、环比情况。</w:t>
            </w:r>
          </w:p>
        </w:tc>
        <w:tc>
          <w:tcPr>
            <w:tcW w:w="499" w:type="dxa"/>
            <w:vMerge w:val="restart"/>
            <w:vAlign w:val="center"/>
          </w:tcPr>
          <w:p w14:paraId="7789027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2517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353EF2B9">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4312623">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1483412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盈亏趋势分析</w:t>
            </w:r>
          </w:p>
        </w:tc>
        <w:tc>
          <w:tcPr>
            <w:tcW w:w="5544" w:type="dxa"/>
            <w:vAlign w:val="center"/>
          </w:tcPr>
          <w:p w14:paraId="2F1EC45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系统能够在指定时间范围内，按预测盈亏和实际盈亏将医院盈亏等情况进行趋势图展示，并可按日、月、年的时间维度查看全年每月的盈亏情况。</w:t>
            </w:r>
          </w:p>
        </w:tc>
        <w:tc>
          <w:tcPr>
            <w:tcW w:w="499" w:type="dxa"/>
            <w:vMerge w:val="continue"/>
            <w:vAlign w:val="center"/>
          </w:tcPr>
          <w:p w14:paraId="56DDF4F3">
            <w:pPr>
              <w:widowControl/>
              <w:spacing w:line="440" w:lineRule="exact"/>
              <w:jc w:val="center"/>
              <w:rPr>
                <w:rFonts w:cs="宋体" w:asciiTheme="majorEastAsia" w:hAnsiTheme="majorEastAsia" w:eastAsiaTheme="majorEastAsia"/>
                <w:color w:val="auto"/>
                <w:kern w:val="0"/>
                <w:szCs w:val="21"/>
              </w:rPr>
            </w:pPr>
          </w:p>
        </w:tc>
      </w:tr>
      <w:tr w14:paraId="373F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7E13C9A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03297CF">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1BEAC5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科室盈亏分布</w:t>
            </w:r>
          </w:p>
        </w:tc>
        <w:tc>
          <w:tcPr>
            <w:tcW w:w="5544" w:type="dxa"/>
            <w:vAlign w:val="center"/>
          </w:tcPr>
          <w:p w14:paraId="34D51A00">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系统能够在指定时间范围内，根据医院科室的盈利和亏损情况自动统计出科室总数、亏损科室、盈利科室的具体数量和占比分布情况。</w:t>
            </w:r>
          </w:p>
        </w:tc>
        <w:tc>
          <w:tcPr>
            <w:tcW w:w="499" w:type="dxa"/>
            <w:vMerge w:val="continue"/>
            <w:vAlign w:val="center"/>
          </w:tcPr>
          <w:p w14:paraId="2862D411">
            <w:pPr>
              <w:widowControl/>
              <w:spacing w:line="440" w:lineRule="exact"/>
              <w:jc w:val="center"/>
              <w:rPr>
                <w:rFonts w:cs="宋体" w:asciiTheme="majorEastAsia" w:hAnsiTheme="majorEastAsia" w:eastAsiaTheme="majorEastAsia"/>
                <w:color w:val="auto"/>
                <w:kern w:val="0"/>
                <w:szCs w:val="21"/>
              </w:rPr>
            </w:pPr>
          </w:p>
        </w:tc>
      </w:tr>
      <w:tr w14:paraId="133E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705DB29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7B1BA658">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2B271D1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科室亏损排名</w:t>
            </w:r>
          </w:p>
        </w:tc>
        <w:tc>
          <w:tcPr>
            <w:tcW w:w="5544" w:type="dxa"/>
            <w:vAlign w:val="center"/>
          </w:tcPr>
          <w:p w14:paraId="37CEA45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系统能够在指定时间范围内，自动统计出科室亏损占比前5名（系统默认，可根据医院需求自定义亏损科室排名数量）的科室，并可显示该科室的亏损占比数。</w:t>
            </w:r>
          </w:p>
        </w:tc>
        <w:tc>
          <w:tcPr>
            <w:tcW w:w="499" w:type="dxa"/>
            <w:vMerge w:val="continue"/>
            <w:vAlign w:val="center"/>
          </w:tcPr>
          <w:p w14:paraId="4522059B">
            <w:pPr>
              <w:widowControl/>
              <w:spacing w:line="440" w:lineRule="exact"/>
              <w:jc w:val="center"/>
              <w:rPr>
                <w:rFonts w:cs="宋体" w:asciiTheme="majorEastAsia" w:hAnsiTheme="majorEastAsia" w:eastAsiaTheme="majorEastAsia"/>
                <w:color w:val="auto"/>
                <w:kern w:val="0"/>
                <w:szCs w:val="21"/>
              </w:rPr>
            </w:pPr>
          </w:p>
        </w:tc>
      </w:tr>
      <w:tr w14:paraId="7E34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22C7C0FE">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76D9D431">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388D186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病组盈亏分布</w:t>
            </w:r>
          </w:p>
        </w:tc>
        <w:tc>
          <w:tcPr>
            <w:tcW w:w="5544" w:type="dxa"/>
            <w:vAlign w:val="center"/>
          </w:tcPr>
          <w:p w14:paraId="676AB84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系统能够在指定时间范围内，根据医院病组的盈利和亏损情况自动统计出病组总数、亏损病组、盈利病组的具体数量和占比分布情况。</w:t>
            </w:r>
          </w:p>
        </w:tc>
        <w:tc>
          <w:tcPr>
            <w:tcW w:w="499" w:type="dxa"/>
            <w:vMerge w:val="continue"/>
            <w:vAlign w:val="center"/>
          </w:tcPr>
          <w:p w14:paraId="2963CE25">
            <w:pPr>
              <w:widowControl/>
              <w:spacing w:line="440" w:lineRule="exact"/>
              <w:jc w:val="center"/>
              <w:rPr>
                <w:rFonts w:cs="宋体" w:asciiTheme="majorEastAsia" w:hAnsiTheme="majorEastAsia" w:eastAsiaTheme="majorEastAsia"/>
                <w:color w:val="auto"/>
                <w:kern w:val="0"/>
                <w:szCs w:val="21"/>
              </w:rPr>
            </w:pPr>
          </w:p>
        </w:tc>
      </w:tr>
      <w:tr w14:paraId="3B99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2BCC8315">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11DD044">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267B7D6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病组亏损排名</w:t>
            </w:r>
          </w:p>
        </w:tc>
        <w:tc>
          <w:tcPr>
            <w:tcW w:w="5544" w:type="dxa"/>
            <w:vAlign w:val="center"/>
          </w:tcPr>
          <w:p w14:paraId="4A29855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系统能够在指定时间范围内，自动统计出病组亏损占比前5名（系统默认，可根据医院需求自定义亏损科室排名数量）的科室，并可显示该病组的亏损占比数。</w:t>
            </w:r>
          </w:p>
        </w:tc>
        <w:tc>
          <w:tcPr>
            <w:tcW w:w="499" w:type="dxa"/>
            <w:vMerge w:val="continue"/>
            <w:vAlign w:val="center"/>
          </w:tcPr>
          <w:p w14:paraId="573929A4">
            <w:pPr>
              <w:widowControl/>
              <w:spacing w:line="440" w:lineRule="exact"/>
              <w:jc w:val="center"/>
              <w:rPr>
                <w:rFonts w:cs="宋体" w:asciiTheme="majorEastAsia" w:hAnsiTheme="majorEastAsia" w:eastAsiaTheme="majorEastAsia"/>
                <w:color w:val="auto"/>
                <w:kern w:val="0"/>
                <w:szCs w:val="21"/>
              </w:rPr>
            </w:pPr>
          </w:p>
        </w:tc>
      </w:tr>
      <w:tr w14:paraId="5C0F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4ED7C323">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5B22D77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病例分析</w:t>
            </w:r>
          </w:p>
        </w:tc>
        <w:tc>
          <w:tcPr>
            <w:tcW w:w="1012" w:type="dxa"/>
            <w:vAlign w:val="center"/>
          </w:tcPr>
          <w:p w14:paraId="56A72DF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病例盈亏预测</w:t>
            </w:r>
          </w:p>
        </w:tc>
        <w:tc>
          <w:tcPr>
            <w:tcW w:w="5544" w:type="dxa"/>
            <w:vAlign w:val="center"/>
          </w:tcPr>
          <w:p w14:paraId="235155A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系统应自动预测全院病例盈亏情况，可根据入院日期（指定时间范围内）、入院科室、主管医生、病历/病案号、DRG分组、出院情况、死亡情况等项目检索DRG的预分组及其相关明细等。</w:t>
            </w:r>
          </w:p>
        </w:tc>
        <w:tc>
          <w:tcPr>
            <w:tcW w:w="499" w:type="dxa"/>
            <w:vMerge w:val="restart"/>
            <w:vAlign w:val="center"/>
          </w:tcPr>
          <w:p w14:paraId="48CD817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08D7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434781B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5FBFF33">
            <w:pPr>
              <w:widowControl/>
              <w:spacing w:line="440" w:lineRule="exact"/>
              <w:jc w:val="center"/>
              <w:rPr>
                <w:rFonts w:cs="宋体" w:asciiTheme="majorEastAsia" w:hAnsiTheme="majorEastAsia" w:eastAsiaTheme="majorEastAsia"/>
                <w:color w:val="auto"/>
                <w:kern w:val="0"/>
                <w:szCs w:val="21"/>
              </w:rPr>
            </w:pPr>
          </w:p>
        </w:tc>
        <w:tc>
          <w:tcPr>
            <w:tcW w:w="1012" w:type="dxa"/>
            <w:vMerge w:val="restart"/>
            <w:vAlign w:val="center"/>
          </w:tcPr>
          <w:p w14:paraId="4D2C5B19">
            <w:pPr>
              <w:widowControl/>
              <w:spacing w:line="440" w:lineRule="exact"/>
              <w:jc w:val="center"/>
              <w:rPr>
                <w:rFonts w:cs="宋体" w:asciiTheme="majorEastAsia" w:hAnsiTheme="majorEastAsia" w:eastAsiaTheme="majorEastAsia"/>
                <w:color w:val="auto"/>
                <w:kern w:val="0"/>
                <w:szCs w:val="21"/>
              </w:rPr>
            </w:pPr>
          </w:p>
          <w:p w14:paraId="20A8652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病例盈亏分析</w:t>
            </w:r>
          </w:p>
        </w:tc>
        <w:tc>
          <w:tcPr>
            <w:tcW w:w="5544" w:type="dxa"/>
            <w:vAlign w:val="center"/>
          </w:tcPr>
          <w:p w14:paraId="2068555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以列表形式展示：预警提示（时间和金额）、患者姓名、住院费用、本院例均费用、样本例均费用、住院天数、DRG分组情况、主诊断情况、预测盈亏、基准点数等盈亏预测明细，并实现导出、下载列表详情。</w:t>
            </w:r>
          </w:p>
        </w:tc>
        <w:tc>
          <w:tcPr>
            <w:tcW w:w="499" w:type="dxa"/>
            <w:vMerge w:val="continue"/>
            <w:vAlign w:val="center"/>
          </w:tcPr>
          <w:p w14:paraId="721F05C5">
            <w:pPr>
              <w:widowControl/>
              <w:spacing w:line="440" w:lineRule="exact"/>
              <w:jc w:val="left"/>
              <w:rPr>
                <w:rFonts w:cs="宋体" w:asciiTheme="majorEastAsia" w:hAnsiTheme="majorEastAsia" w:eastAsiaTheme="majorEastAsia"/>
                <w:color w:val="auto"/>
                <w:kern w:val="0"/>
                <w:szCs w:val="21"/>
              </w:rPr>
            </w:pPr>
          </w:p>
        </w:tc>
      </w:tr>
      <w:tr w14:paraId="51BA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3C5E26B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88069B4">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126C4C71">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088C5F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自动分析全院病例盈亏情况，可根据入院日期（指定时间范围内）、入院科室、主管医生、病历/病案号、DRG分组、出院情况、死亡情况等维度检索净盈亏金额、医疗总费用、结算总费用、病例总数、总点数、高倍率例数、低倍率例数。</w:t>
            </w:r>
          </w:p>
        </w:tc>
        <w:tc>
          <w:tcPr>
            <w:tcW w:w="499" w:type="dxa"/>
            <w:vMerge w:val="continue"/>
            <w:vAlign w:val="center"/>
          </w:tcPr>
          <w:p w14:paraId="6AAB54F6">
            <w:pPr>
              <w:widowControl/>
              <w:spacing w:line="440" w:lineRule="exact"/>
              <w:jc w:val="left"/>
              <w:rPr>
                <w:rFonts w:cs="宋体" w:asciiTheme="majorEastAsia" w:hAnsiTheme="majorEastAsia" w:eastAsiaTheme="majorEastAsia"/>
                <w:color w:val="auto"/>
                <w:kern w:val="0"/>
                <w:szCs w:val="21"/>
              </w:rPr>
            </w:pPr>
          </w:p>
        </w:tc>
      </w:tr>
      <w:tr w14:paraId="3A4E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0CD236F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63C5993">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5C826930">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6A3EA98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以列表形式展示：患者姓名、病历/病案号、DRG分组情况、基准点数、病组系数、费用倍率、总点数、每点费用、住院费用、净盈亏、患者年龄、住院天数、科室、医生组等盈亏分析明细，并实现导出、下载列表详情。</w:t>
            </w:r>
          </w:p>
        </w:tc>
        <w:tc>
          <w:tcPr>
            <w:tcW w:w="499" w:type="dxa"/>
            <w:vMerge w:val="continue"/>
            <w:vAlign w:val="center"/>
          </w:tcPr>
          <w:p w14:paraId="3961A089">
            <w:pPr>
              <w:widowControl/>
              <w:spacing w:line="440" w:lineRule="exact"/>
              <w:jc w:val="left"/>
              <w:rPr>
                <w:rFonts w:cs="宋体" w:asciiTheme="majorEastAsia" w:hAnsiTheme="majorEastAsia" w:eastAsiaTheme="majorEastAsia"/>
                <w:color w:val="auto"/>
                <w:kern w:val="0"/>
                <w:szCs w:val="21"/>
              </w:rPr>
            </w:pPr>
          </w:p>
        </w:tc>
      </w:tr>
      <w:tr w14:paraId="7993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0265EB73">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1C6BADC">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135F7D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DRG字典查询</w:t>
            </w:r>
          </w:p>
        </w:tc>
        <w:tc>
          <w:tcPr>
            <w:tcW w:w="5544" w:type="dxa"/>
            <w:vAlign w:val="center"/>
          </w:tcPr>
          <w:p w14:paraId="3FE8ECE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系统应实现按DRG分组情况查询全院病例数和盈亏情况。</w:t>
            </w:r>
          </w:p>
        </w:tc>
        <w:tc>
          <w:tcPr>
            <w:tcW w:w="499" w:type="dxa"/>
            <w:vMerge w:val="continue"/>
            <w:vAlign w:val="center"/>
          </w:tcPr>
          <w:p w14:paraId="1FA9E99D">
            <w:pPr>
              <w:widowControl/>
              <w:spacing w:line="440" w:lineRule="exact"/>
              <w:jc w:val="left"/>
              <w:rPr>
                <w:rFonts w:cs="宋体" w:asciiTheme="majorEastAsia" w:hAnsiTheme="majorEastAsia" w:eastAsiaTheme="majorEastAsia"/>
                <w:color w:val="auto"/>
                <w:kern w:val="0"/>
                <w:szCs w:val="21"/>
              </w:rPr>
            </w:pPr>
          </w:p>
        </w:tc>
      </w:tr>
      <w:tr w14:paraId="1944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25A6AD5C">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0A9F7E6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DRG盈亏分析</w:t>
            </w:r>
          </w:p>
        </w:tc>
        <w:tc>
          <w:tcPr>
            <w:tcW w:w="1012" w:type="dxa"/>
            <w:vAlign w:val="center"/>
          </w:tcPr>
          <w:p w14:paraId="3301937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科室盈亏分析</w:t>
            </w:r>
          </w:p>
        </w:tc>
        <w:tc>
          <w:tcPr>
            <w:tcW w:w="5544" w:type="dxa"/>
            <w:vAlign w:val="center"/>
          </w:tcPr>
          <w:p w14:paraId="434FCCD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系统能够在指定时间范围内，查询科室盈亏情况，实现图表和列表形式展示。</w:t>
            </w:r>
          </w:p>
        </w:tc>
        <w:tc>
          <w:tcPr>
            <w:tcW w:w="499" w:type="dxa"/>
            <w:vMerge w:val="restart"/>
            <w:vAlign w:val="center"/>
          </w:tcPr>
          <w:p w14:paraId="52B65AC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0569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2C4053F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D548D15">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2F968A5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科室盈亏排序</w:t>
            </w:r>
          </w:p>
        </w:tc>
        <w:tc>
          <w:tcPr>
            <w:tcW w:w="5544" w:type="dxa"/>
            <w:vAlign w:val="center"/>
          </w:tcPr>
          <w:p w14:paraId="16A32FF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系统能够自动统计科室盈亏分布情况、科室亏损占比前5名科室和占比数、科室盈利占比前5名科室和占比数。</w:t>
            </w:r>
          </w:p>
        </w:tc>
        <w:tc>
          <w:tcPr>
            <w:tcW w:w="499" w:type="dxa"/>
            <w:vMerge w:val="continue"/>
            <w:vAlign w:val="center"/>
          </w:tcPr>
          <w:p w14:paraId="19A8B0AC">
            <w:pPr>
              <w:widowControl/>
              <w:spacing w:line="440" w:lineRule="exact"/>
              <w:jc w:val="left"/>
              <w:rPr>
                <w:rFonts w:cs="宋体" w:asciiTheme="majorEastAsia" w:hAnsiTheme="majorEastAsia" w:eastAsiaTheme="majorEastAsia"/>
                <w:color w:val="auto"/>
                <w:kern w:val="0"/>
                <w:szCs w:val="21"/>
              </w:rPr>
            </w:pPr>
          </w:p>
        </w:tc>
      </w:tr>
      <w:tr w14:paraId="6FF9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4EA0C5B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CD39E9A">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FE2ABC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科室盈亏分布</w:t>
            </w:r>
          </w:p>
        </w:tc>
        <w:tc>
          <w:tcPr>
            <w:tcW w:w="5544" w:type="dxa"/>
            <w:vAlign w:val="center"/>
          </w:tcPr>
          <w:p w14:paraId="50551A0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系统能够自动统计科室盈亏趋势，并区分盈利科室和亏损科室分布情况。</w:t>
            </w:r>
          </w:p>
        </w:tc>
        <w:tc>
          <w:tcPr>
            <w:tcW w:w="499" w:type="dxa"/>
            <w:vMerge w:val="continue"/>
            <w:vAlign w:val="center"/>
          </w:tcPr>
          <w:p w14:paraId="472B389A">
            <w:pPr>
              <w:widowControl/>
              <w:spacing w:line="440" w:lineRule="exact"/>
              <w:jc w:val="left"/>
              <w:rPr>
                <w:rFonts w:cs="宋体" w:asciiTheme="majorEastAsia" w:hAnsiTheme="majorEastAsia" w:eastAsiaTheme="majorEastAsia"/>
                <w:color w:val="auto"/>
                <w:kern w:val="0"/>
                <w:szCs w:val="21"/>
              </w:rPr>
            </w:pPr>
          </w:p>
        </w:tc>
      </w:tr>
      <w:tr w14:paraId="4E64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51797847">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1CFBB56">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6BDF4F55">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科室盈亏分析统计列表</w:t>
            </w:r>
          </w:p>
        </w:tc>
        <w:tc>
          <w:tcPr>
            <w:tcW w:w="5544" w:type="dxa"/>
            <w:vAlign w:val="center"/>
          </w:tcPr>
          <w:p w14:paraId="39872B9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系统能够在指定时间范围内，自动统计科室盈亏情况，至少应包含：出院科室、净盈亏金额、病例数、例均净盈亏金额、超支最多病组、超支最多医疗组、超支最多医生等维度情况，并实现下载明细表格。</w:t>
            </w:r>
          </w:p>
        </w:tc>
        <w:tc>
          <w:tcPr>
            <w:tcW w:w="499" w:type="dxa"/>
            <w:vMerge w:val="continue"/>
            <w:vAlign w:val="center"/>
          </w:tcPr>
          <w:p w14:paraId="253C9EF3">
            <w:pPr>
              <w:widowControl/>
              <w:spacing w:line="440" w:lineRule="exact"/>
              <w:jc w:val="left"/>
              <w:rPr>
                <w:rFonts w:cs="宋体" w:asciiTheme="majorEastAsia" w:hAnsiTheme="majorEastAsia" w:eastAsiaTheme="majorEastAsia"/>
                <w:color w:val="auto"/>
                <w:kern w:val="0"/>
                <w:szCs w:val="21"/>
              </w:rPr>
            </w:pPr>
          </w:p>
        </w:tc>
      </w:tr>
      <w:tr w14:paraId="2A6F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14DD91FE">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060B4A8">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7B799A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科室盈亏详情</w:t>
            </w:r>
          </w:p>
        </w:tc>
        <w:tc>
          <w:tcPr>
            <w:tcW w:w="5544" w:type="dxa"/>
            <w:vAlign w:val="center"/>
          </w:tcPr>
          <w:p w14:paraId="0C095F40">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系统能够在指定入院时间范围和出院科室的维度查询总点数、DGR医疗总费用、DRG结算总费用、DRG盈亏费用详情及各项的同比、环比情况。</w:t>
            </w:r>
          </w:p>
        </w:tc>
        <w:tc>
          <w:tcPr>
            <w:tcW w:w="499" w:type="dxa"/>
            <w:vMerge w:val="continue"/>
            <w:vAlign w:val="center"/>
          </w:tcPr>
          <w:p w14:paraId="4E78C197">
            <w:pPr>
              <w:widowControl/>
              <w:spacing w:line="440" w:lineRule="exact"/>
              <w:jc w:val="left"/>
              <w:rPr>
                <w:rFonts w:cs="宋体" w:asciiTheme="majorEastAsia" w:hAnsiTheme="majorEastAsia" w:eastAsiaTheme="majorEastAsia"/>
                <w:color w:val="auto"/>
                <w:kern w:val="0"/>
                <w:szCs w:val="21"/>
              </w:rPr>
            </w:pPr>
          </w:p>
        </w:tc>
      </w:tr>
      <w:tr w14:paraId="3D45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417D1C2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FFD58D3">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7E8E62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科室盈亏情况汇总</w:t>
            </w:r>
          </w:p>
        </w:tc>
        <w:tc>
          <w:tcPr>
            <w:tcW w:w="5544" w:type="dxa"/>
            <w:vAlign w:val="center"/>
          </w:tcPr>
          <w:p w14:paraId="0C981BA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以列表形式自动汇总科室盈亏情况，包括：病组列表、医生组列表、医生列表。统计内容至少包括：医生、净盈亏、病例数、例均净盈亏、例均费用、例均药品费用、例均材料费用、药占比等情况明细，并实现表格下载明细。</w:t>
            </w:r>
          </w:p>
        </w:tc>
        <w:tc>
          <w:tcPr>
            <w:tcW w:w="499" w:type="dxa"/>
            <w:vMerge w:val="continue"/>
            <w:vAlign w:val="center"/>
          </w:tcPr>
          <w:p w14:paraId="72FFACBA">
            <w:pPr>
              <w:widowControl/>
              <w:spacing w:line="440" w:lineRule="exact"/>
              <w:jc w:val="left"/>
              <w:rPr>
                <w:rFonts w:cs="宋体" w:asciiTheme="majorEastAsia" w:hAnsiTheme="majorEastAsia" w:eastAsiaTheme="majorEastAsia"/>
                <w:color w:val="auto"/>
                <w:kern w:val="0"/>
                <w:szCs w:val="21"/>
              </w:rPr>
            </w:pPr>
          </w:p>
        </w:tc>
      </w:tr>
      <w:tr w14:paraId="4DB0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0E313A2D">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0736D59">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B79972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科室盈亏趋势</w:t>
            </w:r>
          </w:p>
        </w:tc>
        <w:tc>
          <w:tcPr>
            <w:tcW w:w="5544" w:type="dxa"/>
            <w:vAlign w:val="center"/>
          </w:tcPr>
          <w:p w14:paraId="1B5A50F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系统能够自动统计全年科室盈亏情况，按月份将盈利科室和亏损科室情况进行趋势图展示，并可按日、月、年、查看盈利科室和亏损科室情况。</w:t>
            </w:r>
          </w:p>
        </w:tc>
        <w:tc>
          <w:tcPr>
            <w:tcW w:w="499" w:type="dxa"/>
            <w:vMerge w:val="continue"/>
            <w:vAlign w:val="center"/>
          </w:tcPr>
          <w:p w14:paraId="5455435B">
            <w:pPr>
              <w:widowControl/>
              <w:spacing w:line="440" w:lineRule="exact"/>
              <w:jc w:val="left"/>
              <w:rPr>
                <w:rFonts w:cs="宋体" w:asciiTheme="majorEastAsia" w:hAnsiTheme="majorEastAsia" w:eastAsiaTheme="majorEastAsia"/>
                <w:color w:val="auto"/>
                <w:kern w:val="0"/>
                <w:szCs w:val="21"/>
              </w:rPr>
            </w:pPr>
          </w:p>
        </w:tc>
      </w:tr>
      <w:tr w14:paraId="18C8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29335DF8">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3768B3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5598F24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医生组盈亏分析</w:t>
            </w:r>
          </w:p>
        </w:tc>
        <w:tc>
          <w:tcPr>
            <w:tcW w:w="5544" w:type="dxa"/>
            <w:vAlign w:val="center"/>
          </w:tcPr>
          <w:p w14:paraId="32DBE0F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系统能够在指定时间范围内，查询医生组盈亏情况，实现图表和表格形式展示。</w:t>
            </w:r>
          </w:p>
        </w:tc>
        <w:tc>
          <w:tcPr>
            <w:tcW w:w="499" w:type="dxa"/>
            <w:vMerge w:val="continue"/>
            <w:vAlign w:val="center"/>
          </w:tcPr>
          <w:p w14:paraId="5DA2A9F9">
            <w:pPr>
              <w:widowControl/>
              <w:spacing w:line="440" w:lineRule="exact"/>
              <w:jc w:val="left"/>
              <w:rPr>
                <w:rFonts w:cs="宋体" w:asciiTheme="majorEastAsia" w:hAnsiTheme="majorEastAsia" w:eastAsiaTheme="majorEastAsia"/>
                <w:color w:val="auto"/>
                <w:kern w:val="0"/>
                <w:szCs w:val="21"/>
              </w:rPr>
            </w:pPr>
          </w:p>
        </w:tc>
      </w:tr>
      <w:tr w14:paraId="6035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78FFA2C9">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A056A9F">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2C2A8A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医生组盈亏排序</w:t>
            </w:r>
          </w:p>
        </w:tc>
        <w:tc>
          <w:tcPr>
            <w:tcW w:w="5544" w:type="dxa"/>
            <w:vAlign w:val="center"/>
          </w:tcPr>
          <w:p w14:paraId="102A854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系统能够自动统计医生组盈亏分布情况、医生亏损占比前5名科室和占比数、医生盈利占比前5名科室和占比数。</w:t>
            </w:r>
          </w:p>
        </w:tc>
        <w:tc>
          <w:tcPr>
            <w:tcW w:w="499" w:type="dxa"/>
            <w:vMerge w:val="continue"/>
            <w:vAlign w:val="center"/>
          </w:tcPr>
          <w:p w14:paraId="6D281675">
            <w:pPr>
              <w:widowControl/>
              <w:spacing w:line="440" w:lineRule="exact"/>
              <w:jc w:val="left"/>
              <w:rPr>
                <w:rFonts w:cs="宋体" w:asciiTheme="majorEastAsia" w:hAnsiTheme="majorEastAsia" w:eastAsiaTheme="majorEastAsia"/>
                <w:color w:val="auto"/>
                <w:kern w:val="0"/>
                <w:szCs w:val="21"/>
              </w:rPr>
            </w:pPr>
          </w:p>
        </w:tc>
      </w:tr>
      <w:tr w14:paraId="3E0B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010492A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2874584E">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2D2F26C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医生组盈亏分布</w:t>
            </w:r>
          </w:p>
        </w:tc>
        <w:tc>
          <w:tcPr>
            <w:tcW w:w="5544" w:type="dxa"/>
            <w:vAlign w:val="center"/>
          </w:tcPr>
          <w:p w14:paraId="1FA0DDA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系统能够自动统计医生组盈亏趋势，并区分盈利医生组和亏损医生组情况。</w:t>
            </w:r>
          </w:p>
        </w:tc>
        <w:tc>
          <w:tcPr>
            <w:tcW w:w="499" w:type="dxa"/>
            <w:vMerge w:val="continue"/>
            <w:vAlign w:val="center"/>
          </w:tcPr>
          <w:p w14:paraId="5BEEE460">
            <w:pPr>
              <w:widowControl/>
              <w:spacing w:line="440" w:lineRule="exact"/>
              <w:jc w:val="left"/>
              <w:rPr>
                <w:rFonts w:cs="宋体" w:asciiTheme="majorEastAsia" w:hAnsiTheme="majorEastAsia" w:eastAsiaTheme="majorEastAsia"/>
                <w:color w:val="auto"/>
                <w:kern w:val="0"/>
                <w:szCs w:val="21"/>
              </w:rPr>
            </w:pPr>
          </w:p>
        </w:tc>
      </w:tr>
      <w:tr w14:paraId="0692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5CF4C2B4">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662EEBD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1C5AC3C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医生组盈亏汇总及列表详情</w:t>
            </w:r>
          </w:p>
        </w:tc>
        <w:tc>
          <w:tcPr>
            <w:tcW w:w="5544" w:type="dxa"/>
            <w:vAlign w:val="center"/>
          </w:tcPr>
          <w:p w14:paraId="38C006C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医生组盈亏情况，包括：医生组病组列表、医生组医生列表。至少应包含：医生、净盈亏、预测盈亏金额、病例数、例均净盈亏金额、例均预测盈亏、例均费用、例均药品费用、例均材料费用、药占比等维度情况，并实现下载明细表格。</w:t>
            </w:r>
          </w:p>
        </w:tc>
        <w:tc>
          <w:tcPr>
            <w:tcW w:w="499" w:type="dxa"/>
            <w:vMerge w:val="continue"/>
            <w:vAlign w:val="center"/>
          </w:tcPr>
          <w:p w14:paraId="65487823">
            <w:pPr>
              <w:widowControl/>
              <w:spacing w:line="440" w:lineRule="exact"/>
              <w:jc w:val="left"/>
              <w:rPr>
                <w:rFonts w:cs="宋体" w:asciiTheme="majorEastAsia" w:hAnsiTheme="majorEastAsia" w:eastAsiaTheme="majorEastAsia"/>
                <w:color w:val="auto"/>
                <w:kern w:val="0"/>
                <w:szCs w:val="21"/>
              </w:rPr>
            </w:pPr>
          </w:p>
        </w:tc>
      </w:tr>
      <w:tr w14:paraId="6593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7F0652BF">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93F037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374D58E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医生组盈亏趋势</w:t>
            </w:r>
          </w:p>
        </w:tc>
        <w:tc>
          <w:tcPr>
            <w:tcW w:w="5544" w:type="dxa"/>
            <w:vAlign w:val="center"/>
          </w:tcPr>
          <w:p w14:paraId="164AF06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系统能够自动统计全年医生组盈亏情况，按月份将盈利医生组和亏损医生组情况进行趋势图展示，并可按日、月、年、查看趋势情况。</w:t>
            </w:r>
          </w:p>
        </w:tc>
        <w:tc>
          <w:tcPr>
            <w:tcW w:w="499" w:type="dxa"/>
            <w:vMerge w:val="continue"/>
            <w:vAlign w:val="center"/>
          </w:tcPr>
          <w:p w14:paraId="2FA41FDF">
            <w:pPr>
              <w:widowControl/>
              <w:spacing w:line="440" w:lineRule="exact"/>
              <w:jc w:val="left"/>
              <w:rPr>
                <w:rFonts w:cs="宋体" w:asciiTheme="majorEastAsia" w:hAnsiTheme="majorEastAsia" w:eastAsiaTheme="majorEastAsia"/>
                <w:color w:val="auto"/>
                <w:kern w:val="0"/>
                <w:szCs w:val="21"/>
              </w:rPr>
            </w:pPr>
          </w:p>
        </w:tc>
      </w:tr>
      <w:tr w14:paraId="59A2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0FD54D73">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F732874">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2878C9B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医生盈亏分析</w:t>
            </w:r>
          </w:p>
        </w:tc>
        <w:tc>
          <w:tcPr>
            <w:tcW w:w="5544" w:type="dxa"/>
            <w:vAlign w:val="center"/>
          </w:tcPr>
          <w:p w14:paraId="0865840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系统能够在指定时间范围内，查询医生盈亏情况，实现图表和表格形式展示。</w:t>
            </w:r>
          </w:p>
        </w:tc>
        <w:tc>
          <w:tcPr>
            <w:tcW w:w="499" w:type="dxa"/>
            <w:vMerge w:val="continue"/>
            <w:vAlign w:val="center"/>
          </w:tcPr>
          <w:p w14:paraId="62258407">
            <w:pPr>
              <w:widowControl/>
              <w:spacing w:line="440" w:lineRule="exact"/>
              <w:jc w:val="left"/>
              <w:rPr>
                <w:rFonts w:cs="宋体" w:asciiTheme="majorEastAsia" w:hAnsiTheme="majorEastAsia" w:eastAsiaTheme="majorEastAsia"/>
                <w:color w:val="auto"/>
                <w:kern w:val="0"/>
                <w:szCs w:val="21"/>
              </w:rPr>
            </w:pPr>
          </w:p>
        </w:tc>
      </w:tr>
      <w:tr w14:paraId="72F6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4FB408E4">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6883613D">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55CEBF4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医生盈亏排序</w:t>
            </w:r>
          </w:p>
        </w:tc>
        <w:tc>
          <w:tcPr>
            <w:tcW w:w="5544" w:type="dxa"/>
            <w:vAlign w:val="center"/>
          </w:tcPr>
          <w:p w14:paraId="61A7BAF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系统能够自动统计医生盈亏分布情况、医生亏损占比前5名科室和占比数、医生盈利占比前5名科室和占比数。</w:t>
            </w:r>
          </w:p>
        </w:tc>
        <w:tc>
          <w:tcPr>
            <w:tcW w:w="499" w:type="dxa"/>
            <w:vMerge w:val="continue"/>
            <w:vAlign w:val="center"/>
          </w:tcPr>
          <w:p w14:paraId="36BAC8D7">
            <w:pPr>
              <w:widowControl/>
              <w:spacing w:line="440" w:lineRule="exact"/>
              <w:jc w:val="left"/>
              <w:rPr>
                <w:rFonts w:cs="宋体" w:asciiTheme="majorEastAsia" w:hAnsiTheme="majorEastAsia" w:eastAsiaTheme="majorEastAsia"/>
                <w:color w:val="auto"/>
                <w:kern w:val="0"/>
                <w:szCs w:val="21"/>
              </w:rPr>
            </w:pPr>
          </w:p>
        </w:tc>
      </w:tr>
      <w:tr w14:paraId="5418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0DBE270F">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1573B08">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143644CD">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医生盈亏分布</w:t>
            </w:r>
          </w:p>
        </w:tc>
        <w:tc>
          <w:tcPr>
            <w:tcW w:w="5544" w:type="dxa"/>
            <w:vAlign w:val="center"/>
          </w:tcPr>
          <w:p w14:paraId="3BC8DA8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系统能够自动统计医生盈亏趋势，并区分盈利医生和亏损医生情况。</w:t>
            </w:r>
          </w:p>
        </w:tc>
        <w:tc>
          <w:tcPr>
            <w:tcW w:w="499" w:type="dxa"/>
            <w:vMerge w:val="continue"/>
            <w:vAlign w:val="center"/>
          </w:tcPr>
          <w:p w14:paraId="11F41C04">
            <w:pPr>
              <w:widowControl/>
              <w:spacing w:line="440" w:lineRule="exact"/>
              <w:jc w:val="left"/>
              <w:rPr>
                <w:rFonts w:cs="宋体" w:asciiTheme="majorEastAsia" w:hAnsiTheme="majorEastAsia" w:eastAsiaTheme="majorEastAsia"/>
                <w:color w:val="auto"/>
                <w:kern w:val="0"/>
                <w:szCs w:val="21"/>
              </w:rPr>
            </w:pPr>
          </w:p>
        </w:tc>
      </w:tr>
      <w:tr w14:paraId="2B15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5C18D923">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AA4EA1C">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12D47B5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病组分段盈亏分析</w:t>
            </w:r>
          </w:p>
        </w:tc>
        <w:tc>
          <w:tcPr>
            <w:tcW w:w="5544" w:type="dxa"/>
            <w:vAlign w:val="center"/>
          </w:tcPr>
          <w:p w14:paraId="498E7E3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系统能够在指定出院时间范围内，查询病组净盈亏、RW＜0.5净盈亏金额、0.5≤RW＜1净盈亏金额、1≤RW＜1.5净盈亏金额、1.5≤RW＜2净盈亏金额、2≤RW＜3净盈亏金额、RW≥3净盈亏金额等情况。</w:t>
            </w:r>
          </w:p>
        </w:tc>
        <w:tc>
          <w:tcPr>
            <w:tcW w:w="499" w:type="dxa"/>
            <w:vMerge w:val="continue"/>
            <w:vAlign w:val="center"/>
          </w:tcPr>
          <w:p w14:paraId="397245D8">
            <w:pPr>
              <w:widowControl/>
              <w:spacing w:line="440" w:lineRule="exact"/>
              <w:jc w:val="left"/>
              <w:rPr>
                <w:rFonts w:cs="宋体" w:asciiTheme="majorEastAsia" w:hAnsiTheme="majorEastAsia" w:eastAsiaTheme="majorEastAsia"/>
                <w:color w:val="auto"/>
                <w:kern w:val="0"/>
                <w:szCs w:val="21"/>
              </w:rPr>
            </w:pPr>
          </w:p>
        </w:tc>
      </w:tr>
      <w:tr w14:paraId="0201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38566E8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6D9A8EC">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F16599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病组盈亏分布</w:t>
            </w:r>
          </w:p>
        </w:tc>
        <w:tc>
          <w:tcPr>
            <w:tcW w:w="5544" w:type="dxa"/>
            <w:vAlign w:val="center"/>
          </w:tcPr>
          <w:p w14:paraId="1E02EB8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系统能够在指定时间范围内，查询病组盈亏情况，实现图表和表格形式展示。实现自动统计病组盈亏分布情况、病组亏损占比前5名病组和占比数、病组盈利占比前5名病组和占比数。</w:t>
            </w:r>
          </w:p>
        </w:tc>
        <w:tc>
          <w:tcPr>
            <w:tcW w:w="499" w:type="dxa"/>
            <w:vMerge w:val="continue"/>
            <w:vAlign w:val="center"/>
          </w:tcPr>
          <w:p w14:paraId="7E01C1B1">
            <w:pPr>
              <w:widowControl/>
              <w:spacing w:line="440" w:lineRule="exact"/>
              <w:jc w:val="left"/>
              <w:rPr>
                <w:rFonts w:cs="宋体" w:asciiTheme="majorEastAsia" w:hAnsiTheme="majorEastAsia" w:eastAsiaTheme="majorEastAsia"/>
                <w:color w:val="auto"/>
                <w:kern w:val="0"/>
                <w:szCs w:val="21"/>
              </w:rPr>
            </w:pPr>
          </w:p>
        </w:tc>
      </w:tr>
      <w:tr w14:paraId="2DC0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4011DA06">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BA8CF09">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997862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病组盈亏趋势</w:t>
            </w:r>
          </w:p>
        </w:tc>
        <w:tc>
          <w:tcPr>
            <w:tcW w:w="5544" w:type="dxa"/>
            <w:vAlign w:val="center"/>
          </w:tcPr>
          <w:p w14:paraId="61A6449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系统能够自动统计全年病组盈亏趋势情况，按病组将盈利病组和亏损病组情况进行趋势图展示，并可按日、月、年、查看趋势情况。</w:t>
            </w:r>
          </w:p>
        </w:tc>
        <w:tc>
          <w:tcPr>
            <w:tcW w:w="499" w:type="dxa"/>
            <w:vMerge w:val="continue"/>
            <w:vAlign w:val="center"/>
          </w:tcPr>
          <w:p w14:paraId="07834D14">
            <w:pPr>
              <w:widowControl/>
              <w:spacing w:line="440" w:lineRule="exact"/>
              <w:jc w:val="left"/>
              <w:rPr>
                <w:rFonts w:cs="宋体" w:asciiTheme="majorEastAsia" w:hAnsiTheme="majorEastAsia" w:eastAsiaTheme="majorEastAsia"/>
                <w:color w:val="auto"/>
                <w:kern w:val="0"/>
                <w:szCs w:val="21"/>
              </w:rPr>
            </w:pPr>
          </w:p>
        </w:tc>
      </w:tr>
      <w:tr w14:paraId="24AF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058FC94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590385BB">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B75678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病组盈亏情况汇总</w:t>
            </w:r>
          </w:p>
        </w:tc>
        <w:tc>
          <w:tcPr>
            <w:tcW w:w="5544" w:type="dxa"/>
            <w:vAlign w:val="center"/>
          </w:tcPr>
          <w:p w14:paraId="175DC6F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病组盈亏情况和病组列表。至少应包含：DRG病组名称、净盈亏金额、病例数、例均净盈亏金额、超支主要原因、亏损最多科室、RW、总点数、例均费用等维度情况，并实现下载明细表格。</w:t>
            </w:r>
          </w:p>
        </w:tc>
        <w:tc>
          <w:tcPr>
            <w:tcW w:w="499" w:type="dxa"/>
            <w:vMerge w:val="continue"/>
            <w:vAlign w:val="center"/>
          </w:tcPr>
          <w:p w14:paraId="1ECCBD0C">
            <w:pPr>
              <w:widowControl/>
              <w:spacing w:line="440" w:lineRule="exact"/>
              <w:jc w:val="left"/>
              <w:rPr>
                <w:rFonts w:cs="宋体" w:asciiTheme="majorEastAsia" w:hAnsiTheme="majorEastAsia" w:eastAsiaTheme="majorEastAsia"/>
                <w:color w:val="auto"/>
                <w:kern w:val="0"/>
                <w:szCs w:val="21"/>
              </w:rPr>
            </w:pPr>
          </w:p>
        </w:tc>
      </w:tr>
      <w:tr w14:paraId="13CB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0F19D4E0">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CCFA65C">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A69E3A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病组盈亏详情</w:t>
            </w:r>
          </w:p>
        </w:tc>
        <w:tc>
          <w:tcPr>
            <w:tcW w:w="5544" w:type="dxa"/>
            <w:vAlign w:val="center"/>
          </w:tcPr>
          <w:p w14:paraId="053EFBB4">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系统能够在指定出院时间范围和病组的维度查询病组全年净盈亏金额、医疗总费用、基准点数、病组差异系数、病历点数、RW、每点金额数等情况。</w:t>
            </w:r>
          </w:p>
        </w:tc>
        <w:tc>
          <w:tcPr>
            <w:tcW w:w="499" w:type="dxa"/>
            <w:vMerge w:val="continue"/>
            <w:vAlign w:val="center"/>
          </w:tcPr>
          <w:p w14:paraId="6E71F4A8">
            <w:pPr>
              <w:widowControl/>
              <w:spacing w:line="440" w:lineRule="exact"/>
              <w:jc w:val="left"/>
              <w:rPr>
                <w:rFonts w:cs="宋体" w:asciiTheme="majorEastAsia" w:hAnsiTheme="majorEastAsia" w:eastAsiaTheme="majorEastAsia"/>
                <w:color w:val="auto"/>
                <w:kern w:val="0"/>
                <w:szCs w:val="21"/>
              </w:rPr>
            </w:pPr>
          </w:p>
        </w:tc>
      </w:tr>
      <w:tr w14:paraId="7EC2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35" w:type="dxa"/>
            <w:vMerge w:val="continue"/>
          </w:tcPr>
          <w:p w14:paraId="74792B78">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4550E293">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185B313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病组盈亏数据列表</w:t>
            </w:r>
          </w:p>
        </w:tc>
        <w:tc>
          <w:tcPr>
            <w:tcW w:w="5544" w:type="dxa"/>
            <w:vAlign w:val="center"/>
          </w:tcPr>
          <w:p w14:paraId="7285F717">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自动统计病组盈亏情况，包括：亏损因素列表、科室列表、医生列表。数据列表内容应至少包含：项目、超支影响、超支占比、使用该项目病例数、使用该项目病例占比、盈利病例中使用该项目占比、亏损病例中使用该项目占比等具体情况，并实现下载明细表格。</w:t>
            </w:r>
          </w:p>
        </w:tc>
        <w:tc>
          <w:tcPr>
            <w:tcW w:w="499" w:type="dxa"/>
            <w:vMerge w:val="continue"/>
            <w:vAlign w:val="center"/>
          </w:tcPr>
          <w:p w14:paraId="61106D15">
            <w:pPr>
              <w:widowControl/>
              <w:spacing w:line="440" w:lineRule="exact"/>
              <w:jc w:val="left"/>
              <w:rPr>
                <w:rFonts w:cs="宋体" w:asciiTheme="majorEastAsia" w:hAnsiTheme="majorEastAsia" w:eastAsiaTheme="majorEastAsia"/>
                <w:color w:val="auto"/>
                <w:kern w:val="0"/>
                <w:szCs w:val="21"/>
              </w:rPr>
            </w:pPr>
          </w:p>
        </w:tc>
      </w:tr>
      <w:tr w14:paraId="2E99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25E01AEC">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7BE529D9">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6A3162B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医院费用分析</w:t>
            </w:r>
          </w:p>
        </w:tc>
        <w:tc>
          <w:tcPr>
            <w:tcW w:w="5544" w:type="dxa"/>
            <w:vAlign w:val="center"/>
          </w:tcPr>
          <w:p w14:paraId="34C8EC6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系统能够根据出院时间，自动统计医院费用分布情况，并实现图表和表格形式展示。</w:t>
            </w:r>
          </w:p>
        </w:tc>
        <w:tc>
          <w:tcPr>
            <w:tcW w:w="499" w:type="dxa"/>
            <w:vMerge w:val="continue"/>
            <w:vAlign w:val="center"/>
          </w:tcPr>
          <w:p w14:paraId="0AB3536D">
            <w:pPr>
              <w:widowControl/>
              <w:spacing w:line="440" w:lineRule="exact"/>
              <w:jc w:val="left"/>
              <w:rPr>
                <w:rFonts w:cs="宋体" w:asciiTheme="majorEastAsia" w:hAnsiTheme="majorEastAsia" w:eastAsiaTheme="majorEastAsia"/>
                <w:color w:val="auto"/>
                <w:kern w:val="0"/>
                <w:szCs w:val="21"/>
              </w:rPr>
            </w:pPr>
          </w:p>
        </w:tc>
      </w:tr>
      <w:tr w14:paraId="451C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72C0AFA9">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0B05C41D">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49D2862C">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医院费用结构分析</w:t>
            </w:r>
          </w:p>
        </w:tc>
        <w:tc>
          <w:tcPr>
            <w:tcW w:w="5544" w:type="dxa"/>
            <w:vAlign w:val="center"/>
          </w:tcPr>
          <w:p w14:paraId="4D86B400">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系统能够根据出院时间，自动统计全院例均费用/全院总费用、全院例均药品费用/全院药品总费用、全院例均耗材费用/全院耗材总费用、全院例均其他费用/全院总费用等金额详情及各项的同比、环比情况。</w:t>
            </w:r>
          </w:p>
        </w:tc>
        <w:tc>
          <w:tcPr>
            <w:tcW w:w="499" w:type="dxa"/>
            <w:vMerge w:val="continue"/>
            <w:vAlign w:val="center"/>
          </w:tcPr>
          <w:p w14:paraId="1C4979B2">
            <w:pPr>
              <w:widowControl/>
              <w:spacing w:line="440" w:lineRule="exact"/>
              <w:jc w:val="left"/>
              <w:rPr>
                <w:rFonts w:cs="宋体" w:asciiTheme="majorEastAsia" w:hAnsiTheme="majorEastAsia" w:eastAsiaTheme="majorEastAsia"/>
                <w:color w:val="auto"/>
                <w:kern w:val="0"/>
                <w:szCs w:val="21"/>
              </w:rPr>
            </w:pPr>
          </w:p>
        </w:tc>
      </w:tr>
      <w:tr w14:paraId="068E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31E71C1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7E5883D8">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5B5C4BB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科室例均费用分布</w:t>
            </w:r>
          </w:p>
        </w:tc>
        <w:tc>
          <w:tcPr>
            <w:tcW w:w="5544" w:type="dxa"/>
            <w:vAlign w:val="center"/>
          </w:tcPr>
          <w:p w14:paraId="0A2199C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系统能够自动统计全年科室盈亏趋势情况，可按科室将均次药品费用、均次耗材费用、均次其他费用情况进行趋势图表展示。</w:t>
            </w:r>
          </w:p>
        </w:tc>
        <w:tc>
          <w:tcPr>
            <w:tcW w:w="499" w:type="dxa"/>
            <w:vMerge w:val="continue"/>
            <w:vAlign w:val="center"/>
          </w:tcPr>
          <w:p w14:paraId="28B552AE">
            <w:pPr>
              <w:widowControl/>
              <w:spacing w:line="440" w:lineRule="exact"/>
              <w:jc w:val="left"/>
              <w:rPr>
                <w:rFonts w:cs="宋体" w:asciiTheme="majorEastAsia" w:hAnsiTheme="majorEastAsia" w:eastAsiaTheme="majorEastAsia"/>
                <w:color w:val="auto"/>
                <w:kern w:val="0"/>
                <w:szCs w:val="21"/>
              </w:rPr>
            </w:pPr>
          </w:p>
        </w:tc>
      </w:tr>
      <w:tr w14:paraId="6C8D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193B8DC2">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232951F8">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E2F4B8C">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医院费用分析汇总</w:t>
            </w:r>
          </w:p>
        </w:tc>
        <w:tc>
          <w:tcPr>
            <w:tcW w:w="5544" w:type="dxa"/>
            <w:vAlign w:val="center"/>
          </w:tcPr>
          <w:p w14:paraId="01EDF25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系统能够根据出院时间，自动统计医院费用情况，应包括：出院科室、医疗总费用、净盈亏、预测盈亏、病例数、例均费用（当期、同期、同比差值、环比、环比差值）等具体情况，并实现下载明细表格。</w:t>
            </w:r>
          </w:p>
        </w:tc>
        <w:tc>
          <w:tcPr>
            <w:tcW w:w="499" w:type="dxa"/>
            <w:vMerge w:val="continue"/>
            <w:vAlign w:val="center"/>
          </w:tcPr>
          <w:p w14:paraId="1E966C12">
            <w:pPr>
              <w:widowControl/>
              <w:spacing w:line="440" w:lineRule="exact"/>
              <w:jc w:val="left"/>
              <w:rPr>
                <w:rFonts w:cs="宋体" w:asciiTheme="majorEastAsia" w:hAnsiTheme="majorEastAsia" w:eastAsiaTheme="majorEastAsia"/>
                <w:color w:val="auto"/>
                <w:kern w:val="0"/>
                <w:szCs w:val="21"/>
              </w:rPr>
            </w:pPr>
          </w:p>
        </w:tc>
      </w:tr>
      <w:tr w14:paraId="6FD1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3137CA0D">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1AEF65A">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748916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医院科室费用结构分布</w:t>
            </w:r>
          </w:p>
        </w:tc>
        <w:tc>
          <w:tcPr>
            <w:tcW w:w="5544" w:type="dxa"/>
            <w:vAlign w:val="center"/>
          </w:tcPr>
          <w:p w14:paraId="70A42AC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根据出院时间、出院科室，自动统计科室例均费用/全院总费用、科室例均药品费用/全院药品总费用、科室例均耗材费用/全院耗材总费用、科室例均其他费用/全院总费用等金额详情及各项的同比、环比情况。</w:t>
            </w:r>
          </w:p>
        </w:tc>
        <w:tc>
          <w:tcPr>
            <w:tcW w:w="499" w:type="dxa"/>
            <w:vMerge w:val="continue"/>
            <w:vAlign w:val="center"/>
          </w:tcPr>
          <w:p w14:paraId="60B65160">
            <w:pPr>
              <w:widowControl/>
              <w:spacing w:line="440" w:lineRule="exact"/>
              <w:jc w:val="left"/>
              <w:rPr>
                <w:rFonts w:cs="宋体" w:asciiTheme="majorEastAsia" w:hAnsiTheme="majorEastAsia" w:eastAsiaTheme="majorEastAsia"/>
                <w:color w:val="auto"/>
                <w:kern w:val="0"/>
                <w:szCs w:val="21"/>
              </w:rPr>
            </w:pPr>
          </w:p>
        </w:tc>
      </w:tr>
      <w:tr w14:paraId="693A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38D8E678">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11FC5F4">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6B516E3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病组例均费用分布</w:t>
            </w:r>
          </w:p>
        </w:tc>
        <w:tc>
          <w:tcPr>
            <w:tcW w:w="5544" w:type="dxa"/>
            <w:vAlign w:val="center"/>
          </w:tcPr>
          <w:p w14:paraId="3FF2F34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系统能够自动统计全年病组费用分布情况，可按病组将病组例均费用、均次耗材费用、均次其他费用情况进行趋势图表展示。</w:t>
            </w:r>
          </w:p>
        </w:tc>
        <w:tc>
          <w:tcPr>
            <w:tcW w:w="499" w:type="dxa"/>
            <w:vMerge w:val="continue"/>
            <w:vAlign w:val="center"/>
          </w:tcPr>
          <w:p w14:paraId="2EDFBB43">
            <w:pPr>
              <w:widowControl/>
              <w:spacing w:line="440" w:lineRule="exact"/>
              <w:jc w:val="left"/>
              <w:rPr>
                <w:rFonts w:cs="宋体" w:asciiTheme="majorEastAsia" w:hAnsiTheme="majorEastAsia" w:eastAsiaTheme="majorEastAsia"/>
                <w:color w:val="auto"/>
                <w:kern w:val="0"/>
                <w:szCs w:val="21"/>
              </w:rPr>
            </w:pPr>
          </w:p>
        </w:tc>
      </w:tr>
      <w:tr w14:paraId="5914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635" w:type="dxa"/>
            <w:vMerge w:val="continue"/>
          </w:tcPr>
          <w:p w14:paraId="1E3CB5F5">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3B34CD71">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04AC5E9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医院科室费用分析列表</w:t>
            </w:r>
          </w:p>
        </w:tc>
        <w:tc>
          <w:tcPr>
            <w:tcW w:w="5544" w:type="dxa"/>
            <w:vAlign w:val="center"/>
          </w:tcPr>
          <w:p w14:paraId="53EC772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根据出院时间、出院科室，自动统计科室费用情况，应包括：DRG名称、医疗总费用、净盈亏、预测盈亏、病例数、例均费用（当期、同期、同比差值、环比、环比差值）等具体情况，并实现下载明细表格。</w:t>
            </w:r>
          </w:p>
        </w:tc>
        <w:tc>
          <w:tcPr>
            <w:tcW w:w="499" w:type="dxa"/>
            <w:vMerge w:val="continue"/>
            <w:vAlign w:val="center"/>
          </w:tcPr>
          <w:p w14:paraId="132F6114">
            <w:pPr>
              <w:widowControl/>
              <w:spacing w:line="440" w:lineRule="exact"/>
              <w:jc w:val="left"/>
              <w:rPr>
                <w:rFonts w:cs="宋体" w:asciiTheme="majorEastAsia" w:hAnsiTheme="majorEastAsia" w:eastAsiaTheme="majorEastAsia"/>
                <w:color w:val="auto"/>
                <w:kern w:val="0"/>
                <w:szCs w:val="21"/>
              </w:rPr>
            </w:pPr>
          </w:p>
        </w:tc>
      </w:tr>
      <w:tr w14:paraId="0E4D1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635" w:type="dxa"/>
            <w:vMerge w:val="continue"/>
          </w:tcPr>
          <w:p w14:paraId="0385EBDB">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573E480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结算管理</w:t>
            </w:r>
          </w:p>
        </w:tc>
        <w:tc>
          <w:tcPr>
            <w:tcW w:w="1012" w:type="dxa"/>
            <w:vAlign w:val="center"/>
          </w:tcPr>
          <w:p w14:paraId="15112B6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DRG结算管理统计列表</w:t>
            </w:r>
          </w:p>
        </w:tc>
        <w:tc>
          <w:tcPr>
            <w:tcW w:w="5544" w:type="dxa"/>
            <w:vAlign w:val="center"/>
          </w:tcPr>
          <w:p w14:paraId="1EAB8EC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能够在指定时间范围内，查询结算费用统计情况，至少应包括：月份、系统入组病例数、医保入组病例数、分组一致病例数、分组一致率、分组不一致病例数、医保多出病例数、系统多出病例数等内容明细，并实现下载明细表格。医生可进行查看校队结果、重新导入、删除等操作，便于结算管理。</w:t>
            </w:r>
          </w:p>
        </w:tc>
        <w:tc>
          <w:tcPr>
            <w:tcW w:w="499" w:type="dxa"/>
            <w:vMerge w:val="restart"/>
            <w:vAlign w:val="center"/>
          </w:tcPr>
          <w:p w14:paraId="4485271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7848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35" w:type="dxa"/>
            <w:vMerge w:val="continue"/>
          </w:tcPr>
          <w:p w14:paraId="313D8791">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159FAF9F">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55943BC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校对结果查询</w:t>
            </w:r>
          </w:p>
        </w:tc>
        <w:tc>
          <w:tcPr>
            <w:tcW w:w="5544" w:type="dxa"/>
            <w:vAlign w:val="center"/>
          </w:tcPr>
          <w:p w14:paraId="0AC370F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可按月份、盈亏状况、校对状态查看每个科室的校对结果，包括：病历号、患者姓名、校对状态、净盈亏、病组、主诊断、主手术或操作等情况明细，并可查看每个患者的分组详情。</w:t>
            </w:r>
          </w:p>
        </w:tc>
        <w:tc>
          <w:tcPr>
            <w:tcW w:w="499" w:type="dxa"/>
            <w:vMerge w:val="continue"/>
            <w:vAlign w:val="center"/>
          </w:tcPr>
          <w:p w14:paraId="1F5AF546">
            <w:pPr>
              <w:widowControl/>
              <w:spacing w:line="440" w:lineRule="exact"/>
              <w:jc w:val="center"/>
              <w:rPr>
                <w:rFonts w:cs="宋体" w:asciiTheme="majorEastAsia" w:hAnsiTheme="majorEastAsia" w:eastAsiaTheme="majorEastAsia"/>
                <w:color w:val="auto"/>
                <w:kern w:val="0"/>
                <w:szCs w:val="21"/>
              </w:rPr>
            </w:pPr>
          </w:p>
        </w:tc>
      </w:tr>
      <w:tr w14:paraId="43C5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35" w:type="dxa"/>
            <w:vMerge w:val="continue"/>
          </w:tcPr>
          <w:p w14:paraId="18B27C2D">
            <w:pPr>
              <w:widowControl/>
              <w:spacing w:line="440" w:lineRule="exact"/>
              <w:rPr>
                <w:rFonts w:cs="宋体" w:asciiTheme="majorEastAsia" w:hAnsiTheme="majorEastAsia" w:eastAsiaTheme="majorEastAsia"/>
                <w:color w:val="auto"/>
                <w:kern w:val="0"/>
                <w:szCs w:val="21"/>
              </w:rPr>
            </w:pPr>
          </w:p>
        </w:tc>
        <w:tc>
          <w:tcPr>
            <w:tcW w:w="826" w:type="dxa"/>
            <w:vMerge w:val="continue"/>
            <w:vAlign w:val="center"/>
          </w:tcPr>
          <w:p w14:paraId="64A8C295">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8EE0584">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病例费用明细查询</w:t>
            </w:r>
          </w:p>
        </w:tc>
        <w:tc>
          <w:tcPr>
            <w:tcW w:w="5544" w:type="dxa"/>
            <w:vAlign w:val="center"/>
          </w:tcPr>
          <w:p w14:paraId="1736846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系统可查看每个病例患者的费用明细，在对账单界面直接查阅费用明细，对比医保分组结果与预分组结构的一致性，并红色标记需要申诉的病历。</w:t>
            </w:r>
          </w:p>
        </w:tc>
        <w:tc>
          <w:tcPr>
            <w:tcW w:w="499" w:type="dxa"/>
            <w:vMerge w:val="continue"/>
            <w:vAlign w:val="center"/>
          </w:tcPr>
          <w:p w14:paraId="531E94CF">
            <w:pPr>
              <w:widowControl/>
              <w:spacing w:line="440" w:lineRule="exact"/>
              <w:jc w:val="center"/>
              <w:rPr>
                <w:rFonts w:cs="宋体" w:asciiTheme="majorEastAsia" w:hAnsiTheme="majorEastAsia" w:eastAsiaTheme="majorEastAsia"/>
                <w:color w:val="auto"/>
                <w:kern w:val="0"/>
                <w:szCs w:val="21"/>
              </w:rPr>
            </w:pPr>
          </w:p>
        </w:tc>
      </w:tr>
      <w:tr w14:paraId="3C775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35" w:type="dxa"/>
            <w:vMerge w:val="continue"/>
          </w:tcPr>
          <w:p w14:paraId="125A081E">
            <w:pPr>
              <w:widowControl/>
              <w:spacing w:line="440" w:lineRule="exact"/>
              <w:rPr>
                <w:rFonts w:cs="宋体" w:asciiTheme="majorEastAsia" w:hAnsiTheme="majorEastAsia" w:eastAsiaTheme="majorEastAsia"/>
                <w:color w:val="auto"/>
                <w:kern w:val="0"/>
                <w:szCs w:val="21"/>
              </w:rPr>
            </w:pPr>
          </w:p>
        </w:tc>
        <w:tc>
          <w:tcPr>
            <w:tcW w:w="826" w:type="dxa"/>
            <w:vMerge w:val="restart"/>
            <w:vAlign w:val="center"/>
          </w:tcPr>
          <w:p w14:paraId="168F9A5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样本数据管理</w:t>
            </w:r>
          </w:p>
        </w:tc>
        <w:tc>
          <w:tcPr>
            <w:tcW w:w="1012" w:type="dxa"/>
            <w:vAlign w:val="center"/>
          </w:tcPr>
          <w:p w14:paraId="39097BF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样本数据查看</w:t>
            </w:r>
          </w:p>
        </w:tc>
        <w:tc>
          <w:tcPr>
            <w:tcW w:w="5544" w:type="dxa"/>
            <w:vAlign w:val="center"/>
          </w:tcPr>
          <w:p w14:paraId="5A63FA1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可查看样本数据的各DRG组的指标信息，包括MDC组、DRG组编码、DRG组名称、权重、例均住院天数、例均住院费用、入组病例数、死亡病例数、风险评分、付费标准。</w:t>
            </w:r>
          </w:p>
        </w:tc>
        <w:tc>
          <w:tcPr>
            <w:tcW w:w="499" w:type="dxa"/>
            <w:vMerge w:val="restart"/>
            <w:vAlign w:val="center"/>
          </w:tcPr>
          <w:p w14:paraId="139D3B3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项</w:t>
            </w:r>
          </w:p>
        </w:tc>
      </w:tr>
      <w:tr w14:paraId="1DB1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1C836E3C">
            <w:pPr>
              <w:widowControl/>
              <w:rPr>
                <w:rFonts w:ascii="宋体" w:hAnsi="宋体" w:cs="宋体"/>
                <w:color w:val="auto"/>
                <w:kern w:val="0"/>
                <w:szCs w:val="21"/>
              </w:rPr>
            </w:pPr>
          </w:p>
        </w:tc>
        <w:tc>
          <w:tcPr>
            <w:tcW w:w="826" w:type="dxa"/>
            <w:vMerge w:val="continue"/>
            <w:vAlign w:val="center"/>
          </w:tcPr>
          <w:p w14:paraId="1BD82DAA">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65AE631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样本数据导入</w:t>
            </w:r>
          </w:p>
        </w:tc>
        <w:tc>
          <w:tcPr>
            <w:tcW w:w="5544" w:type="dxa"/>
            <w:vAlign w:val="center"/>
          </w:tcPr>
          <w:p w14:paraId="3601C90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医院可自行导入样本数据，并配置默认使用的样本数据。</w:t>
            </w:r>
          </w:p>
        </w:tc>
        <w:tc>
          <w:tcPr>
            <w:tcW w:w="499" w:type="dxa"/>
            <w:vMerge w:val="continue"/>
            <w:vAlign w:val="center"/>
          </w:tcPr>
          <w:p w14:paraId="5F8EB298">
            <w:pPr>
              <w:widowControl/>
              <w:jc w:val="center"/>
              <w:rPr>
                <w:rFonts w:ascii="宋体" w:hAnsi="宋体" w:cs="宋体"/>
                <w:color w:val="auto"/>
                <w:kern w:val="0"/>
                <w:szCs w:val="21"/>
              </w:rPr>
            </w:pPr>
          </w:p>
        </w:tc>
      </w:tr>
      <w:tr w14:paraId="01AE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635" w:type="dxa"/>
            <w:vMerge w:val="continue"/>
          </w:tcPr>
          <w:p w14:paraId="16D78E3C">
            <w:pPr>
              <w:widowControl/>
              <w:rPr>
                <w:rFonts w:ascii="宋体" w:hAnsi="宋体" w:cs="宋体"/>
                <w:color w:val="auto"/>
                <w:kern w:val="0"/>
                <w:szCs w:val="21"/>
              </w:rPr>
            </w:pPr>
          </w:p>
        </w:tc>
        <w:tc>
          <w:tcPr>
            <w:tcW w:w="826" w:type="dxa"/>
            <w:vAlign w:val="center"/>
          </w:tcPr>
          <w:p w14:paraId="2226F28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DRGs临床路径规则</w:t>
            </w:r>
          </w:p>
        </w:tc>
        <w:tc>
          <w:tcPr>
            <w:tcW w:w="1012" w:type="dxa"/>
            <w:vAlign w:val="center"/>
          </w:tcPr>
          <w:p w14:paraId="61A449F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路径规则</w:t>
            </w:r>
          </w:p>
        </w:tc>
        <w:tc>
          <w:tcPr>
            <w:tcW w:w="5544" w:type="dxa"/>
            <w:vAlign w:val="center"/>
          </w:tcPr>
          <w:p w14:paraId="4A43EAF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（1）实现用户基于ICD诊断编码和或操作编码设置个性化临床路径，设置条件包含选择条件和否定条件两方面参数。</w:t>
            </w:r>
          </w:p>
          <w:p w14:paraId="3F5151B7">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（2）系统可基于历史数据自动计算用户自定义的各临床路径组的日均费用分布、费用路径分布、医嘱明细、费用明细、路径规则（图形化展示），可按时间段或科室等。</w:t>
            </w:r>
          </w:p>
          <w:p w14:paraId="7C351FD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（3）系统可展示每条具体收费明细在结余盈余和结余亏损两类病例中的占比，可按时间段或科室等。</w:t>
            </w:r>
          </w:p>
        </w:tc>
        <w:tc>
          <w:tcPr>
            <w:tcW w:w="499" w:type="dxa"/>
            <w:vAlign w:val="center"/>
          </w:tcPr>
          <w:p w14:paraId="00E0A9F5">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312F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3A93530A">
            <w:pPr>
              <w:widowControl/>
              <w:rPr>
                <w:rFonts w:ascii="宋体" w:hAnsi="宋体" w:cs="宋体"/>
                <w:color w:val="auto"/>
                <w:kern w:val="0"/>
                <w:szCs w:val="21"/>
              </w:rPr>
            </w:pPr>
          </w:p>
        </w:tc>
        <w:tc>
          <w:tcPr>
            <w:tcW w:w="826" w:type="dxa"/>
            <w:vMerge w:val="restart"/>
            <w:vAlign w:val="center"/>
          </w:tcPr>
          <w:p w14:paraId="4082DB7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结算清单上报</w:t>
            </w:r>
          </w:p>
        </w:tc>
        <w:tc>
          <w:tcPr>
            <w:tcW w:w="1012" w:type="dxa"/>
            <w:vAlign w:val="center"/>
          </w:tcPr>
          <w:p w14:paraId="0040B2D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智能生成医保结算清单</w:t>
            </w:r>
          </w:p>
        </w:tc>
        <w:tc>
          <w:tcPr>
            <w:tcW w:w="5544" w:type="dxa"/>
            <w:vAlign w:val="center"/>
          </w:tcPr>
          <w:p w14:paraId="1F4C9C6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基于自动转码以及医保结算清单的要求，智能生成医保结算清单。</w:t>
            </w:r>
          </w:p>
        </w:tc>
        <w:tc>
          <w:tcPr>
            <w:tcW w:w="499" w:type="dxa"/>
            <w:vMerge w:val="restart"/>
            <w:vAlign w:val="center"/>
          </w:tcPr>
          <w:p w14:paraId="114AB7D2">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6695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0D6365AC">
            <w:pPr>
              <w:widowControl/>
              <w:rPr>
                <w:rFonts w:ascii="宋体" w:hAnsi="宋体" w:cs="宋体"/>
                <w:color w:val="auto"/>
                <w:kern w:val="0"/>
                <w:szCs w:val="21"/>
              </w:rPr>
            </w:pPr>
          </w:p>
        </w:tc>
        <w:tc>
          <w:tcPr>
            <w:tcW w:w="826" w:type="dxa"/>
            <w:vMerge w:val="continue"/>
            <w:vAlign w:val="center"/>
          </w:tcPr>
          <w:p w14:paraId="197BB6EA">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1C0E722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数据上报</w:t>
            </w:r>
          </w:p>
        </w:tc>
        <w:tc>
          <w:tcPr>
            <w:tcW w:w="5544" w:type="dxa"/>
            <w:vAlign w:val="center"/>
          </w:tcPr>
          <w:p w14:paraId="3BF1101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将医院病案首页、费用等DRG结算清单数据上报到当地医保中心。实现医院批量上报和管理。</w:t>
            </w:r>
          </w:p>
        </w:tc>
        <w:tc>
          <w:tcPr>
            <w:tcW w:w="499" w:type="dxa"/>
            <w:vMerge w:val="continue"/>
            <w:vAlign w:val="center"/>
          </w:tcPr>
          <w:p w14:paraId="54D0AFCE">
            <w:pPr>
              <w:widowControl/>
              <w:jc w:val="left"/>
              <w:rPr>
                <w:rFonts w:ascii="宋体" w:hAnsi="宋体" w:cs="宋体"/>
                <w:color w:val="auto"/>
                <w:kern w:val="0"/>
                <w:szCs w:val="21"/>
              </w:rPr>
            </w:pPr>
          </w:p>
        </w:tc>
      </w:tr>
      <w:tr w14:paraId="214F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5A62F8EC">
            <w:pPr>
              <w:widowControl/>
              <w:rPr>
                <w:rFonts w:ascii="宋体" w:hAnsi="宋体" w:cs="宋体"/>
                <w:color w:val="auto"/>
                <w:kern w:val="0"/>
                <w:szCs w:val="21"/>
              </w:rPr>
            </w:pPr>
          </w:p>
        </w:tc>
        <w:tc>
          <w:tcPr>
            <w:tcW w:w="826" w:type="dxa"/>
            <w:vMerge w:val="continue"/>
            <w:vAlign w:val="center"/>
          </w:tcPr>
          <w:p w14:paraId="2F7737B0">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109559B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医保结果导入</w:t>
            </w:r>
          </w:p>
        </w:tc>
        <w:tc>
          <w:tcPr>
            <w:tcW w:w="5544" w:type="dxa"/>
            <w:vAlign w:val="center"/>
          </w:tcPr>
          <w:p w14:paraId="33EAC71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可选择月份一键导入医保结算单（上传），系统应自动完成账单校对，并标注出每个科室的超标病例（亏损）。</w:t>
            </w:r>
          </w:p>
        </w:tc>
        <w:tc>
          <w:tcPr>
            <w:tcW w:w="499" w:type="dxa"/>
            <w:vMerge w:val="continue"/>
            <w:vAlign w:val="center"/>
          </w:tcPr>
          <w:p w14:paraId="2FEBA515">
            <w:pPr>
              <w:widowControl/>
              <w:jc w:val="left"/>
              <w:rPr>
                <w:rFonts w:ascii="宋体" w:hAnsi="宋体" w:cs="宋体"/>
                <w:color w:val="auto"/>
                <w:kern w:val="0"/>
                <w:szCs w:val="21"/>
              </w:rPr>
            </w:pPr>
          </w:p>
        </w:tc>
      </w:tr>
      <w:tr w14:paraId="21A6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65D9E2AA">
            <w:pPr>
              <w:widowControl/>
              <w:rPr>
                <w:rFonts w:ascii="宋体" w:hAnsi="宋体" w:cs="宋体"/>
                <w:color w:val="auto"/>
                <w:kern w:val="0"/>
                <w:szCs w:val="21"/>
              </w:rPr>
            </w:pPr>
          </w:p>
        </w:tc>
        <w:tc>
          <w:tcPr>
            <w:tcW w:w="826" w:type="dxa"/>
            <w:vMerge w:val="continue"/>
            <w:vAlign w:val="center"/>
          </w:tcPr>
          <w:p w14:paraId="35824A50">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391AD2F1">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申诉管理</w:t>
            </w:r>
          </w:p>
        </w:tc>
        <w:tc>
          <w:tcPr>
            <w:tcW w:w="5544" w:type="dxa"/>
            <w:vAlign w:val="center"/>
          </w:tcPr>
          <w:p w14:paraId="2B5E928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基于医保反馈的结果，自动分科反馈给各科室，进行申诉。对科室的申诉进度、结果管理与审核。</w:t>
            </w:r>
          </w:p>
        </w:tc>
        <w:tc>
          <w:tcPr>
            <w:tcW w:w="499" w:type="dxa"/>
            <w:vMerge w:val="continue"/>
            <w:vAlign w:val="center"/>
          </w:tcPr>
          <w:p w14:paraId="7A60872C">
            <w:pPr>
              <w:widowControl/>
              <w:jc w:val="left"/>
              <w:rPr>
                <w:rFonts w:ascii="宋体" w:hAnsi="宋体" w:cs="宋体"/>
                <w:color w:val="auto"/>
                <w:kern w:val="0"/>
                <w:szCs w:val="21"/>
              </w:rPr>
            </w:pPr>
          </w:p>
        </w:tc>
      </w:tr>
      <w:tr w14:paraId="19A2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5F49F494">
            <w:pPr>
              <w:widowControl/>
              <w:rPr>
                <w:rFonts w:ascii="宋体" w:hAnsi="宋体" w:cs="宋体"/>
                <w:color w:val="auto"/>
                <w:kern w:val="0"/>
                <w:szCs w:val="21"/>
              </w:rPr>
            </w:pPr>
          </w:p>
        </w:tc>
        <w:tc>
          <w:tcPr>
            <w:tcW w:w="826" w:type="dxa"/>
            <w:vMerge w:val="continue"/>
            <w:vAlign w:val="center"/>
          </w:tcPr>
          <w:p w14:paraId="53941F75">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44B2CD2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申诉上报</w:t>
            </w:r>
          </w:p>
        </w:tc>
        <w:tc>
          <w:tcPr>
            <w:tcW w:w="5544" w:type="dxa"/>
            <w:vAlign w:val="center"/>
          </w:tcPr>
          <w:p w14:paraId="3F53289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基于科室的申诉结果上报到医保中心</w:t>
            </w:r>
          </w:p>
        </w:tc>
        <w:tc>
          <w:tcPr>
            <w:tcW w:w="499" w:type="dxa"/>
            <w:vMerge w:val="continue"/>
            <w:vAlign w:val="center"/>
          </w:tcPr>
          <w:p w14:paraId="6F62F4F6">
            <w:pPr>
              <w:widowControl/>
              <w:jc w:val="left"/>
              <w:rPr>
                <w:rFonts w:ascii="宋体" w:hAnsi="宋体" w:cs="宋体"/>
                <w:color w:val="auto"/>
                <w:kern w:val="0"/>
                <w:szCs w:val="21"/>
              </w:rPr>
            </w:pPr>
          </w:p>
        </w:tc>
      </w:tr>
      <w:tr w14:paraId="356CC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35" w:type="dxa"/>
            <w:vMerge w:val="continue"/>
          </w:tcPr>
          <w:p w14:paraId="7B05DE24">
            <w:pPr>
              <w:widowControl/>
              <w:rPr>
                <w:rFonts w:ascii="宋体" w:hAnsi="宋体" w:cs="宋体"/>
                <w:color w:val="auto"/>
                <w:kern w:val="0"/>
                <w:szCs w:val="21"/>
              </w:rPr>
            </w:pPr>
          </w:p>
        </w:tc>
        <w:tc>
          <w:tcPr>
            <w:tcW w:w="826" w:type="dxa"/>
            <w:vMerge w:val="continue"/>
            <w:vAlign w:val="center"/>
          </w:tcPr>
          <w:p w14:paraId="2EA7114F">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243F856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医保反馈查看</w:t>
            </w:r>
          </w:p>
        </w:tc>
        <w:tc>
          <w:tcPr>
            <w:tcW w:w="5544" w:type="dxa"/>
            <w:vAlign w:val="center"/>
          </w:tcPr>
          <w:p w14:paraId="72C3AB9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实现导入医保反馈的结果，并对结果进行分析，分析申诉采纳率、采纳后的结算费用变化等。</w:t>
            </w:r>
          </w:p>
        </w:tc>
        <w:tc>
          <w:tcPr>
            <w:tcW w:w="499" w:type="dxa"/>
            <w:vMerge w:val="continue"/>
            <w:vAlign w:val="center"/>
          </w:tcPr>
          <w:p w14:paraId="7385E883">
            <w:pPr>
              <w:widowControl/>
              <w:jc w:val="left"/>
              <w:rPr>
                <w:rFonts w:ascii="宋体" w:hAnsi="宋体" w:cs="宋体"/>
                <w:color w:val="auto"/>
                <w:kern w:val="0"/>
                <w:szCs w:val="21"/>
              </w:rPr>
            </w:pPr>
          </w:p>
        </w:tc>
      </w:tr>
      <w:tr w14:paraId="5C47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1154D3B">
            <w:pPr>
              <w:widowControl/>
              <w:rPr>
                <w:rFonts w:ascii="宋体" w:hAnsi="宋体" w:cs="宋体"/>
                <w:color w:val="auto"/>
                <w:kern w:val="0"/>
                <w:szCs w:val="21"/>
              </w:rPr>
            </w:pPr>
          </w:p>
        </w:tc>
        <w:tc>
          <w:tcPr>
            <w:tcW w:w="826" w:type="dxa"/>
            <w:vMerge w:val="restart"/>
            <w:vAlign w:val="center"/>
          </w:tcPr>
          <w:p w14:paraId="3B490D25">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病案首页形式质控</w:t>
            </w:r>
          </w:p>
        </w:tc>
        <w:tc>
          <w:tcPr>
            <w:tcW w:w="1012" w:type="dxa"/>
            <w:vMerge w:val="restart"/>
            <w:vAlign w:val="center"/>
          </w:tcPr>
          <w:p w14:paraId="64066B1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病案首页数据合理性</w:t>
            </w:r>
          </w:p>
        </w:tc>
        <w:tc>
          <w:tcPr>
            <w:tcW w:w="5544" w:type="dxa"/>
            <w:vAlign w:val="center"/>
          </w:tcPr>
          <w:p w14:paraId="5E221DF2">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满足国卫办医发〔2016〕24号《国家卫生计生委办公厅关于印发住院病案首页数据填写质量规范（暂行）和住院病案首页数据质量管理与控制指标（2016版）的通知》中病案首页数据质量填写规范的要求。</w:t>
            </w:r>
          </w:p>
        </w:tc>
        <w:tc>
          <w:tcPr>
            <w:tcW w:w="499" w:type="dxa"/>
            <w:vMerge w:val="restart"/>
            <w:vAlign w:val="center"/>
          </w:tcPr>
          <w:p w14:paraId="3345E302">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43A4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04F1EF5E">
            <w:pPr>
              <w:widowControl/>
              <w:rPr>
                <w:rFonts w:ascii="宋体" w:hAnsi="宋体" w:cs="宋体"/>
                <w:color w:val="auto"/>
                <w:kern w:val="0"/>
                <w:szCs w:val="21"/>
              </w:rPr>
            </w:pPr>
          </w:p>
        </w:tc>
        <w:tc>
          <w:tcPr>
            <w:tcW w:w="826" w:type="dxa"/>
            <w:vMerge w:val="continue"/>
            <w:vAlign w:val="center"/>
          </w:tcPr>
          <w:p w14:paraId="0B0841A3">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2DE8DE04">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483EA3C6">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病案首页数据完整性质控，应包含全部82个首页数据/条件必填项的完整性审核，应至少包括该患者病历全部过程中的六大详细信息模块：</w:t>
            </w:r>
          </w:p>
        </w:tc>
        <w:tc>
          <w:tcPr>
            <w:tcW w:w="499" w:type="dxa"/>
            <w:vMerge w:val="continue"/>
            <w:vAlign w:val="center"/>
          </w:tcPr>
          <w:p w14:paraId="1FD305EE">
            <w:pPr>
              <w:widowControl/>
              <w:jc w:val="center"/>
              <w:rPr>
                <w:rFonts w:ascii="宋体" w:hAnsi="宋体" w:cs="宋体"/>
                <w:color w:val="auto"/>
                <w:kern w:val="0"/>
                <w:szCs w:val="21"/>
              </w:rPr>
            </w:pPr>
          </w:p>
        </w:tc>
      </w:tr>
      <w:tr w14:paraId="6069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3E076650">
            <w:pPr>
              <w:widowControl/>
              <w:rPr>
                <w:rFonts w:ascii="宋体" w:hAnsi="宋体" w:cs="宋体"/>
                <w:color w:val="auto"/>
                <w:kern w:val="0"/>
                <w:szCs w:val="21"/>
              </w:rPr>
            </w:pPr>
          </w:p>
        </w:tc>
        <w:tc>
          <w:tcPr>
            <w:tcW w:w="826" w:type="dxa"/>
            <w:vMerge w:val="continue"/>
            <w:vAlign w:val="center"/>
          </w:tcPr>
          <w:p w14:paraId="4AE350F3">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6F6DA377">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22BD1AD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模块1：病历号、姓名、性别、民族、职业、出生日期、新生儿入院体重、籍贯、户口详细地址、现住地址、现住址电话等详细信息；</w:t>
            </w:r>
          </w:p>
        </w:tc>
        <w:tc>
          <w:tcPr>
            <w:tcW w:w="499" w:type="dxa"/>
            <w:vMerge w:val="continue"/>
            <w:vAlign w:val="center"/>
          </w:tcPr>
          <w:p w14:paraId="5AC17031">
            <w:pPr>
              <w:widowControl/>
              <w:jc w:val="center"/>
              <w:rPr>
                <w:rFonts w:ascii="宋体" w:hAnsi="宋体" w:cs="宋体"/>
                <w:color w:val="auto"/>
                <w:kern w:val="0"/>
                <w:szCs w:val="21"/>
              </w:rPr>
            </w:pPr>
          </w:p>
        </w:tc>
      </w:tr>
      <w:tr w14:paraId="526F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5FB620A7">
            <w:pPr>
              <w:widowControl/>
              <w:rPr>
                <w:rFonts w:ascii="宋体" w:hAnsi="宋体" w:cs="宋体"/>
                <w:color w:val="auto"/>
                <w:kern w:val="0"/>
                <w:szCs w:val="21"/>
              </w:rPr>
            </w:pPr>
          </w:p>
        </w:tc>
        <w:tc>
          <w:tcPr>
            <w:tcW w:w="826" w:type="dxa"/>
            <w:vMerge w:val="continue"/>
            <w:vAlign w:val="center"/>
          </w:tcPr>
          <w:p w14:paraId="6CC3FF46">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6EDFC390">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763DF08">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模块2：住院次数、身份证号、年龄、婚姻状况、国籍、新生儿出生体重、出生地址、户口地址、户口邮编、现住详细地址、现住地邮编等详细信息；</w:t>
            </w:r>
          </w:p>
        </w:tc>
        <w:tc>
          <w:tcPr>
            <w:tcW w:w="499" w:type="dxa"/>
            <w:vMerge w:val="continue"/>
            <w:vAlign w:val="center"/>
          </w:tcPr>
          <w:p w14:paraId="187BABFF">
            <w:pPr>
              <w:widowControl/>
              <w:jc w:val="center"/>
              <w:rPr>
                <w:rFonts w:ascii="宋体" w:hAnsi="宋体" w:cs="宋体"/>
                <w:color w:val="auto"/>
                <w:kern w:val="0"/>
                <w:szCs w:val="21"/>
              </w:rPr>
            </w:pPr>
          </w:p>
        </w:tc>
      </w:tr>
      <w:tr w14:paraId="4820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740AAB0C">
            <w:pPr>
              <w:widowControl/>
              <w:rPr>
                <w:rFonts w:ascii="宋体" w:hAnsi="宋体" w:cs="宋体"/>
                <w:color w:val="auto"/>
                <w:kern w:val="0"/>
                <w:szCs w:val="21"/>
              </w:rPr>
            </w:pPr>
          </w:p>
        </w:tc>
        <w:tc>
          <w:tcPr>
            <w:tcW w:w="826" w:type="dxa"/>
            <w:vMerge w:val="continue"/>
            <w:vAlign w:val="center"/>
          </w:tcPr>
          <w:p w14:paraId="70F2DDF3">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11EEC446">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17579AED">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模块3：医疗付费方式、入院时间、入院床号、主任医生ID、住院医生ID、病案质量、质控护士姓名、血型、损伤/中毒的外部因素等详细信息；</w:t>
            </w:r>
          </w:p>
        </w:tc>
        <w:tc>
          <w:tcPr>
            <w:tcW w:w="499" w:type="dxa"/>
            <w:vMerge w:val="continue"/>
            <w:vAlign w:val="center"/>
          </w:tcPr>
          <w:p w14:paraId="534BE7C4">
            <w:pPr>
              <w:widowControl/>
              <w:jc w:val="center"/>
              <w:rPr>
                <w:rFonts w:ascii="宋体" w:hAnsi="宋体" w:cs="宋体"/>
                <w:color w:val="auto"/>
                <w:kern w:val="0"/>
                <w:szCs w:val="21"/>
              </w:rPr>
            </w:pPr>
          </w:p>
        </w:tc>
      </w:tr>
      <w:tr w14:paraId="160B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18666FEC">
            <w:pPr>
              <w:widowControl/>
              <w:rPr>
                <w:rFonts w:ascii="宋体" w:hAnsi="宋体" w:cs="宋体"/>
                <w:color w:val="auto"/>
                <w:kern w:val="0"/>
                <w:szCs w:val="21"/>
              </w:rPr>
            </w:pPr>
          </w:p>
        </w:tc>
        <w:tc>
          <w:tcPr>
            <w:tcW w:w="826" w:type="dxa"/>
            <w:vMerge w:val="continue"/>
            <w:vAlign w:val="center"/>
          </w:tcPr>
          <w:p w14:paraId="494DDC19">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6CBD9994">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4F3D34B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模块4：入院途径、入院病区、科主任ID、主治医生ID、责任护士姓名、质控医生姓名、质控日期、RH血型等详细信息；</w:t>
            </w:r>
          </w:p>
        </w:tc>
        <w:tc>
          <w:tcPr>
            <w:tcW w:w="499" w:type="dxa"/>
            <w:vMerge w:val="continue"/>
            <w:vAlign w:val="center"/>
          </w:tcPr>
          <w:p w14:paraId="59C2D48C">
            <w:pPr>
              <w:widowControl/>
              <w:jc w:val="center"/>
              <w:rPr>
                <w:rFonts w:ascii="宋体" w:hAnsi="宋体" w:cs="宋体"/>
                <w:color w:val="auto"/>
                <w:kern w:val="0"/>
                <w:szCs w:val="21"/>
              </w:rPr>
            </w:pPr>
          </w:p>
        </w:tc>
      </w:tr>
      <w:tr w14:paraId="3374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677599E0">
            <w:pPr>
              <w:widowControl/>
              <w:rPr>
                <w:rFonts w:ascii="宋体" w:hAnsi="宋体" w:cs="宋体"/>
                <w:color w:val="auto"/>
                <w:kern w:val="0"/>
                <w:szCs w:val="21"/>
              </w:rPr>
            </w:pPr>
          </w:p>
        </w:tc>
        <w:tc>
          <w:tcPr>
            <w:tcW w:w="826" w:type="dxa"/>
            <w:vMerge w:val="continue"/>
            <w:vAlign w:val="center"/>
          </w:tcPr>
          <w:p w14:paraId="397D2E04">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34BFCCCE">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69ABA05">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模块5：出院日期、出院床号、接收医疗机构名称、再入院计划目的、入院后患者昏迷时间、抢救次数、尸检标志、临床路径管理、入院与出院等详细信息；</w:t>
            </w:r>
          </w:p>
        </w:tc>
        <w:tc>
          <w:tcPr>
            <w:tcW w:w="499" w:type="dxa"/>
            <w:vMerge w:val="continue"/>
            <w:vAlign w:val="center"/>
          </w:tcPr>
          <w:p w14:paraId="7723D2C7">
            <w:pPr>
              <w:widowControl/>
              <w:jc w:val="center"/>
              <w:rPr>
                <w:rFonts w:ascii="宋体" w:hAnsi="宋体" w:cs="宋体"/>
                <w:color w:val="auto"/>
                <w:kern w:val="0"/>
                <w:szCs w:val="21"/>
              </w:rPr>
            </w:pPr>
          </w:p>
        </w:tc>
      </w:tr>
      <w:tr w14:paraId="4B3F8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0254FECA">
            <w:pPr>
              <w:widowControl/>
              <w:rPr>
                <w:rFonts w:ascii="宋体" w:hAnsi="宋体" w:cs="宋体"/>
                <w:color w:val="auto"/>
                <w:kern w:val="0"/>
                <w:szCs w:val="21"/>
              </w:rPr>
            </w:pPr>
          </w:p>
        </w:tc>
        <w:tc>
          <w:tcPr>
            <w:tcW w:w="826" w:type="dxa"/>
            <w:vMerge w:val="continue"/>
            <w:vAlign w:val="center"/>
          </w:tcPr>
          <w:p w14:paraId="1C8F9FD1">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47399A2A">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7B58CB6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模块6：住院天数、离院方式、是否有出院31天内再入院计划、入院前患者昏迷时间、主要诊断治愈好转情况、抢救成功次数、单病种管理、门诊与出院等详细内容。</w:t>
            </w:r>
          </w:p>
        </w:tc>
        <w:tc>
          <w:tcPr>
            <w:tcW w:w="499" w:type="dxa"/>
            <w:vMerge w:val="continue"/>
            <w:vAlign w:val="center"/>
          </w:tcPr>
          <w:p w14:paraId="6C414230">
            <w:pPr>
              <w:widowControl/>
              <w:jc w:val="center"/>
              <w:rPr>
                <w:rFonts w:ascii="宋体" w:hAnsi="宋体" w:cs="宋体"/>
                <w:color w:val="auto"/>
                <w:kern w:val="0"/>
                <w:szCs w:val="21"/>
              </w:rPr>
            </w:pPr>
          </w:p>
        </w:tc>
      </w:tr>
      <w:tr w14:paraId="18E9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BDCB4C9">
            <w:pPr>
              <w:widowControl/>
              <w:rPr>
                <w:rFonts w:ascii="宋体" w:hAnsi="宋体" w:cs="宋体"/>
                <w:color w:val="auto"/>
                <w:kern w:val="0"/>
                <w:szCs w:val="21"/>
              </w:rPr>
            </w:pPr>
          </w:p>
        </w:tc>
        <w:tc>
          <w:tcPr>
            <w:tcW w:w="826" w:type="dxa"/>
            <w:vMerge w:val="continue"/>
            <w:vAlign w:val="center"/>
          </w:tcPr>
          <w:p w14:paraId="5A923120">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74E1C201">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5E6A19C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病案首页数据合理性质控：包含全部首页数据中规定值域范围、取值代码的质量控制。</w:t>
            </w:r>
          </w:p>
        </w:tc>
        <w:tc>
          <w:tcPr>
            <w:tcW w:w="499" w:type="dxa"/>
            <w:vMerge w:val="continue"/>
            <w:vAlign w:val="center"/>
          </w:tcPr>
          <w:p w14:paraId="267208E3">
            <w:pPr>
              <w:widowControl/>
              <w:jc w:val="center"/>
              <w:rPr>
                <w:rFonts w:ascii="宋体" w:hAnsi="宋体" w:cs="宋体"/>
                <w:color w:val="auto"/>
                <w:kern w:val="0"/>
                <w:szCs w:val="21"/>
              </w:rPr>
            </w:pPr>
          </w:p>
        </w:tc>
      </w:tr>
      <w:tr w14:paraId="5F4D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4DC5803F">
            <w:pPr>
              <w:widowControl/>
              <w:rPr>
                <w:rFonts w:ascii="宋体" w:hAnsi="宋体" w:cs="宋体"/>
                <w:color w:val="auto"/>
                <w:kern w:val="0"/>
                <w:szCs w:val="21"/>
              </w:rPr>
            </w:pPr>
          </w:p>
        </w:tc>
        <w:tc>
          <w:tcPr>
            <w:tcW w:w="826" w:type="dxa"/>
            <w:vMerge w:val="restart"/>
            <w:vAlign w:val="center"/>
          </w:tcPr>
          <w:p w14:paraId="32BB8BB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病案首页内涵实时质控</w:t>
            </w:r>
          </w:p>
        </w:tc>
        <w:tc>
          <w:tcPr>
            <w:tcW w:w="1012" w:type="dxa"/>
            <w:vAlign w:val="center"/>
          </w:tcPr>
          <w:p w14:paraId="76C5EF2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病案首页数据合规性</w:t>
            </w:r>
          </w:p>
        </w:tc>
        <w:tc>
          <w:tcPr>
            <w:tcW w:w="5544" w:type="dxa"/>
            <w:vAlign w:val="center"/>
          </w:tcPr>
          <w:p w14:paraId="35BD987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满足HQMS对病案首页上报数据校验标准，对上报数据的合规性进行质量控制，如：住院总费用不等于明细费用之和。</w:t>
            </w:r>
          </w:p>
        </w:tc>
        <w:tc>
          <w:tcPr>
            <w:tcW w:w="499" w:type="dxa"/>
            <w:vMerge w:val="restart"/>
            <w:vAlign w:val="center"/>
          </w:tcPr>
          <w:p w14:paraId="1A74309A">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75AD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162CB39">
            <w:pPr>
              <w:widowControl/>
              <w:rPr>
                <w:rFonts w:ascii="宋体" w:hAnsi="宋体" w:cs="宋体"/>
                <w:color w:val="auto"/>
                <w:kern w:val="0"/>
                <w:szCs w:val="21"/>
              </w:rPr>
            </w:pPr>
          </w:p>
        </w:tc>
        <w:tc>
          <w:tcPr>
            <w:tcW w:w="826" w:type="dxa"/>
            <w:vMerge w:val="continue"/>
            <w:vAlign w:val="center"/>
          </w:tcPr>
          <w:p w14:paraId="6D002FAC">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3616AB7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病案首页数据相互检验一致性</w:t>
            </w:r>
          </w:p>
        </w:tc>
        <w:tc>
          <w:tcPr>
            <w:tcW w:w="5544" w:type="dxa"/>
            <w:vAlign w:val="center"/>
          </w:tcPr>
          <w:p w14:paraId="6736DE8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对患者基本信息、诊断、手术等信息相互间矛盾的情况进行质量控制，例如：患者性别与诊断不匹配。</w:t>
            </w:r>
          </w:p>
        </w:tc>
        <w:tc>
          <w:tcPr>
            <w:tcW w:w="499" w:type="dxa"/>
            <w:vMerge w:val="continue"/>
            <w:vAlign w:val="center"/>
          </w:tcPr>
          <w:p w14:paraId="1BBE653F">
            <w:pPr>
              <w:widowControl/>
              <w:jc w:val="center"/>
              <w:rPr>
                <w:rFonts w:ascii="宋体" w:hAnsi="宋体" w:cs="宋体"/>
                <w:color w:val="auto"/>
                <w:kern w:val="0"/>
                <w:szCs w:val="21"/>
              </w:rPr>
            </w:pPr>
          </w:p>
        </w:tc>
      </w:tr>
      <w:tr w14:paraId="78F3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26F6077">
            <w:pPr>
              <w:widowControl/>
              <w:rPr>
                <w:rFonts w:ascii="宋体" w:hAnsi="宋体" w:cs="宋体"/>
                <w:color w:val="auto"/>
                <w:kern w:val="0"/>
                <w:szCs w:val="21"/>
              </w:rPr>
            </w:pPr>
          </w:p>
        </w:tc>
        <w:tc>
          <w:tcPr>
            <w:tcW w:w="826" w:type="dxa"/>
            <w:vMerge w:val="continue"/>
            <w:vAlign w:val="center"/>
          </w:tcPr>
          <w:p w14:paraId="373E4E19">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57C1D1E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主诊断和其他诊断选择质控</w:t>
            </w:r>
          </w:p>
        </w:tc>
        <w:tc>
          <w:tcPr>
            <w:tcW w:w="5544" w:type="dxa"/>
            <w:vAlign w:val="center"/>
          </w:tcPr>
          <w:p w14:paraId="3A5C751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对病案首页主诊断与其他诊断的选择进行质量控制，如：当主诊断选择为未特指的疾病，其他诊断为更准确的疾病时，优先使用准确的疾病为主诊断。</w:t>
            </w:r>
          </w:p>
        </w:tc>
        <w:tc>
          <w:tcPr>
            <w:tcW w:w="499" w:type="dxa"/>
            <w:vMerge w:val="continue"/>
            <w:vAlign w:val="center"/>
          </w:tcPr>
          <w:p w14:paraId="6067BBB6">
            <w:pPr>
              <w:widowControl/>
              <w:jc w:val="center"/>
              <w:rPr>
                <w:rFonts w:ascii="宋体" w:hAnsi="宋体" w:cs="宋体"/>
                <w:color w:val="auto"/>
                <w:kern w:val="0"/>
                <w:szCs w:val="21"/>
              </w:rPr>
            </w:pPr>
          </w:p>
        </w:tc>
      </w:tr>
      <w:tr w14:paraId="2A47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65099A2B">
            <w:pPr>
              <w:widowControl/>
              <w:rPr>
                <w:rFonts w:ascii="宋体" w:hAnsi="宋体" w:cs="宋体"/>
                <w:color w:val="auto"/>
                <w:kern w:val="0"/>
                <w:szCs w:val="21"/>
              </w:rPr>
            </w:pPr>
          </w:p>
        </w:tc>
        <w:tc>
          <w:tcPr>
            <w:tcW w:w="826" w:type="dxa"/>
            <w:vMerge w:val="continue"/>
            <w:vAlign w:val="center"/>
          </w:tcPr>
          <w:p w14:paraId="5E7E0F00">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7ED9155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诊断和手术选择合理性质控</w:t>
            </w:r>
          </w:p>
        </w:tc>
        <w:tc>
          <w:tcPr>
            <w:tcW w:w="5544" w:type="dxa"/>
            <w:vAlign w:val="center"/>
          </w:tcPr>
          <w:p w14:paraId="5329B96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对病案首页的诊断与手术选择的合理性进行质量控制，如：当一个患者存在多个手术时，主要手术选择与主要诊断相关的手术。</w:t>
            </w:r>
          </w:p>
        </w:tc>
        <w:tc>
          <w:tcPr>
            <w:tcW w:w="499" w:type="dxa"/>
            <w:vMerge w:val="continue"/>
            <w:vAlign w:val="center"/>
          </w:tcPr>
          <w:p w14:paraId="12041695">
            <w:pPr>
              <w:widowControl/>
              <w:jc w:val="center"/>
              <w:rPr>
                <w:rFonts w:ascii="宋体" w:hAnsi="宋体" w:cs="宋体"/>
                <w:color w:val="auto"/>
                <w:kern w:val="0"/>
                <w:szCs w:val="21"/>
              </w:rPr>
            </w:pPr>
          </w:p>
        </w:tc>
      </w:tr>
      <w:tr w14:paraId="5492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3428299">
            <w:pPr>
              <w:widowControl/>
              <w:rPr>
                <w:rFonts w:ascii="宋体" w:hAnsi="宋体" w:cs="宋体"/>
                <w:color w:val="auto"/>
                <w:kern w:val="0"/>
                <w:szCs w:val="21"/>
              </w:rPr>
            </w:pPr>
          </w:p>
        </w:tc>
        <w:tc>
          <w:tcPr>
            <w:tcW w:w="826" w:type="dxa"/>
            <w:vMerge w:val="restart"/>
            <w:vAlign w:val="center"/>
          </w:tcPr>
          <w:p w14:paraId="4D6D7B2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病案首页质控流程管理</w:t>
            </w:r>
          </w:p>
        </w:tc>
        <w:tc>
          <w:tcPr>
            <w:tcW w:w="1012" w:type="dxa"/>
            <w:vMerge w:val="restart"/>
            <w:vAlign w:val="center"/>
          </w:tcPr>
          <w:p w14:paraId="6D5B476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医生与病案室质控联动</w:t>
            </w:r>
          </w:p>
        </w:tc>
        <w:tc>
          <w:tcPr>
            <w:tcW w:w="5544" w:type="dxa"/>
            <w:vAlign w:val="center"/>
          </w:tcPr>
          <w:p w14:paraId="069A517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系统实现病案室端根据病历AI审核结果，包括：病案首页得分、总病案首页问题数量、病案首页问题分布等维度进行结果展示，并实现病案室端二次人工审核。</w:t>
            </w:r>
          </w:p>
        </w:tc>
        <w:tc>
          <w:tcPr>
            <w:tcW w:w="499" w:type="dxa"/>
            <w:vMerge w:val="restart"/>
            <w:vAlign w:val="center"/>
          </w:tcPr>
          <w:p w14:paraId="3486FCF6">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6ABF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E13FCFF">
            <w:pPr>
              <w:widowControl/>
              <w:rPr>
                <w:rFonts w:ascii="宋体" w:hAnsi="宋体" w:cs="宋体"/>
                <w:color w:val="auto"/>
                <w:kern w:val="0"/>
                <w:szCs w:val="21"/>
              </w:rPr>
            </w:pPr>
          </w:p>
        </w:tc>
        <w:tc>
          <w:tcPr>
            <w:tcW w:w="826" w:type="dxa"/>
            <w:vMerge w:val="continue"/>
            <w:vAlign w:val="center"/>
          </w:tcPr>
          <w:p w14:paraId="084795BF">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546ECBE0">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11C7810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当病案室在发现首页质量问题时，可线上驳回并填写驳回原因等信息反馈给医生，被打回的病历在医生端有通过/驳回标识，并显示人工修改意见。医生修改后再反馈给病案室再次进行审核，审核通过后，进行归档处理。</w:t>
            </w:r>
          </w:p>
        </w:tc>
        <w:tc>
          <w:tcPr>
            <w:tcW w:w="499" w:type="dxa"/>
            <w:vMerge w:val="continue"/>
            <w:vAlign w:val="center"/>
          </w:tcPr>
          <w:p w14:paraId="0FC3276D">
            <w:pPr>
              <w:widowControl/>
              <w:jc w:val="center"/>
              <w:rPr>
                <w:rFonts w:ascii="宋体" w:hAnsi="宋体" w:cs="宋体"/>
                <w:color w:val="auto"/>
                <w:kern w:val="0"/>
                <w:szCs w:val="21"/>
              </w:rPr>
            </w:pPr>
          </w:p>
        </w:tc>
      </w:tr>
      <w:tr w14:paraId="5202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0AEE29C">
            <w:pPr>
              <w:widowControl/>
              <w:rPr>
                <w:rFonts w:ascii="宋体" w:hAnsi="宋体" w:cs="宋体"/>
                <w:color w:val="auto"/>
                <w:kern w:val="0"/>
                <w:szCs w:val="21"/>
              </w:rPr>
            </w:pPr>
          </w:p>
        </w:tc>
        <w:tc>
          <w:tcPr>
            <w:tcW w:w="826" w:type="dxa"/>
            <w:vMerge w:val="restart"/>
            <w:vAlign w:val="center"/>
          </w:tcPr>
          <w:p w14:paraId="58D5FA2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病案首页360视图浏览</w:t>
            </w:r>
          </w:p>
        </w:tc>
        <w:tc>
          <w:tcPr>
            <w:tcW w:w="1012" w:type="dxa"/>
            <w:vAlign w:val="center"/>
          </w:tcPr>
          <w:p w14:paraId="3C4FC8ED">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病案及诊疗资料浏览</w:t>
            </w:r>
          </w:p>
        </w:tc>
        <w:tc>
          <w:tcPr>
            <w:tcW w:w="5544" w:type="dxa"/>
            <w:vAlign w:val="center"/>
          </w:tcPr>
          <w:p w14:paraId="41EBE2A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实现在质控过程中随时浏览患者本次住院的360维度信息，应包括：患者基本信息、入院记录、出院/死亡记录、病程记录、医嘱、检验检查结果、谈话记录等相关信息。</w:t>
            </w:r>
          </w:p>
        </w:tc>
        <w:tc>
          <w:tcPr>
            <w:tcW w:w="499" w:type="dxa"/>
            <w:vMerge w:val="restart"/>
            <w:vAlign w:val="center"/>
          </w:tcPr>
          <w:p w14:paraId="5940E3BB">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3F06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1699252">
            <w:pPr>
              <w:widowControl/>
              <w:rPr>
                <w:rFonts w:ascii="宋体" w:hAnsi="宋体" w:cs="宋体"/>
                <w:color w:val="auto"/>
                <w:kern w:val="0"/>
                <w:szCs w:val="21"/>
              </w:rPr>
            </w:pPr>
          </w:p>
        </w:tc>
        <w:tc>
          <w:tcPr>
            <w:tcW w:w="826" w:type="dxa"/>
            <w:vMerge w:val="continue"/>
            <w:vAlign w:val="center"/>
          </w:tcPr>
          <w:p w14:paraId="5BCCD59A">
            <w:pPr>
              <w:widowControl/>
              <w:spacing w:line="440" w:lineRule="exact"/>
              <w:jc w:val="center"/>
              <w:rPr>
                <w:rFonts w:cs="宋体" w:asciiTheme="majorEastAsia" w:hAnsiTheme="majorEastAsia" w:eastAsiaTheme="majorEastAsia"/>
                <w:color w:val="auto"/>
                <w:kern w:val="0"/>
                <w:szCs w:val="21"/>
              </w:rPr>
            </w:pPr>
          </w:p>
        </w:tc>
        <w:tc>
          <w:tcPr>
            <w:tcW w:w="1012" w:type="dxa"/>
            <w:vMerge w:val="restart"/>
            <w:vAlign w:val="center"/>
          </w:tcPr>
          <w:p w14:paraId="76992FD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病案首页质控点</w:t>
            </w:r>
          </w:p>
        </w:tc>
        <w:tc>
          <w:tcPr>
            <w:tcW w:w="5544" w:type="dxa"/>
            <w:vAlign w:val="center"/>
          </w:tcPr>
          <w:p w14:paraId="35053EB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系统应覆盖至少70个必填项目自动质控，应包括：医疗机构、组织机构代码、住院次数、入院途径、入院途径等。</w:t>
            </w:r>
          </w:p>
        </w:tc>
        <w:tc>
          <w:tcPr>
            <w:tcW w:w="499" w:type="dxa"/>
            <w:vMerge w:val="continue"/>
            <w:vAlign w:val="center"/>
          </w:tcPr>
          <w:p w14:paraId="1CE38241">
            <w:pPr>
              <w:widowControl/>
              <w:jc w:val="center"/>
              <w:rPr>
                <w:rFonts w:ascii="宋体" w:hAnsi="宋体" w:cs="宋体"/>
                <w:color w:val="auto"/>
                <w:kern w:val="0"/>
                <w:szCs w:val="21"/>
              </w:rPr>
            </w:pPr>
          </w:p>
        </w:tc>
      </w:tr>
      <w:tr w14:paraId="3C23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35" w:type="dxa"/>
            <w:vMerge w:val="continue"/>
          </w:tcPr>
          <w:p w14:paraId="01B2B64D">
            <w:pPr>
              <w:widowControl/>
              <w:rPr>
                <w:rFonts w:ascii="宋体" w:hAnsi="宋体" w:cs="宋体"/>
                <w:color w:val="auto"/>
                <w:kern w:val="0"/>
                <w:szCs w:val="21"/>
              </w:rPr>
            </w:pPr>
          </w:p>
        </w:tc>
        <w:tc>
          <w:tcPr>
            <w:tcW w:w="826" w:type="dxa"/>
            <w:vMerge w:val="continue"/>
            <w:vAlign w:val="center"/>
          </w:tcPr>
          <w:p w14:paraId="6644AE43">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50BF10A0">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525BD1D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入院记录正在治疗的疾病未列入病案首页其他诊断中：</w:t>
            </w:r>
          </w:p>
          <w:p w14:paraId="731AD9A4">
            <w:p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医院入院记录特殊字段“正在治疗的疾病及用药”中明确书写的在患疾病未写入病案首页其他诊断中。</w:t>
            </w:r>
          </w:p>
        </w:tc>
        <w:tc>
          <w:tcPr>
            <w:tcW w:w="499" w:type="dxa"/>
            <w:vMerge w:val="continue"/>
            <w:vAlign w:val="center"/>
          </w:tcPr>
          <w:p w14:paraId="52E44E06">
            <w:pPr>
              <w:widowControl/>
              <w:jc w:val="center"/>
              <w:rPr>
                <w:rFonts w:ascii="宋体" w:hAnsi="宋体" w:cs="宋体"/>
                <w:color w:val="auto"/>
                <w:kern w:val="0"/>
                <w:szCs w:val="21"/>
              </w:rPr>
            </w:pPr>
          </w:p>
        </w:tc>
      </w:tr>
      <w:tr w14:paraId="4C5C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2C48C9C3">
            <w:pPr>
              <w:widowControl/>
              <w:rPr>
                <w:rFonts w:ascii="宋体" w:hAnsi="宋体" w:cs="宋体"/>
                <w:color w:val="auto"/>
                <w:kern w:val="0"/>
                <w:szCs w:val="21"/>
              </w:rPr>
            </w:pPr>
          </w:p>
        </w:tc>
        <w:tc>
          <w:tcPr>
            <w:tcW w:w="826" w:type="dxa"/>
            <w:vMerge w:val="continue"/>
            <w:vAlign w:val="center"/>
          </w:tcPr>
          <w:p w14:paraId="5B43508D">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1E297649">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8224468">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异常检验结果未下入病案首页诊断中：</w:t>
            </w:r>
          </w:p>
          <w:p w14:paraId="74838BF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如检验结果明确存在血常规血红蛋白减少、术前筛查梅毒阳性，但病案首页未见贫血、梅毒感染等相关诊断。</w:t>
            </w:r>
          </w:p>
        </w:tc>
        <w:tc>
          <w:tcPr>
            <w:tcW w:w="499" w:type="dxa"/>
            <w:vMerge w:val="continue"/>
            <w:vAlign w:val="center"/>
          </w:tcPr>
          <w:p w14:paraId="0277ABB3">
            <w:pPr>
              <w:widowControl/>
              <w:jc w:val="center"/>
              <w:rPr>
                <w:rFonts w:ascii="宋体" w:hAnsi="宋体" w:cs="宋体"/>
                <w:color w:val="auto"/>
                <w:kern w:val="0"/>
                <w:szCs w:val="21"/>
              </w:rPr>
            </w:pPr>
          </w:p>
        </w:tc>
      </w:tr>
      <w:tr w14:paraId="64E1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592AD8FF">
            <w:pPr>
              <w:widowControl/>
              <w:rPr>
                <w:rFonts w:ascii="宋体" w:hAnsi="宋体" w:cs="宋体"/>
                <w:color w:val="auto"/>
                <w:kern w:val="0"/>
                <w:szCs w:val="21"/>
              </w:rPr>
            </w:pPr>
          </w:p>
        </w:tc>
        <w:tc>
          <w:tcPr>
            <w:tcW w:w="826" w:type="dxa"/>
            <w:vMerge w:val="continue"/>
            <w:vAlign w:val="center"/>
          </w:tcPr>
          <w:p w14:paraId="417B2865">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20B85A31">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03D9FE2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既往史中诊断未下入病案首页其他诊断：</w:t>
            </w:r>
          </w:p>
        </w:tc>
        <w:tc>
          <w:tcPr>
            <w:tcW w:w="499" w:type="dxa"/>
            <w:vMerge w:val="continue"/>
            <w:vAlign w:val="center"/>
          </w:tcPr>
          <w:p w14:paraId="3BCC26CF">
            <w:pPr>
              <w:widowControl/>
              <w:jc w:val="center"/>
              <w:rPr>
                <w:rFonts w:ascii="宋体" w:hAnsi="宋体" w:cs="宋体"/>
                <w:color w:val="auto"/>
                <w:kern w:val="0"/>
                <w:szCs w:val="21"/>
              </w:rPr>
            </w:pPr>
          </w:p>
        </w:tc>
      </w:tr>
      <w:tr w14:paraId="4BF4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6DDB209">
            <w:pPr>
              <w:widowControl/>
              <w:rPr>
                <w:rFonts w:ascii="宋体" w:hAnsi="宋体" w:cs="宋体"/>
                <w:color w:val="auto"/>
                <w:kern w:val="0"/>
                <w:szCs w:val="21"/>
              </w:rPr>
            </w:pPr>
          </w:p>
        </w:tc>
        <w:tc>
          <w:tcPr>
            <w:tcW w:w="826" w:type="dxa"/>
            <w:vMerge w:val="continue"/>
            <w:vAlign w:val="center"/>
          </w:tcPr>
          <w:p w14:paraId="405D8317">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114C77E8">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6C86382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如患者既往史中明确存在糖尿病病史，但病案首页中未见相关诊断。</w:t>
            </w:r>
          </w:p>
        </w:tc>
        <w:tc>
          <w:tcPr>
            <w:tcW w:w="499" w:type="dxa"/>
            <w:vMerge w:val="continue"/>
            <w:vAlign w:val="center"/>
          </w:tcPr>
          <w:p w14:paraId="108B6ECF">
            <w:pPr>
              <w:widowControl/>
              <w:jc w:val="center"/>
              <w:rPr>
                <w:rFonts w:ascii="宋体" w:hAnsi="宋体" w:cs="宋体"/>
                <w:color w:val="auto"/>
                <w:kern w:val="0"/>
                <w:szCs w:val="21"/>
              </w:rPr>
            </w:pPr>
          </w:p>
        </w:tc>
      </w:tr>
      <w:tr w14:paraId="2BC5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635" w:type="dxa"/>
            <w:vMerge w:val="continue"/>
          </w:tcPr>
          <w:p w14:paraId="5C97C766">
            <w:pPr>
              <w:widowControl/>
              <w:rPr>
                <w:rFonts w:ascii="宋体" w:hAnsi="宋体" w:cs="宋体"/>
                <w:color w:val="auto"/>
                <w:kern w:val="0"/>
                <w:szCs w:val="21"/>
              </w:rPr>
            </w:pPr>
          </w:p>
        </w:tc>
        <w:tc>
          <w:tcPr>
            <w:tcW w:w="826" w:type="dxa"/>
            <w:vMerge w:val="continue"/>
            <w:vAlign w:val="center"/>
          </w:tcPr>
          <w:p w14:paraId="6C52D42C">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51C797B3">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083A491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病案首页的其他诊断选择遗漏：</w:t>
            </w:r>
          </w:p>
          <w:p w14:paraId="51B1666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（1）RIS报告中能确诊的疾病未能加入到其他诊断中；</w:t>
            </w:r>
          </w:p>
          <w:p w14:paraId="1B1054F0">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（2）术中诊断未加入其他诊断；</w:t>
            </w:r>
          </w:p>
          <w:p w14:paraId="4F312C5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（3）LIS报告中能确诊的疾病；</w:t>
            </w:r>
          </w:p>
        </w:tc>
        <w:tc>
          <w:tcPr>
            <w:tcW w:w="499" w:type="dxa"/>
            <w:vMerge w:val="continue"/>
            <w:vAlign w:val="center"/>
          </w:tcPr>
          <w:p w14:paraId="4A48B54E">
            <w:pPr>
              <w:widowControl/>
              <w:jc w:val="center"/>
              <w:rPr>
                <w:rFonts w:ascii="宋体" w:hAnsi="宋体" w:cs="宋体"/>
                <w:color w:val="auto"/>
                <w:kern w:val="0"/>
                <w:szCs w:val="21"/>
              </w:rPr>
            </w:pPr>
          </w:p>
        </w:tc>
      </w:tr>
      <w:tr w14:paraId="663C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635" w:type="dxa"/>
            <w:vMerge w:val="continue"/>
          </w:tcPr>
          <w:p w14:paraId="7208F260">
            <w:pPr>
              <w:widowControl/>
              <w:rPr>
                <w:rFonts w:ascii="宋体" w:hAnsi="宋体" w:cs="宋体"/>
                <w:color w:val="auto"/>
                <w:kern w:val="0"/>
                <w:szCs w:val="21"/>
              </w:rPr>
            </w:pPr>
          </w:p>
        </w:tc>
        <w:tc>
          <w:tcPr>
            <w:tcW w:w="826" w:type="dxa"/>
            <w:vMerge w:val="continue"/>
            <w:vAlign w:val="center"/>
          </w:tcPr>
          <w:p w14:paraId="58880254">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6CFA0AD1">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E038AD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病案首页的其他诊断选择错误：</w:t>
            </w:r>
          </w:p>
          <w:p w14:paraId="75F9AAB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（1）患者长期维持治疗状态未加入其他诊断；</w:t>
            </w:r>
          </w:p>
          <w:p w14:paraId="3AAA11D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（2）门诊诊断缺失；</w:t>
            </w:r>
          </w:p>
          <w:p w14:paraId="4C6B958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（3）手术未执行的原因未加入诊断；</w:t>
            </w:r>
          </w:p>
        </w:tc>
        <w:tc>
          <w:tcPr>
            <w:tcW w:w="499" w:type="dxa"/>
            <w:vMerge w:val="continue"/>
            <w:vAlign w:val="center"/>
          </w:tcPr>
          <w:p w14:paraId="5B32A2DF">
            <w:pPr>
              <w:widowControl/>
              <w:jc w:val="center"/>
              <w:rPr>
                <w:rFonts w:ascii="宋体" w:hAnsi="宋体" w:cs="宋体"/>
                <w:color w:val="auto"/>
                <w:kern w:val="0"/>
                <w:szCs w:val="21"/>
              </w:rPr>
            </w:pPr>
          </w:p>
        </w:tc>
      </w:tr>
      <w:tr w14:paraId="1A2E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35" w:type="dxa"/>
            <w:vMerge w:val="continue"/>
          </w:tcPr>
          <w:p w14:paraId="64ED7AE9">
            <w:pPr>
              <w:widowControl/>
              <w:rPr>
                <w:rFonts w:ascii="宋体" w:hAnsi="宋体" w:cs="宋体"/>
                <w:color w:val="auto"/>
                <w:kern w:val="0"/>
                <w:szCs w:val="21"/>
              </w:rPr>
            </w:pPr>
          </w:p>
        </w:tc>
        <w:tc>
          <w:tcPr>
            <w:tcW w:w="826" w:type="dxa"/>
            <w:vMerge w:val="continue"/>
            <w:vAlign w:val="center"/>
          </w:tcPr>
          <w:p w14:paraId="3FD5BB7C">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2D8BB26D">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30164777">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病案首页诊断编码错误：</w:t>
            </w:r>
          </w:p>
          <w:p w14:paraId="098291AB">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病程记录已明确诊断，依然用R码做诊断；</w:t>
            </w:r>
          </w:p>
        </w:tc>
        <w:tc>
          <w:tcPr>
            <w:tcW w:w="499" w:type="dxa"/>
            <w:vMerge w:val="continue"/>
            <w:vAlign w:val="center"/>
          </w:tcPr>
          <w:p w14:paraId="14D9FD70">
            <w:pPr>
              <w:widowControl/>
              <w:jc w:val="center"/>
              <w:rPr>
                <w:rFonts w:ascii="宋体" w:hAnsi="宋体" w:cs="宋体"/>
                <w:color w:val="auto"/>
                <w:kern w:val="0"/>
                <w:szCs w:val="21"/>
              </w:rPr>
            </w:pPr>
          </w:p>
        </w:tc>
      </w:tr>
      <w:tr w14:paraId="156A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635" w:type="dxa"/>
            <w:vMerge w:val="continue"/>
          </w:tcPr>
          <w:p w14:paraId="464794C4">
            <w:pPr>
              <w:widowControl/>
              <w:rPr>
                <w:rFonts w:ascii="宋体" w:hAnsi="宋体" w:cs="宋体"/>
                <w:color w:val="auto"/>
                <w:kern w:val="0"/>
                <w:szCs w:val="21"/>
              </w:rPr>
            </w:pPr>
          </w:p>
        </w:tc>
        <w:tc>
          <w:tcPr>
            <w:tcW w:w="826" w:type="dxa"/>
            <w:vAlign w:val="center"/>
          </w:tcPr>
          <w:p w14:paraId="215E4CD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病案事前提醒</w:t>
            </w:r>
          </w:p>
        </w:tc>
        <w:tc>
          <w:tcPr>
            <w:tcW w:w="1012" w:type="dxa"/>
            <w:vAlign w:val="center"/>
          </w:tcPr>
          <w:p w14:paraId="29BDBDF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医生实时质控</w:t>
            </w:r>
          </w:p>
        </w:tc>
        <w:tc>
          <w:tcPr>
            <w:tcW w:w="5544" w:type="dxa"/>
            <w:vAlign w:val="center"/>
          </w:tcPr>
          <w:p w14:paraId="74C79E6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实现在医生端实时、智能提示质控问题，对于环节质控医生可根据提示内容和建议修改方案进行病案的修改。</w:t>
            </w:r>
          </w:p>
          <w:p w14:paraId="081BB03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实现按问题的级别显示问题排序，级别高的问题显示在最前面。</w:t>
            </w:r>
          </w:p>
          <w:p w14:paraId="705CF6D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实现查看人工质控结果，对人工驳回的病案进行实时反馈。</w:t>
            </w:r>
          </w:p>
          <w:p w14:paraId="6D22D5F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实现查询人工反馈有问题的病案列表，并查看问题。</w:t>
            </w:r>
          </w:p>
        </w:tc>
        <w:tc>
          <w:tcPr>
            <w:tcW w:w="499" w:type="dxa"/>
            <w:vAlign w:val="center"/>
          </w:tcPr>
          <w:p w14:paraId="2CC12B19">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4C8A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3327D29">
            <w:pPr>
              <w:widowControl/>
              <w:rPr>
                <w:rFonts w:ascii="宋体" w:hAnsi="宋体" w:cs="宋体"/>
                <w:color w:val="auto"/>
                <w:kern w:val="0"/>
                <w:szCs w:val="21"/>
              </w:rPr>
            </w:pPr>
          </w:p>
        </w:tc>
        <w:tc>
          <w:tcPr>
            <w:tcW w:w="826" w:type="dxa"/>
            <w:vMerge w:val="restart"/>
            <w:vAlign w:val="center"/>
          </w:tcPr>
          <w:p w14:paraId="69FE7EE8">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病案事中质控</w:t>
            </w:r>
          </w:p>
        </w:tc>
        <w:tc>
          <w:tcPr>
            <w:tcW w:w="1012" w:type="dxa"/>
            <w:vAlign w:val="center"/>
          </w:tcPr>
          <w:p w14:paraId="55C7840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病案首页查询</w:t>
            </w:r>
          </w:p>
        </w:tc>
        <w:tc>
          <w:tcPr>
            <w:tcW w:w="5544" w:type="dxa"/>
            <w:vAlign w:val="center"/>
          </w:tcPr>
          <w:p w14:paraId="1001F6CC">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实现病案首页按科室、病区、出入院日期、病案号、患者、问题类型、首页得分等条件进行快速查询，可根据数据权限按科室、按病区控制数据查询范围。</w:t>
            </w:r>
          </w:p>
        </w:tc>
        <w:tc>
          <w:tcPr>
            <w:tcW w:w="499" w:type="dxa"/>
            <w:vMerge w:val="restart"/>
            <w:vAlign w:val="center"/>
          </w:tcPr>
          <w:p w14:paraId="26BAEE72">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2D2C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04F0AA0">
            <w:pPr>
              <w:widowControl/>
              <w:rPr>
                <w:rFonts w:ascii="宋体" w:hAnsi="宋体" w:cs="宋体"/>
                <w:color w:val="auto"/>
                <w:kern w:val="0"/>
                <w:szCs w:val="21"/>
              </w:rPr>
            </w:pPr>
          </w:p>
        </w:tc>
        <w:tc>
          <w:tcPr>
            <w:tcW w:w="826" w:type="dxa"/>
            <w:vMerge w:val="continue"/>
            <w:vAlign w:val="center"/>
          </w:tcPr>
          <w:p w14:paraId="1C96C034">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6B1404C4">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质控人员实时质控</w:t>
            </w:r>
          </w:p>
        </w:tc>
        <w:tc>
          <w:tcPr>
            <w:tcW w:w="5544" w:type="dxa"/>
            <w:vAlign w:val="center"/>
          </w:tcPr>
          <w:p w14:paraId="35DC51C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实现质控人员快速查询病案、并对系统质控结果进行人工质控。</w:t>
            </w:r>
          </w:p>
        </w:tc>
        <w:tc>
          <w:tcPr>
            <w:tcW w:w="499" w:type="dxa"/>
            <w:vMerge w:val="continue"/>
            <w:vAlign w:val="center"/>
          </w:tcPr>
          <w:p w14:paraId="086E05F0">
            <w:pPr>
              <w:widowControl/>
              <w:jc w:val="center"/>
              <w:rPr>
                <w:rFonts w:ascii="宋体" w:hAnsi="宋体" w:cs="宋体"/>
                <w:color w:val="auto"/>
                <w:kern w:val="0"/>
                <w:szCs w:val="21"/>
              </w:rPr>
            </w:pPr>
          </w:p>
        </w:tc>
      </w:tr>
      <w:tr w14:paraId="50F6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4332C979">
            <w:pPr>
              <w:widowControl/>
              <w:rPr>
                <w:rFonts w:ascii="宋体" w:hAnsi="宋体" w:cs="宋体"/>
                <w:color w:val="auto"/>
                <w:kern w:val="0"/>
                <w:szCs w:val="21"/>
              </w:rPr>
            </w:pPr>
          </w:p>
        </w:tc>
        <w:tc>
          <w:tcPr>
            <w:tcW w:w="826" w:type="dxa"/>
            <w:vMerge w:val="continue"/>
            <w:vAlign w:val="center"/>
          </w:tcPr>
          <w:p w14:paraId="55526F99">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0C984527">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48429C1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实现人工质控结果实时反馈给医生。</w:t>
            </w:r>
          </w:p>
        </w:tc>
        <w:tc>
          <w:tcPr>
            <w:tcW w:w="499" w:type="dxa"/>
            <w:vMerge w:val="continue"/>
            <w:vAlign w:val="center"/>
          </w:tcPr>
          <w:p w14:paraId="7D3C6975">
            <w:pPr>
              <w:widowControl/>
              <w:jc w:val="center"/>
              <w:rPr>
                <w:rFonts w:ascii="宋体" w:hAnsi="宋体" w:cs="宋体"/>
                <w:color w:val="auto"/>
                <w:kern w:val="0"/>
                <w:szCs w:val="21"/>
              </w:rPr>
            </w:pPr>
          </w:p>
        </w:tc>
      </w:tr>
      <w:tr w14:paraId="4540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6800DC8F">
            <w:pPr>
              <w:widowControl/>
              <w:rPr>
                <w:rFonts w:ascii="宋体" w:hAnsi="宋体" w:cs="宋体"/>
                <w:color w:val="auto"/>
                <w:kern w:val="0"/>
                <w:szCs w:val="21"/>
              </w:rPr>
            </w:pPr>
          </w:p>
        </w:tc>
        <w:tc>
          <w:tcPr>
            <w:tcW w:w="826" w:type="dxa"/>
            <w:vMerge w:val="continue"/>
            <w:vAlign w:val="center"/>
          </w:tcPr>
          <w:p w14:paraId="04EAC0BD">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417DE945">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33299DA5">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实现医生反馈的病案快速查询，并对医生反馈的结果进行再次审核。</w:t>
            </w:r>
          </w:p>
        </w:tc>
        <w:tc>
          <w:tcPr>
            <w:tcW w:w="499" w:type="dxa"/>
            <w:vMerge w:val="continue"/>
            <w:vAlign w:val="center"/>
          </w:tcPr>
          <w:p w14:paraId="40B9AD44">
            <w:pPr>
              <w:widowControl/>
              <w:jc w:val="center"/>
              <w:rPr>
                <w:rFonts w:ascii="宋体" w:hAnsi="宋体" w:cs="宋体"/>
                <w:color w:val="auto"/>
                <w:kern w:val="0"/>
                <w:szCs w:val="21"/>
              </w:rPr>
            </w:pPr>
          </w:p>
        </w:tc>
      </w:tr>
      <w:tr w14:paraId="472A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FD07E37">
            <w:pPr>
              <w:widowControl/>
              <w:rPr>
                <w:rFonts w:ascii="宋体" w:hAnsi="宋体" w:cs="宋体"/>
                <w:color w:val="auto"/>
                <w:kern w:val="0"/>
                <w:szCs w:val="21"/>
              </w:rPr>
            </w:pPr>
          </w:p>
        </w:tc>
        <w:tc>
          <w:tcPr>
            <w:tcW w:w="826" w:type="dxa"/>
            <w:vMerge w:val="continue"/>
            <w:vAlign w:val="center"/>
          </w:tcPr>
          <w:p w14:paraId="5134D19B">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2ED23385">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分级管理</w:t>
            </w:r>
          </w:p>
        </w:tc>
        <w:tc>
          <w:tcPr>
            <w:tcW w:w="5544" w:type="dxa"/>
            <w:vAlign w:val="center"/>
          </w:tcPr>
          <w:p w14:paraId="5ABB629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系统实现病案室、医务处、科主任、质控员、临床医生、责任医生等人员6个级别的配置。</w:t>
            </w:r>
          </w:p>
        </w:tc>
        <w:tc>
          <w:tcPr>
            <w:tcW w:w="499" w:type="dxa"/>
            <w:vMerge w:val="continue"/>
            <w:vAlign w:val="center"/>
          </w:tcPr>
          <w:p w14:paraId="20A1BF1D">
            <w:pPr>
              <w:widowControl/>
              <w:jc w:val="center"/>
              <w:rPr>
                <w:rFonts w:ascii="宋体" w:hAnsi="宋体" w:cs="宋体"/>
                <w:color w:val="auto"/>
                <w:kern w:val="0"/>
                <w:szCs w:val="21"/>
              </w:rPr>
            </w:pPr>
          </w:p>
        </w:tc>
      </w:tr>
      <w:tr w14:paraId="3716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E81EEB8">
            <w:pPr>
              <w:widowControl/>
              <w:rPr>
                <w:rFonts w:ascii="宋体" w:hAnsi="宋体" w:cs="宋体"/>
                <w:color w:val="auto"/>
                <w:kern w:val="0"/>
                <w:szCs w:val="21"/>
              </w:rPr>
            </w:pPr>
          </w:p>
        </w:tc>
        <w:tc>
          <w:tcPr>
            <w:tcW w:w="826" w:type="dxa"/>
            <w:vMerge w:val="continue"/>
            <w:vAlign w:val="center"/>
          </w:tcPr>
          <w:p w14:paraId="47B8FAFD">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441F54EA">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6112AB11">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系统实现多级质控，系统会以最高级别人员的结果为最终结果。</w:t>
            </w:r>
          </w:p>
        </w:tc>
        <w:tc>
          <w:tcPr>
            <w:tcW w:w="499" w:type="dxa"/>
            <w:vMerge w:val="continue"/>
            <w:vAlign w:val="center"/>
          </w:tcPr>
          <w:p w14:paraId="2DBA90E4">
            <w:pPr>
              <w:widowControl/>
              <w:jc w:val="center"/>
              <w:rPr>
                <w:rFonts w:ascii="宋体" w:hAnsi="宋体" w:cs="宋体"/>
                <w:color w:val="auto"/>
                <w:kern w:val="0"/>
                <w:szCs w:val="21"/>
              </w:rPr>
            </w:pPr>
          </w:p>
        </w:tc>
      </w:tr>
      <w:tr w14:paraId="222E6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6AA1CF5F">
            <w:pPr>
              <w:widowControl/>
              <w:rPr>
                <w:rFonts w:ascii="宋体" w:hAnsi="宋体" w:cs="宋体"/>
                <w:color w:val="auto"/>
                <w:kern w:val="0"/>
                <w:szCs w:val="21"/>
              </w:rPr>
            </w:pPr>
          </w:p>
        </w:tc>
        <w:tc>
          <w:tcPr>
            <w:tcW w:w="826" w:type="dxa"/>
            <w:vMerge w:val="continue"/>
            <w:vAlign w:val="center"/>
          </w:tcPr>
          <w:p w14:paraId="04792C7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1BDD6A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病案首页自动评分</w:t>
            </w:r>
          </w:p>
        </w:tc>
        <w:tc>
          <w:tcPr>
            <w:tcW w:w="5544" w:type="dxa"/>
            <w:vAlign w:val="center"/>
          </w:tcPr>
          <w:p w14:paraId="2DB4F786">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实现对首页质量进行自动评分，并对扣分项目的问题进行展示，实现人工调整评分结果，实现医院绩效考核。病案首页得分情况，应至少包括：病历类型、项目类型、评分项、分值、得分、提醒事项等多维度内容展示，供医生审核通过。</w:t>
            </w:r>
          </w:p>
        </w:tc>
        <w:tc>
          <w:tcPr>
            <w:tcW w:w="499" w:type="dxa"/>
            <w:vMerge w:val="continue"/>
            <w:vAlign w:val="center"/>
          </w:tcPr>
          <w:p w14:paraId="0AC21802">
            <w:pPr>
              <w:widowControl/>
              <w:jc w:val="center"/>
              <w:rPr>
                <w:rFonts w:ascii="宋体" w:hAnsi="宋体" w:cs="宋体"/>
                <w:color w:val="auto"/>
                <w:kern w:val="0"/>
                <w:szCs w:val="21"/>
              </w:rPr>
            </w:pPr>
          </w:p>
        </w:tc>
      </w:tr>
      <w:tr w14:paraId="5EA6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01A481C1">
            <w:pPr>
              <w:widowControl/>
              <w:rPr>
                <w:rFonts w:ascii="宋体" w:hAnsi="宋体" w:cs="宋体"/>
                <w:color w:val="auto"/>
                <w:kern w:val="0"/>
                <w:szCs w:val="21"/>
              </w:rPr>
            </w:pPr>
          </w:p>
        </w:tc>
        <w:tc>
          <w:tcPr>
            <w:tcW w:w="826" w:type="dxa"/>
            <w:vMerge w:val="continue"/>
            <w:vAlign w:val="center"/>
          </w:tcPr>
          <w:p w14:paraId="3BE72DF1">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68E4481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数据记录源头质控</w:t>
            </w:r>
          </w:p>
        </w:tc>
        <w:tc>
          <w:tcPr>
            <w:tcW w:w="5544" w:type="dxa"/>
            <w:vAlign w:val="center"/>
          </w:tcPr>
          <w:p w14:paraId="6FDFD51F">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实现从数据记录源头（医生、编码员）的行为开始质控，确保数据的完整、准确、实时，帮助医生、编码员提高病案书写规范。</w:t>
            </w:r>
          </w:p>
        </w:tc>
        <w:tc>
          <w:tcPr>
            <w:tcW w:w="499" w:type="dxa"/>
            <w:vMerge w:val="continue"/>
            <w:vAlign w:val="center"/>
          </w:tcPr>
          <w:p w14:paraId="4CA869EA">
            <w:pPr>
              <w:widowControl/>
              <w:jc w:val="center"/>
              <w:rPr>
                <w:rFonts w:ascii="宋体" w:hAnsi="宋体" w:cs="宋体"/>
                <w:color w:val="auto"/>
                <w:kern w:val="0"/>
                <w:szCs w:val="21"/>
              </w:rPr>
            </w:pPr>
          </w:p>
        </w:tc>
      </w:tr>
      <w:tr w14:paraId="7368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5" w:type="dxa"/>
            <w:vMerge w:val="continue"/>
          </w:tcPr>
          <w:p w14:paraId="37002749">
            <w:pPr>
              <w:widowControl/>
              <w:rPr>
                <w:rFonts w:ascii="宋体" w:hAnsi="宋体" w:cs="宋体"/>
                <w:color w:val="auto"/>
                <w:kern w:val="0"/>
                <w:szCs w:val="21"/>
              </w:rPr>
            </w:pPr>
          </w:p>
        </w:tc>
        <w:tc>
          <w:tcPr>
            <w:tcW w:w="826" w:type="dxa"/>
            <w:vMerge w:val="continue"/>
            <w:vAlign w:val="center"/>
          </w:tcPr>
          <w:p w14:paraId="51A46864">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F70CC93">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46F7BE0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跟随源头信息修改而及时更新：</w:t>
            </w:r>
          </w:p>
        </w:tc>
        <w:tc>
          <w:tcPr>
            <w:tcW w:w="499" w:type="dxa"/>
            <w:vMerge w:val="continue"/>
            <w:vAlign w:val="center"/>
          </w:tcPr>
          <w:p w14:paraId="11E57F96">
            <w:pPr>
              <w:widowControl/>
              <w:jc w:val="center"/>
              <w:rPr>
                <w:rFonts w:ascii="宋体" w:hAnsi="宋体" w:cs="宋体"/>
                <w:color w:val="auto"/>
                <w:kern w:val="0"/>
                <w:szCs w:val="21"/>
              </w:rPr>
            </w:pPr>
          </w:p>
        </w:tc>
      </w:tr>
      <w:tr w14:paraId="6801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0F1EE03">
            <w:pPr>
              <w:widowControl/>
              <w:rPr>
                <w:rFonts w:ascii="宋体" w:hAnsi="宋体" w:cs="宋体"/>
                <w:color w:val="auto"/>
                <w:kern w:val="0"/>
                <w:szCs w:val="21"/>
              </w:rPr>
            </w:pPr>
          </w:p>
        </w:tc>
        <w:tc>
          <w:tcPr>
            <w:tcW w:w="826" w:type="dxa"/>
            <w:vMerge w:val="continue"/>
            <w:vAlign w:val="center"/>
          </w:tcPr>
          <w:p w14:paraId="7473FE16">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4E1E69C9">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4293E5BF">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系统实现原始诊疗信息查看，可实时主动抓取修改后的源头信息，及时提醒医生，有效降低因智能化层级较低的信息化建设产生的新质控问题。</w:t>
            </w:r>
          </w:p>
        </w:tc>
        <w:tc>
          <w:tcPr>
            <w:tcW w:w="499" w:type="dxa"/>
            <w:vMerge w:val="continue"/>
            <w:vAlign w:val="center"/>
          </w:tcPr>
          <w:p w14:paraId="4AE2CF96">
            <w:pPr>
              <w:widowControl/>
              <w:jc w:val="center"/>
              <w:rPr>
                <w:rFonts w:ascii="宋体" w:hAnsi="宋体" w:cs="宋体"/>
                <w:color w:val="auto"/>
                <w:kern w:val="0"/>
                <w:szCs w:val="21"/>
              </w:rPr>
            </w:pPr>
          </w:p>
        </w:tc>
      </w:tr>
      <w:tr w14:paraId="07F2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2B331C16">
            <w:pPr>
              <w:widowControl/>
              <w:rPr>
                <w:rFonts w:ascii="宋体" w:hAnsi="宋体" w:cs="宋体"/>
                <w:color w:val="auto"/>
                <w:kern w:val="0"/>
                <w:szCs w:val="21"/>
              </w:rPr>
            </w:pPr>
          </w:p>
        </w:tc>
        <w:tc>
          <w:tcPr>
            <w:tcW w:w="826" w:type="dxa"/>
            <w:vMerge w:val="restart"/>
            <w:vAlign w:val="center"/>
          </w:tcPr>
          <w:p w14:paraId="0DEB8236">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病案事后质控</w:t>
            </w:r>
          </w:p>
        </w:tc>
        <w:tc>
          <w:tcPr>
            <w:tcW w:w="1012" w:type="dxa"/>
            <w:vMerge w:val="restart"/>
            <w:vAlign w:val="center"/>
          </w:tcPr>
          <w:p w14:paraId="3AA1366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质控任务管理</w:t>
            </w:r>
          </w:p>
        </w:tc>
        <w:tc>
          <w:tcPr>
            <w:tcW w:w="5544" w:type="dxa"/>
            <w:vAlign w:val="center"/>
          </w:tcPr>
          <w:p w14:paraId="6B6F0C9C">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实现质控管理人员定期创建质控任务，并指定任务执行人和期望完成日期，然后选择要进行抽查的病案（支持随机选择）完成任务的创建。</w:t>
            </w:r>
          </w:p>
        </w:tc>
        <w:tc>
          <w:tcPr>
            <w:tcW w:w="499" w:type="dxa"/>
            <w:vMerge w:val="restart"/>
            <w:vAlign w:val="center"/>
          </w:tcPr>
          <w:p w14:paraId="1D931BCE">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333D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2CA716D">
            <w:pPr>
              <w:widowControl/>
              <w:rPr>
                <w:rFonts w:ascii="宋体" w:hAnsi="宋体" w:cs="宋体"/>
                <w:color w:val="auto"/>
                <w:kern w:val="0"/>
                <w:szCs w:val="21"/>
              </w:rPr>
            </w:pPr>
          </w:p>
        </w:tc>
        <w:tc>
          <w:tcPr>
            <w:tcW w:w="826" w:type="dxa"/>
            <w:vMerge w:val="continue"/>
            <w:vAlign w:val="center"/>
          </w:tcPr>
          <w:p w14:paraId="50FD9954">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7BCE4B22">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60755432">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实现质控管理人员实时查看质控任务的进展情况，以及质控结果，在任务完成后，可以结束任务。</w:t>
            </w:r>
          </w:p>
        </w:tc>
        <w:tc>
          <w:tcPr>
            <w:tcW w:w="499" w:type="dxa"/>
            <w:vMerge w:val="continue"/>
            <w:vAlign w:val="center"/>
          </w:tcPr>
          <w:p w14:paraId="1A6E2538">
            <w:pPr>
              <w:widowControl/>
              <w:jc w:val="center"/>
              <w:rPr>
                <w:rFonts w:ascii="宋体" w:hAnsi="宋体" w:cs="宋体"/>
                <w:color w:val="auto"/>
                <w:kern w:val="0"/>
                <w:szCs w:val="21"/>
              </w:rPr>
            </w:pPr>
          </w:p>
        </w:tc>
      </w:tr>
      <w:tr w14:paraId="5616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0FC195F4">
            <w:pPr>
              <w:widowControl/>
              <w:rPr>
                <w:rFonts w:ascii="宋体" w:hAnsi="宋体" w:cs="宋体"/>
                <w:color w:val="auto"/>
                <w:kern w:val="0"/>
                <w:szCs w:val="21"/>
              </w:rPr>
            </w:pPr>
          </w:p>
        </w:tc>
        <w:tc>
          <w:tcPr>
            <w:tcW w:w="826" w:type="dxa"/>
            <w:vMerge w:val="continue"/>
            <w:vAlign w:val="center"/>
          </w:tcPr>
          <w:p w14:paraId="3058ED2F">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77C3A434">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ABE2537">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质控人员接到质控任务后，对任务中的病案进行质量审核。</w:t>
            </w:r>
          </w:p>
        </w:tc>
        <w:tc>
          <w:tcPr>
            <w:tcW w:w="499" w:type="dxa"/>
            <w:vMerge w:val="continue"/>
            <w:vAlign w:val="center"/>
          </w:tcPr>
          <w:p w14:paraId="03365B12">
            <w:pPr>
              <w:widowControl/>
              <w:jc w:val="center"/>
              <w:rPr>
                <w:rFonts w:ascii="宋体" w:hAnsi="宋体" w:cs="宋体"/>
                <w:color w:val="auto"/>
                <w:kern w:val="0"/>
                <w:szCs w:val="21"/>
              </w:rPr>
            </w:pPr>
          </w:p>
        </w:tc>
      </w:tr>
      <w:tr w14:paraId="427F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4E2BF6DF">
            <w:pPr>
              <w:widowControl/>
              <w:rPr>
                <w:rFonts w:ascii="宋体" w:hAnsi="宋体" w:cs="宋体"/>
                <w:color w:val="auto"/>
                <w:kern w:val="0"/>
                <w:szCs w:val="21"/>
              </w:rPr>
            </w:pPr>
          </w:p>
        </w:tc>
        <w:tc>
          <w:tcPr>
            <w:tcW w:w="826" w:type="dxa"/>
            <w:vMerge w:val="continue"/>
            <w:vAlign w:val="center"/>
          </w:tcPr>
          <w:p w14:paraId="0B16D5C6">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4037E2CF">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质控问题快速原文定位</w:t>
            </w:r>
          </w:p>
        </w:tc>
        <w:tc>
          <w:tcPr>
            <w:tcW w:w="5544" w:type="dxa"/>
            <w:vAlign w:val="center"/>
          </w:tcPr>
          <w:p w14:paraId="4CCBF128">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质控人员在质控过程中可添加系统未质控出的问题，系统质控的问题实现快速原文定位，方便人工对结果进行快速判断。</w:t>
            </w:r>
          </w:p>
        </w:tc>
        <w:tc>
          <w:tcPr>
            <w:tcW w:w="499" w:type="dxa"/>
            <w:vMerge w:val="continue"/>
            <w:vAlign w:val="center"/>
          </w:tcPr>
          <w:p w14:paraId="25368A1E">
            <w:pPr>
              <w:widowControl/>
              <w:jc w:val="center"/>
              <w:rPr>
                <w:rFonts w:ascii="宋体" w:hAnsi="宋体" w:cs="宋体"/>
                <w:color w:val="auto"/>
                <w:kern w:val="0"/>
                <w:szCs w:val="21"/>
              </w:rPr>
            </w:pPr>
          </w:p>
        </w:tc>
      </w:tr>
      <w:tr w14:paraId="798D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98E476B">
            <w:pPr>
              <w:widowControl/>
              <w:rPr>
                <w:rFonts w:ascii="宋体" w:hAnsi="宋体" w:cs="宋体"/>
                <w:color w:val="auto"/>
                <w:kern w:val="0"/>
                <w:szCs w:val="21"/>
              </w:rPr>
            </w:pPr>
          </w:p>
        </w:tc>
        <w:tc>
          <w:tcPr>
            <w:tcW w:w="826" w:type="dxa"/>
            <w:vMerge w:val="restart"/>
            <w:vAlign w:val="center"/>
          </w:tcPr>
          <w:p w14:paraId="0589AE5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病案首页质控规则维护</w:t>
            </w:r>
          </w:p>
        </w:tc>
        <w:tc>
          <w:tcPr>
            <w:tcW w:w="1012" w:type="dxa"/>
            <w:vMerge w:val="restart"/>
            <w:vAlign w:val="center"/>
          </w:tcPr>
          <w:p w14:paraId="4CA6D06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病案质控规则</w:t>
            </w:r>
          </w:p>
        </w:tc>
        <w:tc>
          <w:tcPr>
            <w:tcW w:w="5544" w:type="dxa"/>
            <w:vAlign w:val="center"/>
          </w:tcPr>
          <w:p w14:paraId="740D62A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实现按规则名称、规则逻辑、规则类型、专科类型、规则分类、规则环节、规则来源等维度进行规则的查询。</w:t>
            </w:r>
          </w:p>
        </w:tc>
        <w:tc>
          <w:tcPr>
            <w:tcW w:w="499" w:type="dxa"/>
            <w:vMerge w:val="restart"/>
            <w:vAlign w:val="center"/>
          </w:tcPr>
          <w:p w14:paraId="773913BD">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1A7F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C2B73FC">
            <w:pPr>
              <w:widowControl/>
              <w:rPr>
                <w:rFonts w:ascii="宋体" w:hAnsi="宋体" w:cs="宋体"/>
                <w:color w:val="auto"/>
                <w:kern w:val="0"/>
                <w:szCs w:val="21"/>
              </w:rPr>
            </w:pPr>
          </w:p>
        </w:tc>
        <w:tc>
          <w:tcPr>
            <w:tcW w:w="826" w:type="dxa"/>
            <w:vMerge w:val="continue"/>
            <w:vAlign w:val="center"/>
          </w:tcPr>
          <w:p w14:paraId="0ADE8414">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BF1180A">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1CE0F0A1">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实现规则的生效状态进行开启/关闭。</w:t>
            </w:r>
          </w:p>
        </w:tc>
        <w:tc>
          <w:tcPr>
            <w:tcW w:w="499" w:type="dxa"/>
            <w:vMerge w:val="continue"/>
            <w:vAlign w:val="center"/>
          </w:tcPr>
          <w:p w14:paraId="2A66D8E9">
            <w:pPr>
              <w:widowControl/>
              <w:jc w:val="center"/>
              <w:rPr>
                <w:rFonts w:ascii="宋体" w:hAnsi="宋体" w:cs="宋体"/>
                <w:color w:val="auto"/>
                <w:kern w:val="0"/>
                <w:szCs w:val="21"/>
              </w:rPr>
            </w:pPr>
          </w:p>
        </w:tc>
      </w:tr>
      <w:tr w14:paraId="3880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2EAC6CB">
            <w:pPr>
              <w:widowControl/>
              <w:rPr>
                <w:rFonts w:ascii="宋体" w:hAnsi="宋体" w:cs="宋体"/>
                <w:color w:val="auto"/>
                <w:kern w:val="0"/>
                <w:szCs w:val="21"/>
              </w:rPr>
            </w:pPr>
          </w:p>
        </w:tc>
        <w:tc>
          <w:tcPr>
            <w:tcW w:w="826" w:type="dxa"/>
            <w:vMerge w:val="continue"/>
            <w:vAlign w:val="center"/>
          </w:tcPr>
          <w:p w14:paraId="22F1ADFE">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02F764A7">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8954089">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实现规则级别的配置，支持3级配置，3级为最高级别。</w:t>
            </w:r>
          </w:p>
        </w:tc>
        <w:tc>
          <w:tcPr>
            <w:tcW w:w="499" w:type="dxa"/>
            <w:vMerge w:val="continue"/>
            <w:vAlign w:val="center"/>
          </w:tcPr>
          <w:p w14:paraId="0478D943">
            <w:pPr>
              <w:widowControl/>
              <w:jc w:val="center"/>
              <w:rPr>
                <w:rFonts w:ascii="宋体" w:hAnsi="宋体" w:cs="宋体"/>
                <w:color w:val="auto"/>
                <w:kern w:val="0"/>
                <w:szCs w:val="21"/>
              </w:rPr>
            </w:pPr>
          </w:p>
        </w:tc>
      </w:tr>
      <w:tr w14:paraId="2916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32304EA">
            <w:pPr>
              <w:widowControl/>
              <w:rPr>
                <w:rFonts w:ascii="宋体" w:hAnsi="宋体" w:cs="宋体"/>
                <w:color w:val="auto"/>
                <w:kern w:val="0"/>
                <w:szCs w:val="21"/>
              </w:rPr>
            </w:pPr>
          </w:p>
        </w:tc>
        <w:tc>
          <w:tcPr>
            <w:tcW w:w="826" w:type="dxa"/>
            <w:vMerge w:val="restart"/>
            <w:vAlign w:val="center"/>
          </w:tcPr>
          <w:p w14:paraId="558BD71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360维度病案首页数据质量管理和分析</w:t>
            </w:r>
          </w:p>
        </w:tc>
        <w:tc>
          <w:tcPr>
            <w:tcW w:w="1012" w:type="dxa"/>
            <w:vMerge w:val="restart"/>
            <w:vAlign w:val="center"/>
          </w:tcPr>
          <w:p w14:paraId="574E83EA">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病案统计分析</w:t>
            </w:r>
          </w:p>
        </w:tc>
        <w:tc>
          <w:tcPr>
            <w:tcW w:w="5544" w:type="dxa"/>
            <w:vAlign w:val="center"/>
          </w:tcPr>
          <w:p w14:paraId="2287F579">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系统应实现按一定时间范围、科室等不同维度进行全院病案首页质控情况分析，实时显示出院患者数、入院患者数、门诊患者数、使用抗菌药物患者数、手术患者数。</w:t>
            </w:r>
          </w:p>
        </w:tc>
        <w:tc>
          <w:tcPr>
            <w:tcW w:w="499" w:type="dxa"/>
            <w:vMerge w:val="restart"/>
            <w:vAlign w:val="center"/>
          </w:tcPr>
          <w:p w14:paraId="10F7F3AE">
            <w:pPr>
              <w:widowControl/>
              <w:jc w:val="center"/>
              <w:rPr>
                <w:rFonts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项</w:t>
            </w:r>
          </w:p>
        </w:tc>
      </w:tr>
      <w:tr w14:paraId="2F92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26BF2BC">
            <w:pPr>
              <w:widowControl/>
              <w:rPr>
                <w:rFonts w:ascii="宋体" w:hAnsi="宋体" w:cs="宋体"/>
                <w:color w:val="auto"/>
                <w:kern w:val="0"/>
                <w:szCs w:val="21"/>
              </w:rPr>
            </w:pPr>
          </w:p>
        </w:tc>
        <w:tc>
          <w:tcPr>
            <w:tcW w:w="826" w:type="dxa"/>
            <w:vMerge w:val="continue"/>
            <w:vAlign w:val="center"/>
          </w:tcPr>
          <w:p w14:paraId="4A251C1B">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145AE2AA">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0609D9BC">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全院病案首页问题情况在一定时间段内的多维度数据展示，至少应包括：单项否决问题数、完整性问题数、合规性问题数、一致性问题数、总体问题数、当月环比率、质量问题情况趋势等病历数据内容。</w:t>
            </w:r>
          </w:p>
        </w:tc>
        <w:tc>
          <w:tcPr>
            <w:tcW w:w="499" w:type="dxa"/>
            <w:vMerge w:val="continue"/>
            <w:vAlign w:val="center"/>
          </w:tcPr>
          <w:p w14:paraId="5375C789">
            <w:pPr>
              <w:widowControl/>
              <w:jc w:val="center"/>
              <w:rPr>
                <w:rFonts w:ascii="宋体" w:hAnsi="宋体" w:cs="宋体"/>
                <w:color w:val="auto"/>
                <w:kern w:val="0"/>
                <w:szCs w:val="21"/>
              </w:rPr>
            </w:pPr>
          </w:p>
        </w:tc>
      </w:tr>
      <w:tr w14:paraId="05D5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4D677D7">
            <w:pPr>
              <w:widowControl/>
              <w:rPr>
                <w:rFonts w:ascii="宋体" w:hAnsi="宋体" w:cs="宋体"/>
                <w:color w:val="auto"/>
                <w:kern w:val="0"/>
                <w:szCs w:val="21"/>
              </w:rPr>
            </w:pPr>
          </w:p>
        </w:tc>
        <w:tc>
          <w:tcPr>
            <w:tcW w:w="826" w:type="dxa"/>
            <w:vMerge w:val="continue"/>
            <w:vAlign w:val="center"/>
          </w:tcPr>
          <w:p w14:paraId="669B637D">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3B557261">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32287315">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系统应实现不同病区科室/医生病案首页问题执行情况进行分析，至少包括：单项否决问题数、完整性问题数、合规性问题数、一致性问题数、总体等数据内容进行走势分析。</w:t>
            </w:r>
          </w:p>
        </w:tc>
        <w:tc>
          <w:tcPr>
            <w:tcW w:w="499" w:type="dxa"/>
            <w:vMerge w:val="continue"/>
            <w:vAlign w:val="center"/>
          </w:tcPr>
          <w:p w14:paraId="7EE88655">
            <w:pPr>
              <w:widowControl/>
              <w:jc w:val="center"/>
              <w:rPr>
                <w:rFonts w:ascii="宋体" w:hAnsi="宋体" w:cs="宋体"/>
                <w:color w:val="auto"/>
                <w:kern w:val="0"/>
                <w:szCs w:val="21"/>
              </w:rPr>
            </w:pPr>
          </w:p>
        </w:tc>
      </w:tr>
      <w:tr w14:paraId="01A5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BC49639">
            <w:pPr>
              <w:widowControl/>
              <w:rPr>
                <w:rFonts w:ascii="宋体" w:hAnsi="宋体" w:cs="宋体"/>
                <w:color w:val="auto"/>
                <w:kern w:val="0"/>
                <w:szCs w:val="21"/>
              </w:rPr>
            </w:pPr>
          </w:p>
        </w:tc>
        <w:tc>
          <w:tcPr>
            <w:tcW w:w="826" w:type="dxa"/>
            <w:vMerge w:val="continue"/>
            <w:vAlign w:val="center"/>
          </w:tcPr>
          <w:p w14:paraId="33D4F7CE">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5D65DFC9">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病案问题分析</w:t>
            </w:r>
          </w:p>
        </w:tc>
        <w:tc>
          <w:tcPr>
            <w:tcW w:w="5544" w:type="dxa"/>
            <w:vAlign w:val="center"/>
          </w:tcPr>
          <w:p w14:paraId="35C6C2F4">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按日期范围统计问题数量、问题发生率、问题采纳率。</w:t>
            </w:r>
          </w:p>
        </w:tc>
        <w:tc>
          <w:tcPr>
            <w:tcW w:w="499" w:type="dxa"/>
            <w:vMerge w:val="continue"/>
            <w:vAlign w:val="center"/>
          </w:tcPr>
          <w:p w14:paraId="05658C48">
            <w:pPr>
              <w:widowControl/>
              <w:jc w:val="center"/>
              <w:rPr>
                <w:rFonts w:ascii="宋体" w:hAnsi="宋体" w:cs="宋体"/>
                <w:color w:val="auto"/>
                <w:kern w:val="0"/>
                <w:szCs w:val="21"/>
              </w:rPr>
            </w:pPr>
          </w:p>
        </w:tc>
      </w:tr>
      <w:tr w14:paraId="020E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D5F9FD9">
            <w:pPr>
              <w:widowControl/>
              <w:rPr>
                <w:rFonts w:ascii="宋体" w:hAnsi="宋体" w:cs="宋体"/>
                <w:color w:val="auto"/>
                <w:kern w:val="0"/>
                <w:szCs w:val="21"/>
              </w:rPr>
            </w:pPr>
          </w:p>
        </w:tc>
        <w:tc>
          <w:tcPr>
            <w:tcW w:w="826" w:type="dxa"/>
            <w:vMerge w:val="continue"/>
            <w:vAlign w:val="center"/>
          </w:tcPr>
          <w:p w14:paraId="1221F1BB">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1AF5EB53">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272AF89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按日、月、年统计问题的数量、问题发生率、问题采纳率的趋势。</w:t>
            </w:r>
          </w:p>
        </w:tc>
        <w:tc>
          <w:tcPr>
            <w:tcW w:w="499" w:type="dxa"/>
            <w:vMerge w:val="continue"/>
            <w:vAlign w:val="center"/>
          </w:tcPr>
          <w:p w14:paraId="73133087">
            <w:pPr>
              <w:widowControl/>
              <w:jc w:val="center"/>
              <w:rPr>
                <w:rFonts w:ascii="宋体" w:hAnsi="宋体" w:cs="宋体"/>
                <w:color w:val="auto"/>
                <w:kern w:val="0"/>
                <w:szCs w:val="21"/>
              </w:rPr>
            </w:pPr>
          </w:p>
        </w:tc>
      </w:tr>
      <w:tr w14:paraId="600D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7CFE077">
            <w:pPr>
              <w:widowControl/>
              <w:rPr>
                <w:rFonts w:ascii="宋体" w:hAnsi="宋体" w:cs="宋体"/>
                <w:color w:val="auto"/>
                <w:kern w:val="0"/>
                <w:szCs w:val="21"/>
              </w:rPr>
            </w:pPr>
          </w:p>
        </w:tc>
        <w:tc>
          <w:tcPr>
            <w:tcW w:w="826" w:type="dxa"/>
            <w:vMerge w:val="continue"/>
            <w:vAlign w:val="center"/>
          </w:tcPr>
          <w:p w14:paraId="0E43DECF">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26D296D">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7D08F11">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按质控问题统计科室、医疗组、医生，问题的数量、问题发生率、问题采纳率。</w:t>
            </w:r>
          </w:p>
        </w:tc>
        <w:tc>
          <w:tcPr>
            <w:tcW w:w="499" w:type="dxa"/>
            <w:vMerge w:val="continue"/>
            <w:vAlign w:val="center"/>
          </w:tcPr>
          <w:p w14:paraId="6F5313A1">
            <w:pPr>
              <w:widowControl/>
              <w:jc w:val="center"/>
              <w:rPr>
                <w:rFonts w:ascii="宋体" w:hAnsi="宋体" w:cs="宋体"/>
                <w:color w:val="auto"/>
                <w:kern w:val="0"/>
                <w:szCs w:val="21"/>
              </w:rPr>
            </w:pPr>
          </w:p>
        </w:tc>
      </w:tr>
      <w:tr w14:paraId="20FC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2225E70">
            <w:pPr>
              <w:widowControl/>
              <w:rPr>
                <w:rFonts w:ascii="宋体" w:hAnsi="宋体" w:cs="宋体"/>
                <w:color w:val="auto"/>
                <w:kern w:val="0"/>
                <w:szCs w:val="21"/>
              </w:rPr>
            </w:pPr>
          </w:p>
        </w:tc>
        <w:tc>
          <w:tcPr>
            <w:tcW w:w="826" w:type="dxa"/>
            <w:vMerge w:val="continue"/>
            <w:vAlign w:val="center"/>
          </w:tcPr>
          <w:p w14:paraId="3F493C4E">
            <w:pPr>
              <w:widowControl/>
              <w:spacing w:line="440" w:lineRule="exact"/>
              <w:jc w:val="left"/>
              <w:rPr>
                <w:rFonts w:cs="宋体" w:asciiTheme="majorEastAsia" w:hAnsiTheme="majorEastAsia" w:eastAsiaTheme="majorEastAsia"/>
                <w:color w:val="auto"/>
                <w:kern w:val="0"/>
                <w:szCs w:val="21"/>
              </w:rPr>
            </w:pPr>
          </w:p>
        </w:tc>
        <w:tc>
          <w:tcPr>
            <w:tcW w:w="1012" w:type="dxa"/>
            <w:vMerge w:val="restart"/>
            <w:vAlign w:val="center"/>
          </w:tcPr>
          <w:p w14:paraId="337F708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问题追溯</w:t>
            </w:r>
          </w:p>
        </w:tc>
        <w:tc>
          <w:tcPr>
            <w:tcW w:w="5544" w:type="dxa"/>
            <w:vAlign w:val="center"/>
          </w:tcPr>
          <w:p w14:paraId="5B499E36">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实现统计分析结果下钻到每一份病案。</w:t>
            </w:r>
          </w:p>
        </w:tc>
        <w:tc>
          <w:tcPr>
            <w:tcW w:w="499" w:type="dxa"/>
            <w:vMerge w:val="continue"/>
            <w:vAlign w:val="center"/>
          </w:tcPr>
          <w:p w14:paraId="40A7B7BB">
            <w:pPr>
              <w:widowControl/>
              <w:jc w:val="center"/>
              <w:rPr>
                <w:rFonts w:ascii="宋体" w:hAnsi="宋体" w:cs="宋体"/>
                <w:color w:val="auto"/>
                <w:kern w:val="0"/>
                <w:szCs w:val="21"/>
              </w:rPr>
            </w:pPr>
          </w:p>
        </w:tc>
      </w:tr>
      <w:tr w14:paraId="4CA1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1E219FD5">
            <w:pPr>
              <w:widowControl/>
              <w:rPr>
                <w:rFonts w:ascii="宋体" w:hAnsi="宋体" w:cs="宋体"/>
                <w:color w:val="auto"/>
                <w:kern w:val="0"/>
                <w:szCs w:val="21"/>
              </w:rPr>
            </w:pPr>
          </w:p>
        </w:tc>
        <w:tc>
          <w:tcPr>
            <w:tcW w:w="826" w:type="dxa"/>
            <w:vMerge w:val="continue"/>
            <w:vAlign w:val="center"/>
          </w:tcPr>
          <w:p w14:paraId="1D0B5760">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3D695D2C">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3F385675">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实现对全院病案首页质控情况进行可视化、多维度展示，能够帮助医院质控部门对全面及时掌握医院质控现状，并协助制定合理的质量改进计划。</w:t>
            </w:r>
          </w:p>
        </w:tc>
        <w:tc>
          <w:tcPr>
            <w:tcW w:w="499" w:type="dxa"/>
            <w:vMerge w:val="continue"/>
            <w:vAlign w:val="center"/>
          </w:tcPr>
          <w:p w14:paraId="3B184280">
            <w:pPr>
              <w:widowControl/>
              <w:jc w:val="center"/>
              <w:rPr>
                <w:rFonts w:ascii="宋体" w:hAnsi="宋体" w:cs="宋体"/>
                <w:color w:val="auto"/>
                <w:kern w:val="0"/>
                <w:szCs w:val="21"/>
              </w:rPr>
            </w:pPr>
          </w:p>
        </w:tc>
      </w:tr>
      <w:tr w14:paraId="7818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3B59B56">
            <w:pPr>
              <w:widowControl/>
              <w:rPr>
                <w:rFonts w:ascii="宋体" w:hAnsi="宋体" w:cs="宋体"/>
                <w:color w:val="auto"/>
                <w:kern w:val="0"/>
                <w:szCs w:val="21"/>
              </w:rPr>
            </w:pPr>
          </w:p>
        </w:tc>
        <w:tc>
          <w:tcPr>
            <w:tcW w:w="826" w:type="dxa"/>
            <w:vMerge w:val="restart"/>
            <w:vAlign w:val="center"/>
          </w:tcPr>
          <w:p w14:paraId="6A57B9DD">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权限配置</w:t>
            </w:r>
          </w:p>
        </w:tc>
        <w:tc>
          <w:tcPr>
            <w:tcW w:w="1012" w:type="dxa"/>
            <w:vMerge w:val="restart"/>
            <w:vAlign w:val="center"/>
          </w:tcPr>
          <w:p w14:paraId="0D9B438E">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用户管理</w:t>
            </w:r>
          </w:p>
        </w:tc>
        <w:tc>
          <w:tcPr>
            <w:tcW w:w="5544" w:type="dxa"/>
            <w:vAlign w:val="center"/>
          </w:tcPr>
          <w:p w14:paraId="30189D90">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系统应实现管理员设置不同角色权限，不同权限的角色在使用时功能模块和数据不一致。</w:t>
            </w:r>
          </w:p>
        </w:tc>
        <w:tc>
          <w:tcPr>
            <w:tcW w:w="499" w:type="dxa"/>
            <w:vMerge w:val="restart"/>
            <w:vAlign w:val="center"/>
          </w:tcPr>
          <w:p w14:paraId="18665FAA">
            <w:pPr>
              <w:widowControl/>
              <w:jc w:val="center"/>
              <w:rPr>
                <w:rFonts w:ascii="宋体" w:hAnsi="宋体" w:cs="宋体"/>
                <w:color w:val="auto"/>
                <w:kern w:val="0"/>
                <w:szCs w:val="21"/>
              </w:rPr>
            </w:pPr>
            <w:r>
              <w:rPr>
                <w:rFonts w:hint="eastAsia" w:ascii="宋体" w:hAnsi="宋体" w:cs="宋体"/>
                <w:color w:val="auto"/>
                <w:kern w:val="0"/>
                <w:szCs w:val="21"/>
              </w:rPr>
              <w:t>1项</w:t>
            </w:r>
          </w:p>
        </w:tc>
      </w:tr>
      <w:tr w14:paraId="5A1F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0F244A91">
            <w:pPr>
              <w:widowControl/>
              <w:rPr>
                <w:rFonts w:ascii="宋体" w:hAnsi="宋体" w:cs="宋体"/>
                <w:color w:val="auto"/>
                <w:kern w:val="0"/>
                <w:szCs w:val="21"/>
              </w:rPr>
            </w:pPr>
          </w:p>
        </w:tc>
        <w:tc>
          <w:tcPr>
            <w:tcW w:w="826" w:type="dxa"/>
            <w:vMerge w:val="continue"/>
            <w:vAlign w:val="center"/>
          </w:tcPr>
          <w:p w14:paraId="7743CDC9">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3D3D332D">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39FDA2D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系统应实现管理员对病历审核流程的级别进行自定义配置管理。</w:t>
            </w:r>
          </w:p>
        </w:tc>
        <w:tc>
          <w:tcPr>
            <w:tcW w:w="499" w:type="dxa"/>
            <w:vMerge w:val="continue"/>
            <w:vAlign w:val="center"/>
          </w:tcPr>
          <w:p w14:paraId="75FDF879">
            <w:pPr>
              <w:widowControl/>
              <w:jc w:val="center"/>
              <w:rPr>
                <w:rFonts w:ascii="宋体" w:hAnsi="宋体" w:cs="宋体"/>
                <w:color w:val="auto"/>
                <w:kern w:val="0"/>
                <w:szCs w:val="21"/>
              </w:rPr>
            </w:pPr>
          </w:p>
        </w:tc>
      </w:tr>
      <w:tr w14:paraId="5F7A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22641EF3">
            <w:pPr>
              <w:widowControl/>
              <w:rPr>
                <w:rFonts w:ascii="宋体" w:hAnsi="宋体" w:cs="宋体"/>
                <w:color w:val="auto"/>
                <w:kern w:val="0"/>
                <w:szCs w:val="21"/>
              </w:rPr>
            </w:pPr>
          </w:p>
        </w:tc>
        <w:tc>
          <w:tcPr>
            <w:tcW w:w="826" w:type="dxa"/>
            <w:vMerge w:val="continue"/>
            <w:vAlign w:val="center"/>
          </w:tcPr>
          <w:p w14:paraId="52F07B75">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4D923198">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0AAEA59F">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系统应实现管理员对角色的功能模块权限进行自定义配置管理。</w:t>
            </w:r>
          </w:p>
        </w:tc>
        <w:tc>
          <w:tcPr>
            <w:tcW w:w="499" w:type="dxa"/>
            <w:vMerge w:val="continue"/>
            <w:vAlign w:val="center"/>
          </w:tcPr>
          <w:p w14:paraId="52F41A1E">
            <w:pPr>
              <w:widowControl/>
              <w:jc w:val="center"/>
              <w:rPr>
                <w:rFonts w:ascii="宋体" w:hAnsi="宋体" w:cs="宋体"/>
                <w:color w:val="auto"/>
                <w:kern w:val="0"/>
                <w:szCs w:val="21"/>
              </w:rPr>
            </w:pPr>
          </w:p>
        </w:tc>
      </w:tr>
      <w:tr w14:paraId="553C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0BA7152">
            <w:pPr>
              <w:widowControl/>
              <w:rPr>
                <w:rFonts w:ascii="宋体" w:hAnsi="宋体" w:cs="宋体"/>
                <w:color w:val="auto"/>
                <w:kern w:val="0"/>
                <w:szCs w:val="21"/>
              </w:rPr>
            </w:pPr>
          </w:p>
        </w:tc>
        <w:tc>
          <w:tcPr>
            <w:tcW w:w="826" w:type="dxa"/>
            <w:vMerge w:val="continue"/>
            <w:vAlign w:val="center"/>
          </w:tcPr>
          <w:p w14:paraId="1F74BDF2">
            <w:pPr>
              <w:widowControl/>
              <w:spacing w:line="440" w:lineRule="exact"/>
              <w:jc w:val="left"/>
              <w:rPr>
                <w:rFonts w:cs="宋体" w:asciiTheme="majorEastAsia" w:hAnsiTheme="majorEastAsia" w:eastAsiaTheme="majorEastAsia"/>
                <w:color w:val="auto"/>
                <w:kern w:val="0"/>
                <w:szCs w:val="21"/>
              </w:rPr>
            </w:pPr>
          </w:p>
        </w:tc>
        <w:tc>
          <w:tcPr>
            <w:tcW w:w="1012" w:type="dxa"/>
            <w:vMerge w:val="continue"/>
            <w:vAlign w:val="center"/>
          </w:tcPr>
          <w:p w14:paraId="5BF72EC9">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A342DB8">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系统应实现管理员对角色数据查看权限的范围进行自定义配置管理。</w:t>
            </w:r>
          </w:p>
        </w:tc>
        <w:tc>
          <w:tcPr>
            <w:tcW w:w="499" w:type="dxa"/>
            <w:vMerge w:val="continue"/>
            <w:vAlign w:val="center"/>
          </w:tcPr>
          <w:p w14:paraId="41BA4980">
            <w:pPr>
              <w:widowControl/>
              <w:jc w:val="center"/>
              <w:rPr>
                <w:rFonts w:ascii="宋体" w:hAnsi="宋体" w:cs="宋体"/>
                <w:color w:val="auto"/>
                <w:kern w:val="0"/>
                <w:szCs w:val="21"/>
              </w:rPr>
            </w:pPr>
          </w:p>
        </w:tc>
      </w:tr>
      <w:tr w14:paraId="16361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4645738E">
            <w:pPr>
              <w:widowControl/>
              <w:rPr>
                <w:rFonts w:ascii="宋体" w:hAnsi="宋体" w:cs="宋体"/>
                <w:color w:val="auto"/>
                <w:kern w:val="0"/>
                <w:szCs w:val="21"/>
              </w:rPr>
            </w:pPr>
          </w:p>
        </w:tc>
        <w:tc>
          <w:tcPr>
            <w:tcW w:w="826" w:type="dxa"/>
            <w:vMerge w:val="continue"/>
            <w:vAlign w:val="center"/>
          </w:tcPr>
          <w:p w14:paraId="3CD0CA9C">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6F6078B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字典维护</w:t>
            </w:r>
          </w:p>
        </w:tc>
        <w:tc>
          <w:tcPr>
            <w:tcW w:w="5544" w:type="dxa"/>
            <w:vAlign w:val="center"/>
          </w:tcPr>
          <w:p w14:paraId="14E9A2C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质检问题字典维护，按照国家规定配置质检评分表，提供质检问题模板维护功能。</w:t>
            </w:r>
          </w:p>
        </w:tc>
        <w:tc>
          <w:tcPr>
            <w:tcW w:w="499" w:type="dxa"/>
            <w:vMerge w:val="continue"/>
            <w:vAlign w:val="center"/>
          </w:tcPr>
          <w:p w14:paraId="3D45B353">
            <w:pPr>
              <w:widowControl/>
              <w:jc w:val="center"/>
              <w:rPr>
                <w:rFonts w:ascii="宋体" w:hAnsi="宋体" w:cs="宋体"/>
                <w:color w:val="auto"/>
                <w:kern w:val="0"/>
                <w:szCs w:val="21"/>
              </w:rPr>
            </w:pPr>
          </w:p>
        </w:tc>
      </w:tr>
      <w:tr w14:paraId="2ADC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35" w:type="dxa"/>
            <w:vMerge w:val="continue"/>
          </w:tcPr>
          <w:p w14:paraId="48BA1434">
            <w:pPr>
              <w:widowControl/>
              <w:rPr>
                <w:rFonts w:ascii="宋体" w:hAnsi="宋体" w:cs="宋体"/>
                <w:color w:val="auto"/>
                <w:kern w:val="0"/>
                <w:szCs w:val="21"/>
              </w:rPr>
            </w:pPr>
          </w:p>
        </w:tc>
        <w:tc>
          <w:tcPr>
            <w:tcW w:w="826" w:type="dxa"/>
            <w:vMerge w:val="continue"/>
            <w:vAlign w:val="center"/>
          </w:tcPr>
          <w:p w14:paraId="38BB3410">
            <w:pPr>
              <w:widowControl/>
              <w:spacing w:line="440" w:lineRule="exact"/>
              <w:jc w:val="left"/>
              <w:rPr>
                <w:rFonts w:cs="宋体" w:asciiTheme="majorEastAsia" w:hAnsiTheme="majorEastAsia" w:eastAsiaTheme="majorEastAsia"/>
                <w:color w:val="auto"/>
                <w:kern w:val="0"/>
                <w:szCs w:val="21"/>
              </w:rPr>
            </w:pPr>
          </w:p>
        </w:tc>
        <w:tc>
          <w:tcPr>
            <w:tcW w:w="1012" w:type="dxa"/>
            <w:vAlign w:val="center"/>
          </w:tcPr>
          <w:p w14:paraId="7AE63250">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ICD10查询</w:t>
            </w:r>
          </w:p>
        </w:tc>
        <w:tc>
          <w:tcPr>
            <w:tcW w:w="5544" w:type="dxa"/>
            <w:vAlign w:val="center"/>
          </w:tcPr>
          <w:p w14:paraId="407B9DCB">
            <w:pPr>
              <w:widowControl/>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ICD10诊断库查询，提供诊断库检查功能。</w:t>
            </w:r>
          </w:p>
        </w:tc>
        <w:tc>
          <w:tcPr>
            <w:tcW w:w="499" w:type="dxa"/>
            <w:vMerge w:val="continue"/>
            <w:vAlign w:val="center"/>
          </w:tcPr>
          <w:p w14:paraId="3E90140D">
            <w:pPr>
              <w:widowControl/>
              <w:jc w:val="center"/>
              <w:rPr>
                <w:rFonts w:ascii="宋体" w:hAnsi="宋体" w:cs="宋体"/>
                <w:color w:val="auto"/>
                <w:kern w:val="0"/>
                <w:szCs w:val="21"/>
              </w:rPr>
            </w:pPr>
          </w:p>
        </w:tc>
      </w:tr>
      <w:tr w14:paraId="2240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25744F17">
            <w:pPr>
              <w:widowControl/>
              <w:rPr>
                <w:rFonts w:ascii="宋体" w:hAnsi="宋体" w:cs="宋体"/>
                <w:color w:val="auto"/>
                <w:kern w:val="0"/>
                <w:szCs w:val="21"/>
              </w:rPr>
            </w:pPr>
          </w:p>
        </w:tc>
        <w:tc>
          <w:tcPr>
            <w:tcW w:w="826" w:type="dxa"/>
            <w:vMerge w:val="restart"/>
            <w:vAlign w:val="center"/>
          </w:tcPr>
          <w:p w14:paraId="547A7FA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编码质控</w:t>
            </w:r>
          </w:p>
        </w:tc>
        <w:tc>
          <w:tcPr>
            <w:tcW w:w="1012" w:type="dxa"/>
            <w:vAlign w:val="center"/>
          </w:tcPr>
          <w:p w14:paraId="2E8460B7">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诊断编码质控</w:t>
            </w:r>
          </w:p>
        </w:tc>
        <w:tc>
          <w:tcPr>
            <w:tcW w:w="5544" w:type="dxa"/>
            <w:vAlign w:val="center"/>
          </w:tcPr>
          <w:p w14:paraId="6C9715C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对病案首页的主诊选择错误、诊断漏编、合并编码、编码冲突，以及编码位置错误等编码问题进行质控，实现不低于3000多条编码质量控制规则。</w:t>
            </w:r>
          </w:p>
        </w:tc>
        <w:tc>
          <w:tcPr>
            <w:tcW w:w="499" w:type="dxa"/>
            <w:vMerge w:val="restart"/>
            <w:vAlign w:val="center"/>
          </w:tcPr>
          <w:p w14:paraId="4A29D21A">
            <w:pPr>
              <w:widowControl/>
              <w:jc w:val="center"/>
              <w:rPr>
                <w:rFonts w:ascii="宋体" w:hAnsi="宋体" w:cs="宋体"/>
                <w:color w:val="auto"/>
                <w:kern w:val="0"/>
                <w:szCs w:val="21"/>
              </w:rPr>
            </w:pPr>
            <w:r>
              <w:rPr>
                <w:rFonts w:hint="eastAsia" w:ascii="宋体" w:hAnsi="宋体" w:cs="宋体"/>
                <w:color w:val="auto"/>
                <w:kern w:val="0"/>
                <w:szCs w:val="21"/>
              </w:rPr>
              <w:t>1项</w:t>
            </w:r>
          </w:p>
        </w:tc>
      </w:tr>
      <w:tr w14:paraId="7E0D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768332D4">
            <w:pPr>
              <w:widowControl/>
              <w:rPr>
                <w:rFonts w:ascii="宋体" w:hAnsi="宋体" w:cs="宋体"/>
                <w:color w:val="auto"/>
                <w:kern w:val="0"/>
                <w:szCs w:val="21"/>
              </w:rPr>
            </w:pPr>
          </w:p>
        </w:tc>
        <w:tc>
          <w:tcPr>
            <w:tcW w:w="826" w:type="dxa"/>
            <w:vMerge w:val="continue"/>
            <w:vAlign w:val="center"/>
          </w:tcPr>
          <w:p w14:paraId="05C21525">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20DA460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手术编码质控</w:t>
            </w:r>
          </w:p>
        </w:tc>
        <w:tc>
          <w:tcPr>
            <w:tcW w:w="5544" w:type="dxa"/>
            <w:vAlign w:val="center"/>
          </w:tcPr>
          <w:p w14:paraId="34826F41">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系统应涵盖另编码遗漏、另编码疑似遗漏、手术省略编码多编、手术编码冲突以及合并编码等不同手术编码问题进行质控</w:t>
            </w:r>
          </w:p>
        </w:tc>
        <w:tc>
          <w:tcPr>
            <w:tcW w:w="499" w:type="dxa"/>
            <w:vMerge w:val="continue"/>
            <w:vAlign w:val="center"/>
          </w:tcPr>
          <w:p w14:paraId="0BA6FE05">
            <w:pPr>
              <w:widowControl/>
              <w:jc w:val="center"/>
              <w:rPr>
                <w:rFonts w:ascii="宋体" w:hAnsi="宋体" w:cs="宋体"/>
                <w:color w:val="auto"/>
                <w:kern w:val="0"/>
                <w:szCs w:val="21"/>
              </w:rPr>
            </w:pPr>
          </w:p>
        </w:tc>
      </w:tr>
      <w:tr w14:paraId="26BC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A253346">
            <w:pPr>
              <w:widowControl/>
              <w:rPr>
                <w:rFonts w:ascii="宋体" w:hAnsi="宋体" w:cs="宋体"/>
                <w:color w:val="auto"/>
                <w:kern w:val="0"/>
                <w:szCs w:val="21"/>
              </w:rPr>
            </w:pPr>
          </w:p>
        </w:tc>
        <w:tc>
          <w:tcPr>
            <w:tcW w:w="826" w:type="dxa"/>
            <w:vMerge w:val="continue"/>
            <w:vAlign w:val="center"/>
          </w:tcPr>
          <w:p w14:paraId="7F5C7626">
            <w:pPr>
              <w:widowControl/>
              <w:spacing w:line="440" w:lineRule="exact"/>
              <w:jc w:val="center"/>
              <w:rPr>
                <w:rFonts w:cs="宋体" w:asciiTheme="majorEastAsia" w:hAnsiTheme="majorEastAsia" w:eastAsiaTheme="majorEastAsia"/>
                <w:color w:val="auto"/>
                <w:kern w:val="0"/>
                <w:szCs w:val="21"/>
              </w:rPr>
            </w:pPr>
          </w:p>
        </w:tc>
        <w:tc>
          <w:tcPr>
            <w:tcW w:w="1012" w:type="dxa"/>
            <w:vMerge w:val="restart"/>
            <w:vAlign w:val="center"/>
          </w:tcPr>
          <w:p w14:paraId="21CCE48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编码规则管理</w:t>
            </w:r>
          </w:p>
        </w:tc>
        <w:tc>
          <w:tcPr>
            <w:tcW w:w="5544" w:type="dxa"/>
            <w:vAlign w:val="center"/>
          </w:tcPr>
          <w:p w14:paraId="318C7AE2">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实现按规则原文、规则章节、专业类型、提醒类型、规则状态、提醒级别进行规则的查询。</w:t>
            </w:r>
          </w:p>
        </w:tc>
        <w:tc>
          <w:tcPr>
            <w:tcW w:w="499" w:type="dxa"/>
            <w:vMerge w:val="continue"/>
            <w:vAlign w:val="center"/>
          </w:tcPr>
          <w:p w14:paraId="452389CB">
            <w:pPr>
              <w:widowControl/>
              <w:jc w:val="center"/>
              <w:rPr>
                <w:rFonts w:ascii="宋体" w:hAnsi="宋体" w:cs="宋体"/>
                <w:color w:val="auto"/>
                <w:kern w:val="0"/>
                <w:szCs w:val="21"/>
              </w:rPr>
            </w:pPr>
          </w:p>
        </w:tc>
      </w:tr>
      <w:tr w14:paraId="30F3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A5BFBF5">
            <w:pPr>
              <w:widowControl/>
              <w:rPr>
                <w:rFonts w:ascii="宋体" w:hAnsi="宋体" w:cs="宋体"/>
                <w:color w:val="auto"/>
                <w:kern w:val="0"/>
                <w:szCs w:val="21"/>
              </w:rPr>
            </w:pPr>
          </w:p>
        </w:tc>
        <w:tc>
          <w:tcPr>
            <w:tcW w:w="826" w:type="dxa"/>
            <w:vMerge w:val="continue"/>
            <w:vAlign w:val="center"/>
          </w:tcPr>
          <w:p w14:paraId="290F855E">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733D87FF">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6598AF3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实现对规则的生效状态进行开启/关闭。</w:t>
            </w:r>
          </w:p>
        </w:tc>
        <w:tc>
          <w:tcPr>
            <w:tcW w:w="499" w:type="dxa"/>
            <w:vMerge w:val="continue"/>
            <w:vAlign w:val="center"/>
          </w:tcPr>
          <w:p w14:paraId="315167C1">
            <w:pPr>
              <w:widowControl/>
              <w:jc w:val="center"/>
              <w:rPr>
                <w:rFonts w:ascii="宋体" w:hAnsi="宋体" w:cs="宋体"/>
                <w:color w:val="auto"/>
                <w:kern w:val="0"/>
                <w:szCs w:val="21"/>
              </w:rPr>
            </w:pPr>
          </w:p>
        </w:tc>
      </w:tr>
      <w:tr w14:paraId="67A2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43E33358">
            <w:pPr>
              <w:widowControl/>
              <w:rPr>
                <w:rFonts w:ascii="宋体" w:hAnsi="宋体" w:cs="宋体"/>
                <w:color w:val="auto"/>
                <w:kern w:val="0"/>
                <w:szCs w:val="21"/>
              </w:rPr>
            </w:pPr>
          </w:p>
        </w:tc>
        <w:tc>
          <w:tcPr>
            <w:tcW w:w="826" w:type="dxa"/>
            <w:vMerge w:val="continue"/>
            <w:vAlign w:val="center"/>
          </w:tcPr>
          <w:p w14:paraId="2E918260">
            <w:pPr>
              <w:widowControl/>
              <w:spacing w:line="440" w:lineRule="exact"/>
              <w:jc w:val="center"/>
              <w:rPr>
                <w:rFonts w:cs="宋体" w:asciiTheme="majorEastAsia" w:hAnsiTheme="majorEastAsia" w:eastAsiaTheme="majorEastAsia"/>
                <w:color w:val="auto"/>
                <w:kern w:val="0"/>
                <w:szCs w:val="21"/>
              </w:rPr>
            </w:pPr>
          </w:p>
        </w:tc>
        <w:tc>
          <w:tcPr>
            <w:tcW w:w="1012" w:type="dxa"/>
            <w:vMerge w:val="continue"/>
            <w:vAlign w:val="center"/>
          </w:tcPr>
          <w:p w14:paraId="42EB3804">
            <w:pPr>
              <w:widowControl/>
              <w:spacing w:line="440" w:lineRule="exact"/>
              <w:jc w:val="center"/>
              <w:rPr>
                <w:rFonts w:cs="宋体" w:asciiTheme="majorEastAsia" w:hAnsiTheme="majorEastAsia" w:eastAsiaTheme="majorEastAsia"/>
                <w:color w:val="auto"/>
                <w:kern w:val="0"/>
                <w:szCs w:val="21"/>
              </w:rPr>
            </w:pPr>
          </w:p>
        </w:tc>
        <w:tc>
          <w:tcPr>
            <w:tcW w:w="5544" w:type="dxa"/>
            <w:vAlign w:val="center"/>
          </w:tcPr>
          <w:p w14:paraId="250D69E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实现规则级别的配置，支持3级配置，3级为最高级别。</w:t>
            </w:r>
          </w:p>
        </w:tc>
        <w:tc>
          <w:tcPr>
            <w:tcW w:w="499" w:type="dxa"/>
            <w:vMerge w:val="continue"/>
            <w:vAlign w:val="center"/>
          </w:tcPr>
          <w:p w14:paraId="7EBA0302">
            <w:pPr>
              <w:widowControl/>
              <w:jc w:val="center"/>
              <w:rPr>
                <w:rFonts w:ascii="宋体" w:hAnsi="宋体" w:cs="宋体"/>
                <w:color w:val="auto"/>
                <w:kern w:val="0"/>
                <w:szCs w:val="21"/>
              </w:rPr>
            </w:pPr>
          </w:p>
        </w:tc>
      </w:tr>
      <w:tr w14:paraId="430D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579B0485">
            <w:pPr>
              <w:widowControl/>
              <w:rPr>
                <w:rFonts w:ascii="宋体" w:hAnsi="宋体" w:cs="宋体"/>
                <w:color w:val="auto"/>
                <w:kern w:val="0"/>
                <w:szCs w:val="21"/>
              </w:rPr>
            </w:pPr>
          </w:p>
        </w:tc>
        <w:tc>
          <w:tcPr>
            <w:tcW w:w="826" w:type="dxa"/>
            <w:vMerge w:val="continue"/>
            <w:vAlign w:val="center"/>
          </w:tcPr>
          <w:p w14:paraId="7DAF6E7F">
            <w:pPr>
              <w:widowControl/>
              <w:spacing w:line="440" w:lineRule="exact"/>
              <w:jc w:val="center"/>
              <w:rPr>
                <w:rFonts w:cs="宋体" w:asciiTheme="majorEastAsia" w:hAnsiTheme="majorEastAsia" w:eastAsiaTheme="majorEastAsia"/>
                <w:color w:val="auto"/>
                <w:kern w:val="0"/>
                <w:szCs w:val="21"/>
              </w:rPr>
            </w:pPr>
          </w:p>
        </w:tc>
        <w:tc>
          <w:tcPr>
            <w:tcW w:w="1012" w:type="dxa"/>
            <w:vAlign w:val="center"/>
          </w:tcPr>
          <w:p w14:paraId="0E55ECE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编码统计分析</w:t>
            </w:r>
          </w:p>
        </w:tc>
        <w:tc>
          <w:tcPr>
            <w:tcW w:w="5544" w:type="dxa"/>
            <w:vAlign w:val="center"/>
          </w:tcPr>
          <w:p w14:paraId="69B3129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按照出院月份（起止）、病历归档状态、专业类型（至少包含主诊断选择错误、主手术选择错误、性别与疾病逻辑冲突、另编码遗漏等26类）、章节（包含肿瘤、神经系统等46章）自动统计每条质控规则的质控总数、不通过数、不通过率、修正问题数、修正率。实现点击表头排序及下载表单内容。点击规则名称可跳转至该规则的问题趋势图（失败率/修正率），并展示问题管理列表，可按科室、医疗组、主治医生展示问题病历数、失败率（当前值、环比值、环比比率）、修正病历数、问题修正率（当前值、环比值、环比比率）。</w:t>
            </w:r>
          </w:p>
        </w:tc>
        <w:tc>
          <w:tcPr>
            <w:tcW w:w="499" w:type="dxa"/>
            <w:vMerge w:val="continue"/>
            <w:vAlign w:val="center"/>
          </w:tcPr>
          <w:p w14:paraId="013FA2E0">
            <w:pPr>
              <w:widowControl/>
              <w:jc w:val="center"/>
              <w:rPr>
                <w:rFonts w:ascii="宋体" w:hAnsi="宋体" w:cs="宋体"/>
                <w:color w:val="auto"/>
                <w:kern w:val="0"/>
                <w:szCs w:val="21"/>
              </w:rPr>
            </w:pPr>
          </w:p>
        </w:tc>
      </w:tr>
      <w:tr w14:paraId="171C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35" w:type="dxa"/>
            <w:vMerge w:val="continue"/>
          </w:tcPr>
          <w:p w14:paraId="3A760A16">
            <w:pPr>
              <w:widowControl/>
              <w:rPr>
                <w:rFonts w:ascii="宋体" w:hAnsi="宋体" w:cs="宋体"/>
                <w:color w:val="auto"/>
                <w:kern w:val="0"/>
                <w:szCs w:val="21"/>
              </w:rPr>
            </w:pPr>
          </w:p>
        </w:tc>
        <w:tc>
          <w:tcPr>
            <w:tcW w:w="826" w:type="dxa"/>
            <w:vAlign w:val="center"/>
          </w:tcPr>
          <w:p w14:paraId="6EE452F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系统功能</w:t>
            </w:r>
          </w:p>
        </w:tc>
        <w:tc>
          <w:tcPr>
            <w:tcW w:w="1012" w:type="dxa"/>
            <w:vAlign w:val="center"/>
          </w:tcPr>
          <w:p w14:paraId="751CB1CA">
            <w:pPr>
              <w:widowControl/>
              <w:spacing w:line="440" w:lineRule="exact"/>
              <w:jc w:val="left"/>
              <w:rPr>
                <w:rFonts w:cs="宋体" w:asciiTheme="majorEastAsia" w:hAnsiTheme="majorEastAsia" w:eastAsiaTheme="majorEastAsia"/>
                <w:color w:val="auto"/>
                <w:kern w:val="0"/>
                <w:szCs w:val="21"/>
              </w:rPr>
            </w:pPr>
          </w:p>
        </w:tc>
        <w:tc>
          <w:tcPr>
            <w:tcW w:w="5544" w:type="dxa"/>
            <w:vAlign w:val="center"/>
          </w:tcPr>
          <w:p w14:paraId="55C6FED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1.安全要求：系统服务器必须在医院内网安装。</w:t>
            </w:r>
          </w:p>
          <w:p w14:paraId="5B31A77A">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2.接口要求</w:t>
            </w:r>
            <w:r>
              <w:rPr>
                <w:rFonts w:cs="宋体" w:asciiTheme="majorEastAsia" w:hAnsiTheme="majorEastAsia" w:eastAsiaTheme="majorEastAsia"/>
                <w:color w:val="auto"/>
                <w:kern w:val="0"/>
                <w:szCs w:val="21"/>
              </w:rPr>
              <w:t>：</w:t>
            </w:r>
          </w:p>
          <w:p w14:paraId="0E5EB119">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2.1 符合《医院信息系统功能基本规范》相关要求；</w:t>
            </w:r>
          </w:p>
          <w:p w14:paraId="7EFAC013">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2.2 符合《电子病历系统功能规范（试行）》相关要求；</w:t>
            </w:r>
          </w:p>
          <w:p w14:paraId="71C6341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2.3 符合《电子病历系统功能应用水平分级评价方法及标准（试行）》相关要求；</w:t>
            </w:r>
          </w:p>
          <w:p w14:paraId="1CA236C1">
            <w:pPr>
              <w:widowControl/>
              <w:spacing w:line="440" w:lineRule="exact"/>
              <w:ind w:firstLine="420" w:firstLineChars="200"/>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2.4 能够与医院住院电子病历对接，获取电子病历中的数据内容，包括但不限于主诉、现病史、既往史等信息。</w:t>
            </w:r>
          </w:p>
          <w:p w14:paraId="5934DCCE">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2.5 能够与医院集成平台对接，获取集成平台中的数据内容，包括但不限于患者检验结果、检查报告、医嘱内容等；</w:t>
            </w:r>
          </w:p>
          <w:p w14:paraId="25517DAD">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    2.6 能够与医院医嘱对接，获取医嘱信息，包括但不限于药品、检验、检查、手术医嘱；</w:t>
            </w:r>
          </w:p>
          <w:p w14:paraId="390128C6">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3.性能要求：提供不同级别，不同故障情况下的应用系统的应急预案（指技术实现方案）。避免因计算机故障导致的医疗工作的延迟和医疗差错。</w:t>
            </w:r>
          </w:p>
          <w:p w14:paraId="14A0055F">
            <w:pPr>
              <w:widowControl/>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4.数据格式化要求：不需要电子病历实现结构化录入，可以从非结构化电子病历内容中，通过机器学习，自动抽取结构化信息。</w:t>
            </w:r>
          </w:p>
          <w:p w14:paraId="44211F67">
            <w:pPr>
              <w:widowControl/>
              <w:spacing w:line="440" w:lineRule="exact"/>
              <w:rPr>
                <w:rFonts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5.终端用户操作性能指标：软件系统要体现易于理解掌握、操作简单、提示清晰、逻辑性强，直观简洁、帮助信息丰富等特点，保证操作人员以最快速度和最少的击键次数完成工作。</w:t>
            </w:r>
            <w:r>
              <w:rPr>
                <w:rFonts w:hint="eastAsia"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6</w:t>
            </w:r>
            <w:r>
              <w:rPr>
                <w:rFonts w:hint="eastAsia" w:cs="宋体" w:asciiTheme="majorEastAsia" w:hAnsiTheme="majorEastAsia" w:eastAsiaTheme="majorEastAsia"/>
                <w:color w:val="auto"/>
                <w:kern w:val="0"/>
                <w:szCs w:val="21"/>
              </w:rPr>
              <w:t>.系统可以根据医院需求</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生成个性化分析数据</w:t>
            </w:r>
            <w:r>
              <w:rPr>
                <w:rFonts w:cs="宋体" w:asciiTheme="majorEastAsia" w:hAnsiTheme="majorEastAsia" w:eastAsiaTheme="majorEastAsia"/>
                <w:color w:val="auto"/>
                <w:kern w:val="0"/>
                <w:szCs w:val="21"/>
              </w:rPr>
              <w:t>。</w:t>
            </w:r>
          </w:p>
          <w:p w14:paraId="6CE94742">
            <w:pPr>
              <w:widowControl/>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7</w:t>
            </w:r>
            <w:r>
              <w:rPr>
                <w:rFonts w:hint="eastAsia" w:cs="宋体" w:asciiTheme="majorEastAsia" w:hAnsiTheme="majorEastAsia" w:eastAsiaTheme="majorEastAsia"/>
                <w:color w:val="auto"/>
                <w:kern w:val="0"/>
                <w:szCs w:val="21"/>
              </w:rPr>
              <w:t>.系统满足电子病历系统功能应用水平分级评价5级以上相关要求、系统满足互联互通标准化成熟度四级甲等以上标准相关要求、系统满足医院智慧服务分级评估3级以上相关要求。</w:t>
            </w:r>
          </w:p>
          <w:p w14:paraId="3F38E316">
            <w:pPr>
              <w:widowControl/>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8</w:t>
            </w:r>
            <w:r>
              <w:rPr>
                <w:rFonts w:hint="eastAsia" w:cs="宋体" w:asciiTheme="majorEastAsia" w:hAnsiTheme="majorEastAsia" w:eastAsiaTheme="majorEastAsia"/>
                <w:color w:val="auto"/>
                <w:kern w:val="0"/>
                <w:szCs w:val="21"/>
              </w:rPr>
              <w:t>.系统免费与医院相关系统无缝对接，包含但不限于：集成平台、数据中心、his系统、pacs系统、lis系统、病理系统、心电图系统、电子病历系统无缝对接等，具体以医院实际需求为准。</w:t>
            </w:r>
            <w:r>
              <w:rPr>
                <w:rFonts w:hint="eastAsia"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0.提供本地化开发服务，功能或需求以医院实际需要为准。</w:t>
            </w:r>
            <w:r>
              <w:rPr>
                <w:rFonts w:hint="eastAsia"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11</w:t>
            </w:r>
            <w:r>
              <w:rPr>
                <w:rFonts w:hint="eastAsia" w:cs="宋体" w:asciiTheme="majorEastAsia" w:hAnsiTheme="majorEastAsia" w:eastAsiaTheme="majorEastAsia"/>
                <w:color w:val="auto"/>
                <w:kern w:val="0"/>
                <w:szCs w:val="21"/>
              </w:rPr>
              <w:t>.本项目所有软件、系统和平台必须安装在院内运行。不能运行在未经医院允许的第三方平台。</w:t>
            </w:r>
          </w:p>
          <w:p w14:paraId="7B5D1C48">
            <w:pPr>
              <w:widowControl/>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12</w:t>
            </w:r>
            <w:r>
              <w:rPr>
                <w:rFonts w:hint="eastAsia" w:cs="宋体" w:asciiTheme="majorEastAsia" w:hAnsiTheme="majorEastAsia" w:eastAsiaTheme="majorEastAsia"/>
                <w:color w:val="auto"/>
                <w:kern w:val="0"/>
                <w:szCs w:val="21"/>
              </w:rPr>
              <w:t>.中标人承诺本次提供软件产品为公司最新产品，实施阶段如有新版本产生，需免费帮升级到最新版本。</w:t>
            </w:r>
          </w:p>
          <w:p w14:paraId="6F6467C5">
            <w:pPr>
              <w:widowControl/>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13</w:t>
            </w:r>
            <w:r>
              <w:rPr>
                <w:rFonts w:hint="eastAsia" w:cs="宋体" w:asciiTheme="majorEastAsia" w:hAnsiTheme="majorEastAsia" w:eastAsiaTheme="majorEastAsia"/>
                <w:color w:val="auto"/>
                <w:kern w:val="0"/>
                <w:szCs w:val="21"/>
              </w:rPr>
              <w:t>.承诺软件产品没有侵权问题。如有，中标人承担所有法律责任。</w:t>
            </w:r>
          </w:p>
          <w:p w14:paraId="53FF6620">
            <w:pPr>
              <w:widowControl/>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14</w:t>
            </w:r>
            <w:r>
              <w:rPr>
                <w:rFonts w:hint="eastAsia" w:cs="宋体" w:asciiTheme="majorEastAsia" w:hAnsiTheme="majorEastAsia" w:eastAsiaTheme="majorEastAsia"/>
                <w:color w:val="auto"/>
                <w:kern w:val="0"/>
                <w:szCs w:val="21"/>
              </w:rPr>
              <w:t>.提供从系统验收合格之日起软件系统原厂</w:t>
            </w:r>
            <w:r>
              <w:rPr>
                <w:rFonts w:cs="宋体" w:asciiTheme="majorEastAsia" w:hAnsiTheme="majorEastAsia" w:eastAsiaTheme="majorEastAsia"/>
                <w:color w:val="auto"/>
                <w:kern w:val="0"/>
                <w:szCs w:val="21"/>
              </w:rPr>
              <w:t>2</w:t>
            </w:r>
            <w:r>
              <w:rPr>
                <w:rFonts w:hint="eastAsia" w:cs="宋体" w:asciiTheme="majorEastAsia" w:hAnsiTheme="majorEastAsia" w:eastAsiaTheme="majorEastAsia"/>
                <w:color w:val="auto"/>
                <w:kern w:val="0"/>
                <w:szCs w:val="21"/>
              </w:rPr>
              <w:t>年的免费质保服务。</w:t>
            </w:r>
          </w:p>
        </w:tc>
        <w:tc>
          <w:tcPr>
            <w:tcW w:w="499" w:type="dxa"/>
            <w:vAlign w:val="center"/>
          </w:tcPr>
          <w:p w14:paraId="5E942F5E">
            <w:pPr>
              <w:widowControl/>
              <w:jc w:val="center"/>
              <w:rPr>
                <w:rFonts w:ascii="宋体" w:hAnsi="宋体" w:cs="宋体"/>
                <w:color w:val="auto"/>
                <w:kern w:val="0"/>
                <w:szCs w:val="21"/>
              </w:rPr>
            </w:pPr>
            <w:r>
              <w:rPr>
                <w:rFonts w:ascii="宋体" w:hAnsi="宋体" w:cs="宋体"/>
                <w:color w:val="auto"/>
                <w:kern w:val="0"/>
                <w:szCs w:val="21"/>
              </w:rPr>
              <w:t>1项</w:t>
            </w:r>
          </w:p>
        </w:tc>
      </w:tr>
      <w:tr w14:paraId="4FA0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516" w:type="dxa"/>
            <w:gridSpan w:val="5"/>
          </w:tcPr>
          <w:p w14:paraId="75BB8FC5">
            <w:pPr>
              <w:widowControl/>
              <w:ind w:firstLine="422" w:firstLineChars="200"/>
              <w:rPr>
                <w:rFonts w:ascii="宋体" w:hAnsi="宋体" w:cs="宋体"/>
                <w:b/>
                <w:color w:val="auto"/>
                <w:kern w:val="0"/>
                <w:szCs w:val="21"/>
              </w:rPr>
            </w:pPr>
          </w:p>
        </w:tc>
      </w:tr>
      <w:tr w14:paraId="145A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8516" w:type="dxa"/>
            <w:gridSpan w:val="5"/>
          </w:tcPr>
          <w:p w14:paraId="1F908D46">
            <w:pPr>
              <w:spacing w:line="440" w:lineRule="exact"/>
              <w:rPr>
                <w:rFonts w:ascii="宋体" w:hAnsi="宋体"/>
                <w:color w:val="auto"/>
                <w:szCs w:val="21"/>
              </w:rPr>
            </w:pPr>
            <w:r>
              <w:rPr>
                <w:rFonts w:hint="eastAsia" w:ascii="宋体" w:hAnsi="宋体"/>
                <w:color w:val="auto"/>
                <w:szCs w:val="21"/>
              </w:rPr>
              <w:t xml:space="preserve">售后服务及其他要求： </w:t>
            </w:r>
          </w:p>
          <w:p w14:paraId="4236ED9B">
            <w:pPr>
              <w:spacing w:line="440" w:lineRule="exact"/>
              <w:rPr>
                <w:rFonts w:ascii="宋体" w:hAnsi="宋体"/>
                <w:color w:val="auto"/>
                <w:szCs w:val="21"/>
              </w:rPr>
            </w:pPr>
            <w:r>
              <w:rPr>
                <w:rFonts w:hint="eastAsia" w:ascii="宋体" w:hAnsi="宋体"/>
                <w:color w:val="auto"/>
                <w:szCs w:val="21"/>
              </w:rPr>
              <w:t>1、系统维护期为</w:t>
            </w:r>
            <w:r>
              <w:rPr>
                <w:rFonts w:ascii="宋体" w:hAnsi="宋体"/>
                <w:color w:val="auto"/>
                <w:szCs w:val="21"/>
              </w:rPr>
              <w:t>2</w:t>
            </w:r>
            <w:r>
              <w:rPr>
                <w:rFonts w:hint="eastAsia" w:ascii="宋体" w:hAnsi="宋体"/>
                <w:color w:val="auto"/>
                <w:szCs w:val="21"/>
              </w:rPr>
              <w:t>年，起始时间从系统验收合格之日起计算；</w:t>
            </w:r>
          </w:p>
          <w:p w14:paraId="27D5C057">
            <w:pPr>
              <w:spacing w:line="440" w:lineRule="exact"/>
              <w:rPr>
                <w:rFonts w:ascii="宋体" w:hAnsi="宋体"/>
                <w:color w:val="auto"/>
                <w:szCs w:val="21"/>
              </w:rPr>
            </w:pPr>
            <w:r>
              <w:rPr>
                <w:rFonts w:hint="eastAsia" w:ascii="宋体" w:hAnsi="宋体"/>
                <w:color w:val="auto"/>
                <w:szCs w:val="21"/>
              </w:rPr>
              <w:t>2、维护期内因信息系统本身缺陷造成各种故障由投标人提供技术服务和维修；</w:t>
            </w:r>
          </w:p>
          <w:p w14:paraId="13F0529E">
            <w:pPr>
              <w:spacing w:line="440" w:lineRule="exact"/>
              <w:outlineLvl w:val="0"/>
              <w:rPr>
                <w:rFonts w:ascii="宋体" w:hAnsi="宋体"/>
                <w:color w:val="auto"/>
                <w:szCs w:val="21"/>
              </w:rPr>
            </w:pPr>
            <w:r>
              <w:rPr>
                <w:rFonts w:hint="eastAsia" w:ascii="宋体" w:hAnsi="宋体"/>
                <w:color w:val="auto"/>
                <w:szCs w:val="21"/>
              </w:rPr>
              <w:t>3、系统试运行期内及质量保修期内投标人应免费提供与第三方系统的接口开发服务；</w:t>
            </w:r>
          </w:p>
          <w:p w14:paraId="17C18A50">
            <w:pPr>
              <w:spacing w:line="440" w:lineRule="exact"/>
              <w:outlineLvl w:val="0"/>
              <w:rPr>
                <w:rFonts w:ascii="宋体" w:hAnsi="宋体"/>
                <w:color w:val="auto"/>
                <w:szCs w:val="21"/>
              </w:rPr>
            </w:pPr>
            <w:r>
              <w:rPr>
                <w:rFonts w:hint="eastAsia" w:ascii="宋体" w:hAnsi="宋体"/>
                <w:color w:val="auto"/>
                <w:szCs w:val="21"/>
              </w:rPr>
              <w:t>4、系统试运行期内及质量保修期内投标人应免费提供系统软件升级服务；</w:t>
            </w:r>
          </w:p>
          <w:p w14:paraId="5D9A426D">
            <w:pPr>
              <w:widowControl/>
              <w:spacing w:line="440" w:lineRule="exact"/>
              <w:rPr>
                <w:rFonts w:ascii="宋体" w:hAnsi="宋体" w:cs="宋体"/>
                <w:color w:val="auto"/>
                <w:kern w:val="0"/>
                <w:szCs w:val="21"/>
              </w:rPr>
            </w:pPr>
            <w:r>
              <w:rPr>
                <w:rFonts w:ascii="宋体" w:hAnsi="宋体"/>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r>
              <w:rPr>
                <w:rFonts w:hint="eastAsia" w:ascii="宋体" w:hAnsi="宋体"/>
                <w:color w:val="auto"/>
                <w:szCs w:val="21"/>
              </w:rPr>
              <w:br w:type="textWrapping"/>
            </w:r>
            <w:r>
              <w:rPr>
                <w:rFonts w:ascii="宋体" w:hAnsi="宋体"/>
                <w:color w:val="auto"/>
                <w:szCs w:val="21"/>
              </w:rPr>
              <w:t>6、</w:t>
            </w:r>
            <w:r>
              <w:rPr>
                <w:rFonts w:hint="eastAsia" w:ascii="宋体" w:hAnsi="宋体"/>
                <w:color w:val="auto"/>
                <w:szCs w:val="21"/>
              </w:rPr>
              <w:t>其他要求按照项目子项“整体项目实施服务”要求执行</w:t>
            </w:r>
            <w:r>
              <w:rPr>
                <w:rFonts w:ascii="宋体" w:hAnsi="宋体"/>
                <w:color w:val="auto"/>
                <w:szCs w:val="21"/>
              </w:rPr>
              <w:t>。</w:t>
            </w:r>
          </w:p>
        </w:tc>
      </w:tr>
    </w:tbl>
    <w:p w14:paraId="0B5E14A6">
      <w:pPr>
        <w:rPr>
          <w:rFonts w:asciiTheme="majorEastAsia" w:hAnsiTheme="majorEastAsia" w:eastAsiaTheme="majorEastAsia"/>
          <w:color w:val="auto"/>
          <w:szCs w:val="21"/>
        </w:rPr>
      </w:pPr>
    </w:p>
    <w:p w14:paraId="6F583AC5">
      <w:pPr>
        <w:rPr>
          <w:rFonts w:ascii="宋体" w:hAnsi="宋体" w:cs="宋体"/>
          <w:color w:val="auto"/>
          <w:kern w:val="0"/>
          <w:sz w:val="18"/>
          <w:szCs w:val="18"/>
        </w:rPr>
      </w:pPr>
      <w:r>
        <w:rPr>
          <w:rFonts w:ascii="宋体" w:hAnsi="宋体" w:cs="宋体"/>
          <w:color w:val="auto"/>
          <w:kern w:val="0"/>
          <w:sz w:val="18"/>
          <w:szCs w:val="18"/>
        </w:rPr>
        <w:br w:type="page"/>
      </w:r>
    </w:p>
    <w:p w14:paraId="2926A011">
      <w:pPr>
        <w:widowControl/>
        <w:jc w:val="left"/>
        <w:rPr>
          <w:rFonts w:ascii="宋体" w:hAnsi="宋体" w:cs="宋体"/>
          <w:color w:val="auto"/>
          <w:kern w:val="0"/>
          <w:sz w:val="18"/>
          <w:szCs w:val="18"/>
        </w:rPr>
      </w:pPr>
    </w:p>
    <w:p w14:paraId="78E41272">
      <w:pPr>
        <w:widowControl/>
        <w:jc w:val="left"/>
        <w:rPr>
          <w:rFonts w:ascii="宋体" w:hAnsi="宋体" w:cs="宋体"/>
          <w:color w:val="auto"/>
          <w:kern w:val="0"/>
          <w:sz w:val="18"/>
          <w:szCs w:val="18"/>
        </w:rPr>
      </w:pPr>
    </w:p>
    <w:p w14:paraId="2110CF31">
      <w:pPr>
        <w:widowControl/>
        <w:jc w:val="left"/>
        <w:rPr>
          <w:rFonts w:ascii="宋体" w:hAnsi="宋体" w:cs="宋体"/>
          <w:color w:val="auto"/>
          <w:kern w:val="0"/>
          <w:sz w:val="18"/>
          <w:szCs w:val="18"/>
        </w:rPr>
      </w:pPr>
    </w:p>
    <w:p w14:paraId="5F09ADAC">
      <w:pPr>
        <w:widowControl/>
        <w:jc w:val="left"/>
        <w:rPr>
          <w:rFonts w:ascii="宋体" w:hAnsi="宋体" w:cs="宋体"/>
          <w:color w:val="auto"/>
          <w:kern w:val="0"/>
          <w:sz w:val="18"/>
          <w:szCs w:val="18"/>
        </w:rPr>
      </w:pPr>
    </w:p>
    <w:p w14:paraId="1388062C">
      <w:pPr>
        <w:widowControl/>
        <w:jc w:val="left"/>
        <w:rPr>
          <w:rFonts w:ascii="宋体" w:hAnsi="宋体" w:cs="宋体"/>
          <w:color w:val="auto"/>
          <w:kern w:val="0"/>
          <w:sz w:val="18"/>
          <w:szCs w:val="1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426"/>
        <w:gridCol w:w="946"/>
        <w:gridCol w:w="669"/>
        <w:gridCol w:w="733"/>
        <w:gridCol w:w="5085"/>
      </w:tblGrid>
      <w:tr w14:paraId="6B39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88" w:type="dxa"/>
            <w:vAlign w:val="center"/>
          </w:tcPr>
          <w:p w14:paraId="5AE215D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项目</w:t>
            </w:r>
          </w:p>
        </w:tc>
        <w:tc>
          <w:tcPr>
            <w:tcW w:w="426" w:type="dxa"/>
            <w:vAlign w:val="center"/>
          </w:tcPr>
          <w:p w14:paraId="1EDA803F">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序号</w:t>
            </w:r>
          </w:p>
        </w:tc>
        <w:tc>
          <w:tcPr>
            <w:tcW w:w="1003" w:type="dxa"/>
            <w:vAlign w:val="center"/>
          </w:tcPr>
          <w:p w14:paraId="4ADF291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产品</w:t>
            </w:r>
          </w:p>
          <w:p w14:paraId="03EB6D93">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名称</w:t>
            </w:r>
          </w:p>
        </w:tc>
        <w:tc>
          <w:tcPr>
            <w:tcW w:w="713" w:type="dxa"/>
            <w:vAlign w:val="center"/>
          </w:tcPr>
          <w:p w14:paraId="5B07640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功能</w:t>
            </w:r>
          </w:p>
        </w:tc>
        <w:tc>
          <w:tcPr>
            <w:tcW w:w="789" w:type="dxa"/>
            <w:vAlign w:val="center"/>
          </w:tcPr>
          <w:p w14:paraId="4599DF1B">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数量</w:t>
            </w:r>
          </w:p>
        </w:tc>
        <w:tc>
          <w:tcPr>
            <w:tcW w:w="5783" w:type="dxa"/>
            <w:vAlign w:val="center"/>
          </w:tcPr>
          <w:p w14:paraId="5C6EE3F9">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技术参数</w:t>
            </w:r>
          </w:p>
        </w:tc>
      </w:tr>
      <w:tr w14:paraId="5B8C1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688" w:type="dxa"/>
            <w:vMerge w:val="restart"/>
            <w:vAlign w:val="center"/>
          </w:tcPr>
          <w:p w14:paraId="7FD7538D">
            <w:pPr>
              <w:widowControl/>
              <w:spacing w:line="440" w:lineRule="exact"/>
              <w:jc w:val="center"/>
              <w:rPr>
                <w:rFonts w:cs="宋体" w:asciiTheme="majorEastAsia" w:hAnsiTheme="majorEastAsia" w:eastAsiaTheme="majorEastAsia"/>
                <w:color w:val="auto"/>
                <w:kern w:val="0"/>
                <w:szCs w:val="21"/>
              </w:rPr>
            </w:pPr>
          </w:p>
          <w:p w14:paraId="4E4C4686">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6、互联网医院采购技术参数要求</w:t>
            </w:r>
          </w:p>
        </w:tc>
        <w:tc>
          <w:tcPr>
            <w:tcW w:w="426" w:type="dxa"/>
            <w:vAlign w:val="center"/>
          </w:tcPr>
          <w:p w14:paraId="270E606A">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w:t>
            </w:r>
          </w:p>
        </w:tc>
        <w:tc>
          <w:tcPr>
            <w:tcW w:w="1003" w:type="dxa"/>
            <w:vAlign w:val="center"/>
          </w:tcPr>
          <w:p w14:paraId="6AAFB751">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移动智慧医院微信公众号小程序（中英文双版）</w:t>
            </w:r>
          </w:p>
        </w:tc>
        <w:tc>
          <w:tcPr>
            <w:tcW w:w="713" w:type="dxa"/>
            <w:vAlign w:val="center"/>
          </w:tcPr>
          <w:p w14:paraId="21E4A2C5">
            <w:pPr>
              <w:widowControl/>
              <w:snapToGrid w:val="0"/>
              <w:spacing w:line="440" w:lineRule="exact"/>
              <w:jc w:val="center"/>
              <w:rPr>
                <w:rFonts w:cs="宋体" w:asciiTheme="majorEastAsia" w:hAnsiTheme="majorEastAsia" w:eastAsiaTheme="majorEastAsia"/>
                <w:color w:val="auto"/>
                <w:kern w:val="0"/>
                <w:szCs w:val="21"/>
              </w:rPr>
            </w:pPr>
          </w:p>
        </w:tc>
        <w:tc>
          <w:tcPr>
            <w:tcW w:w="789" w:type="dxa"/>
            <w:vAlign w:val="center"/>
          </w:tcPr>
          <w:p w14:paraId="3115B5D8">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2BF609D2">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微信公众号和微信小程序部署在院内</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利用前置机对外提供服务</w:t>
            </w:r>
            <w:r>
              <w:rPr>
                <w:rFonts w:cs="宋体" w:asciiTheme="majorEastAsia" w:hAnsiTheme="majorEastAsia" w:eastAsiaTheme="majorEastAsia"/>
                <w:color w:val="auto"/>
                <w:kern w:val="0"/>
                <w:szCs w:val="21"/>
              </w:rPr>
              <w:t>。</w:t>
            </w:r>
          </w:p>
          <w:p w14:paraId="0E933E37">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智慧医院升级小程序形式，保留原有数据，并实现与互联网在线服务平台的深度融合，打通用户体系，完善线下就诊服务与线上诊疗服务的闭环，所有内容实现中英文切换。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微信小程序有中英文版切换功能</w:t>
            </w:r>
            <w:r>
              <w:rPr>
                <w:rFonts w:cs="宋体" w:asciiTheme="majorEastAsia" w:hAnsiTheme="majorEastAsia" w:eastAsiaTheme="majorEastAsia"/>
                <w:color w:val="auto"/>
                <w:kern w:val="0"/>
                <w:szCs w:val="21"/>
              </w:rPr>
              <w:t>，实现全功能各界面中英文切换。需提供各界面案例截图及合作证明。</w:t>
            </w:r>
          </w:p>
          <w:p w14:paraId="7E2651AC">
            <w:pPr>
              <w:spacing w:line="440" w:lineRule="exact"/>
              <w:rPr>
                <w:rFonts w:cs="宋体" w:asciiTheme="majorEastAsia" w:hAnsiTheme="majorEastAsia" w:eastAsiaTheme="majorEastAsia"/>
                <w:color w:val="auto"/>
                <w:kern w:val="0"/>
                <w:szCs w:val="21"/>
              </w:rPr>
            </w:pPr>
          </w:p>
        </w:tc>
      </w:tr>
      <w:tr w14:paraId="1F45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6ACD6443">
            <w:pPr>
              <w:widowControl/>
              <w:spacing w:line="440" w:lineRule="exact"/>
              <w:jc w:val="center"/>
              <w:rPr>
                <w:rFonts w:cs="宋体" w:asciiTheme="majorEastAsia" w:hAnsiTheme="majorEastAsia" w:eastAsiaTheme="majorEastAsia"/>
                <w:color w:val="auto"/>
                <w:kern w:val="0"/>
                <w:szCs w:val="21"/>
              </w:rPr>
            </w:pPr>
          </w:p>
        </w:tc>
        <w:tc>
          <w:tcPr>
            <w:tcW w:w="426" w:type="dxa"/>
            <w:vMerge w:val="restart"/>
            <w:vAlign w:val="center"/>
          </w:tcPr>
          <w:p w14:paraId="441E31E7">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2</w:t>
            </w:r>
          </w:p>
        </w:tc>
        <w:tc>
          <w:tcPr>
            <w:tcW w:w="1003" w:type="dxa"/>
            <w:vMerge w:val="restart"/>
            <w:vAlign w:val="center"/>
          </w:tcPr>
          <w:p w14:paraId="24708D0A">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智慧门诊</w:t>
            </w:r>
          </w:p>
        </w:tc>
        <w:tc>
          <w:tcPr>
            <w:tcW w:w="713" w:type="dxa"/>
            <w:vAlign w:val="center"/>
          </w:tcPr>
          <w:p w14:paraId="14132445">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基本功能</w:t>
            </w:r>
          </w:p>
        </w:tc>
        <w:tc>
          <w:tcPr>
            <w:tcW w:w="789" w:type="dxa"/>
            <w:vAlign w:val="center"/>
          </w:tcPr>
          <w:p w14:paraId="36E66A25">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套</w:t>
            </w:r>
          </w:p>
        </w:tc>
        <w:tc>
          <w:tcPr>
            <w:tcW w:w="5783" w:type="dxa"/>
          </w:tcPr>
          <w:p w14:paraId="2D1ADADE">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1、电子就诊卡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（1）实现在线建档及在线绑卡业务，生成电子就诊卡，实现与院内就诊卡数据互通；</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（2）实现成人、儿童类型人员在线建卡或绑卡，并实现为他人建立就诊卡；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（3）实现可设置默认就诊人、允许解除己绑定的就诊卡；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（4）可实现基于身份证的实名校验和认证；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（5）可生成电子就诊卡二维码，适用于医院多个就医场景的就医环节；</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（6）实现与卫健委的电子健康卡应用对接，实现与院内就诊卡互通。</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（7）实现港澳通行证、护照等类型的在线建卡或绑卡。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2、预约挂号</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（1）实现按医院规则设置开放预约号源时长；</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（2）查看出诊科室列表，实现科室筛选查询；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（3）查看科室出诊医生列表，实现显示医生职称、价格、头像及收藏医生；</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（4）查看医生剩余号源；</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（5）实现号源锁定，系统必须能实现按医院要求的时间进行设定；</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（6）实现预约挂号费在线支付和在线退费；</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（7）实现取消预约，取消规则须满足医院设定的规则；</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（8）提供丰富的消息通知，包括预约成功、取消预约、支付成功等场景的推送；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（9）提供预约记录查询，实现按日期筛选；</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（10）实现停诊、替诊业务的消息通知。</w:t>
            </w:r>
          </w:p>
          <w:p w14:paraId="51D6E5A5">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t>11）</w:t>
            </w:r>
            <w:r>
              <w:rPr>
                <w:rFonts w:hint="eastAsia" w:cs="宋体" w:asciiTheme="majorEastAsia" w:hAnsiTheme="majorEastAsia" w:eastAsiaTheme="majorEastAsia"/>
                <w:color w:val="auto"/>
                <w:kern w:val="0"/>
                <w:szCs w:val="21"/>
              </w:rPr>
              <w:t>实现按医院需求设定多层级门诊科室。</w:t>
            </w:r>
          </w:p>
          <w:p w14:paraId="5C6F302D">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（12）实现门诊挂号候补排号服务功能，实施“一号管三天”便民措施。</w:t>
            </w:r>
          </w:p>
          <w:p w14:paraId="3982F7C8">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（13）实现现用系统挂号诊疗费相关优惠规则的衔接。</w:t>
            </w:r>
          </w:p>
          <w:p w14:paraId="54ECD180">
            <w:pPr>
              <w:widowControl/>
              <w:snapToGrid w:val="0"/>
              <w:spacing w:line="440" w:lineRule="exact"/>
              <w:rPr>
                <w:rFonts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（14）对于诊断明确且因为相同疾病就诊的复诊患者，可通过互联网医院或预约诊疗平台实现自主预约复诊所需的检查检验，并根据检查检验出结果的时间匹配复诊号源。</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3、在线签到</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（1）可按医院候诊模式提供候诊在线签到功能；</w:t>
            </w:r>
            <w:r>
              <w:rPr>
                <w:rFonts w:hint="eastAsia" w:cs="宋体" w:asciiTheme="majorEastAsia" w:hAnsiTheme="majorEastAsia" w:eastAsiaTheme="majorEastAsia"/>
                <w:color w:val="auto"/>
                <w:szCs w:val="21"/>
              </w:rPr>
              <w:br w:type="textWrapping"/>
            </w:r>
            <w:r>
              <w:rPr>
                <w:rFonts w:hint="eastAsia" w:cs="宋体" w:asciiTheme="majorEastAsia" w:hAnsiTheme="majorEastAsia" w:eastAsiaTheme="majorEastAsia"/>
                <w:color w:val="auto"/>
                <w:szCs w:val="21"/>
              </w:rPr>
              <w:t>（2）实现多种签到方式，如定位签到、扫码签到等。</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4、门诊缴费</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 xml:space="preserve">（1）实现在线查询待缴费订单，实现查看订单详情； </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（2）实现在线缴费；</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（3）实现查看已缴费列表及缴费详细信息；</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（4）提供丰富的消息通知，包括待缴费通知提醒、缴费完成通知、退费提醒等相关业务。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（5）实现查看指引信息，如取药窗口、检验检查等位置指引；</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（6）可实现与医院电子发票系统对接，实现在线查看缴费发票。</w:t>
            </w:r>
          </w:p>
          <w:p w14:paraId="24E66346">
            <w:pPr>
              <w:widowControl/>
              <w:numPr>
                <w:ilvl w:val="0"/>
                <w:numId w:val="58"/>
              </w:numPr>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门诊缴费需退费的，后台客服处理退费。</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5、报告查询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（1）提供报告结果生成通知；</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 xml:space="preserve">（2）实现在线查询检验、检查、体检等报告记录及详情； </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（3）实现检验异常结果指标项目标识；</w:t>
            </w:r>
          </w:p>
          <w:p w14:paraId="047EFB4B">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（4）</w:t>
            </w:r>
            <w:r>
              <w:rPr>
                <w:rFonts w:hint="eastAsia" w:cs="宋体" w:asciiTheme="majorEastAsia" w:hAnsiTheme="majorEastAsia" w:eastAsiaTheme="majorEastAsia"/>
                <w:color w:val="auto"/>
                <w:szCs w:val="21"/>
              </w:rPr>
              <w:t>按照《广西壮族自治区医疗机构检查检验结果互认实施方案》（桂卫医发〔</w:t>
            </w:r>
            <w:r>
              <w:rPr>
                <w:rFonts w:cs="宋体" w:asciiTheme="majorEastAsia" w:hAnsiTheme="majorEastAsia" w:eastAsiaTheme="majorEastAsia"/>
                <w:color w:val="auto"/>
                <w:szCs w:val="21"/>
              </w:rPr>
              <w:t>2023</w:t>
            </w:r>
            <w:r>
              <w:rPr>
                <w:rFonts w:hint="eastAsia" w:cs="宋体" w:asciiTheme="majorEastAsia" w:hAnsiTheme="majorEastAsia" w:eastAsiaTheme="majorEastAsia"/>
                <w:color w:val="auto"/>
                <w:szCs w:val="21"/>
              </w:rPr>
              <w:t>〕</w:t>
            </w:r>
            <w:r>
              <w:rPr>
                <w:rFonts w:cs="宋体" w:asciiTheme="majorEastAsia" w:hAnsiTheme="majorEastAsia" w:eastAsiaTheme="majorEastAsia"/>
                <w:color w:val="auto"/>
                <w:szCs w:val="21"/>
              </w:rPr>
              <w:t xml:space="preserve">10 </w:t>
            </w:r>
            <w:r>
              <w:rPr>
                <w:rFonts w:hint="eastAsia" w:cs="宋体" w:asciiTheme="majorEastAsia" w:hAnsiTheme="majorEastAsia" w:eastAsiaTheme="majorEastAsia"/>
                <w:color w:val="auto"/>
                <w:szCs w:val="21"/>
              </w:rPr>
              <w:t>号）要求，落实紧密型城市医疗集团和县域医疗共同体内部的医疗卫生机构实现检验检查结果互认的阶段性要求，实现院际间调阅。</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6、医技预约</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（1）实现与院内医技预约平台对接，实现检查项目的在线预约；</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（2）实现按医院要求，查看指定时间段内就诊人的检查记录；</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（3）可实现放射类、超声类、内窥镜类等项目检查预约；</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（4）实现按日期在线预约及查看预约记录；</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（5）实现在线修改预约信息；</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（6）实现取消预约；</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（7）实现按医院要求，对特定项目可定制预约调查问卷；</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（8）可提供丰富的消息通知，包括待预约项目通知、预约成功、修改成功、取消预约等消息通知。</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7、候诊查询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（1）实现在线查看候诊排队信息；</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（2）实现临近就诊消息提醒发送。</w:t>
            </w:r>
          </w:p>
        </w:tc>
      </w:tr>
      <w:tr w14:paraId="79B1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0F622A62">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5E2EB272">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2E1F8E18">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427F43B6">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信息查询</w:t>
            </w:r>
          </w:p>
        </w:tc>
        <w:tc>
          <w:tcPr>
            <w:tcW w:w="789" w:type="dxa"/>
            <w:vAlign w:val="center"/>
          </w:tcPr>
          <w:p w14:paraId="5AF994A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3AFFBDC4">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电子病历线上查询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就诊卡号线上查询</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候诊队列/取药队列/检查队列查询</w:t>
            </w:r>
          </w:p>
        </w:tc>
      </w:tr>
      <w:tr w14:paraId="75D1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13FC8EE9">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19239D88">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0A3A7814">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11BA6FFA">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智慧医院主动提醒</w:t>
            </w:r>
          </w:p>
        </w:tc>
        <w:tc>
          <w:tcPr>
            <w:tcW w:w="789" w:type="dxa"/>
            <w:vAlign w:val="center"/>
          </w:tcPr>
          <w:p w14:paraId="66C89BFB">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1037003">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队列提醒/住院提醒/报告发布提醒/住院押金余额不足提醒/检查注意事项通知/以及需要各种需要提醒的信息发布</w:t>
            </w:r>
          </w:p>
        </w:tc>
      </w:tr>
      <w:tr w14:paraId="335E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448BE5F0">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418E6442">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7239DBC8">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37E77DAD">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满意度调查</w:t>
            </w:r>
          </w:p>
        </w:tc>
        <w:tc>
          <w:tcPr>
            <w:tcW w:w="789" w:type="dxa"/>
            <w:vAlign w:val="center"/>
          </w:tcPr>
          <w:p w14:paraId="0A241260">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17732E4B">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患者满意度，为医院的公共管理服务提供科学化的测评工具，形成有影响力的院内调查问卷。包含门诊、急诊、住院患者满意度调查，以及患者表扬和投诉建议</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满意度调查场景推送</w:t>
            </w:r>
          </w:p>
          <w:p w14:paraId="352B13D1">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满意度调查定向表单</w:t>
            </w:r>
          </w:p>
          <w:p w14:paraId="0DDCE8ED">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满意度调查表单</w:t>
            </w:r>
          </w:p>
          <w:p w14:paraId="7EFCC4FC">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为我院微信公众号、微信小程序、HIS系统、单病种管理系统及其它电子电子系统提供满意度调查接口，按要求制作、维护服务体验与评价项目表单，实现导出满意度调查源数据、统计表（Excel等格式），按月度、季度、半年度、年度等周期生成报表。</w:t>
            </w:r>
          </w:p>
        </w:tc>
      </w:tr>
      <w:tr w14:paraId="688F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3DAE9229">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3AC111CC">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415A77D5">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5EEBD235">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智能预问诊</w:t>
            </w:r>
          </w:p>
        </w:tc>
        <w:tc>
          <w:tcPr>
            <w:tcW w:w="789" w:type="dxa"/>
            <w:vAlign w:val="center"/>
          </w:tcPr>
          <w:p w14:paraId="1F41549B">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5BEAE0F0">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患者就医前提前采集患者病症信息，并形成规范的电子病历报告，提高医生面诊的沟通效率</w:t>
            </w:r>
          </w:p>
        </w:tc>
      </w:tr>
      <w:tr w14:paraId="68F0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6307080C">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31E10F6F">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1F5F3308">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1EDA2BF3">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电子健康卡/电子就诊卡</w:t>
            </w:r>
          </w:p>
        </w:tc>
        <w:tc>
          <w:tcPr>
            <w:tcW w:w="789" w:type="dxa"/>
            <w:vAlign w:val="center"/>
          </w:tcPr>
          <w:p w14:paraId="58EDA7E6">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66AF3CC">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实现患者就诊卡生成电子居民健康卡/电子健康卡，健康档案管理上传。</w:t>
            </w:r>
          </w:p>
        </w:tc>
      </w:tr>
      <w:tr w14:paraId="04FC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2518832C">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0AEBD991">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16654E3A">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5628F895">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便民寄送</w:t>
            </w:r>
          </w:p>
        </w:tc>
        <w:tc>
          <w:tcPr>
            <w:tcW w:w="789" w:type="dxa"/>
            <w:vAlign w:val="center"/>
          </w:tcPr>
          <w:p w14:paraId="24185304">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32DE2912">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诊断证明预约寄送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体检报告单预约寄送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药品寄送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中药代煎寄送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病历复印寄送</w:t>
            </w:r>
          </w:p>
        </w:tc>
      </w:tr>
      <w:tr w14:paraId="2C8C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04D4688D">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43E220FE">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1FCDA13B">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0CC82735">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院内导航</w:t>
            </w:r>
          </w:p>
        </w:tc>
        <w:tc>
          <w:tcPr>
            <w:tcW w:w="789" w:type="dxa"/>
            <w:vAlign w:val="center"/>
          </w:tcPr>
          <w:p w14:paraId="04308D84">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699B579D">
            <w:pPr>
              <w:widowControl/>
              <w:snapToGrid w:val="0"/>
              <w:spacing w:line="440" w:lineRule="exact"/>
              <w:jc w:val="left"/>
              <w:rPr>
                <w:rFonts w:asciiTheme="majorEastAsia" w:hAnsiTheme="majorEastAsia" w:eastAsiaTheme="majorEastAsia"/>
                <w:color w:val="auto"/>
                <w:szCs w:val="21"/>
              </w:rPr>
            </w:pPr>
            <w:r>
              <w:rPr>
                <w:rFonts w:hint="eastAsia" w:cs="宋体" w:asciiTheme="majorEastAsia" w:hAnsiTheme="majorEastAsia" w:eastAsiaTheme="majorEastAsia"/>
                <w:color w:val="auto"/>
                <w:kern w:val="0"/>
                <w:szCs w:val="21"/>
              </w:rPr>
              <w:t>基于院内CAD图纸实现模拟导航</w:t>
            </w:r>
            <w:r>
              <w:rPr>
                <w:rFonts w:cs="宋体" w:asciiTheme="majorEastAsia" w:hAnsiTheme="majorEastAsia" w:eastAsiaTheme="majorEastAsia"/>
                <w:color w:val="auto"/>
                <w:kern w:val="0"/>
                <w:szCs w:val="21"/>
              </w:rPr>
              <w:t>。</w:t>
            </w:r>
          </w:p>
          <w:p w14:paraId="4FBDF9B8">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1. 系统应能够</w:t>
            </w:r>
            <w:r>
              <w:rPr>
                <w:rFonts w:hint="eastAsia" w:asciiTheme="majorEastAsia" w:hAnsiTheme="majorEastAsia" w:eastAsiaTheme="majorEastAsia"/>
                <w:color w:val="auto"/>
                <w:szCs w:val="21"/>
              </w:rPr>
              <w:t>通过手机端展示</w:t>
            </w:r>
            <w:r>
              <w:rPr>
                <w:rFonts w:asciiTheme="majorEastAsia" w:hAnsiTheme="majorEastAsia" w:eastAsiaTheme="majorEastAsia"/>
                <w:color w:val="auto"/>
                <w:szCs w:val="21"/>
              </w:rPr>
              <w:t>包括但不限于平面图、立面图、剖面图等。</w:t>
            </w:r>
          </w:p>
          <w:p w14:paraId="78B133BB">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2. 系统应能够</w:t>
            </w:r>
            <w:r>
              <w:rPr>
                <w:rFonts w:hint="eastAsia" w:asciiTheme="majorEastAsia" w:hAnsiTheme="majorEastAsia" w:eastAsiaTheme="majorEastAsia"/>
                <w:color w:val="auto"/>
                <w:szCs w:val="21"/>
              </w:rPr>
              <w:t>提供</w:t>
            </w:r>
            <w:r>
              <w:rPr>
                <w:rFonts w:asciiTheme="majorEastAsia" w:hAnsiTheme="majorEastAsia" w:eastAsiaTheme="majorEastAsia"/>
                <w:color w:val="auto"/>
                <w:szCs w:val="21"/>
              </w:rPr>
              <w:t>3D模型，以便进行模拟导航。</w:t>
            </w:r>
          </w:p>
          <w:p w14:paraId="3EE3D6DD">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3. 系统应能够提供多种导航模式，包括但不限于步行导航、车辆导航等。</w:t>
            </w:r>
          </w:p>
          <w:p w14:paraId="611435A3">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4. 系统应能够提供导航信息，包括但不限于当前位置、目的地位置、路线信息等。</w:t>
            </w:r>
          </w:p>
          <w:p w14:paraId="763CF985">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5. 系统应能够提供语音导航功能，以便用户在行走或驾驶过程中获取导航信息。</w:t>
            </w:r>
          </w:p>
          <w:p w14:paraId="4058777F">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6. 系统应能够提供搜索功能，用户可以通过输入地点名称或地址来搜索目的地。</w:t>
            </w:r>
          </w:p>
          <w:p w14:paraId="1A28E9C7">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7. 系统应能够提供历史记录功能，用户可以查看过去的导航记录。</w:t>
            </w:r>
          </w:p>
          <w:p w14:paraId="26252843">
            <w:pPr>
              <w:widowControl/>
              <w:snapToGrid w:val="0"/>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8. 系统应具有良好的用户界面，操作简单，易于使用。</w:t>
            </w:r>
          </w:p>
        </w:tc>
      </w:tr>
      <w:tr w14:paraId="09FA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7DE39F0F">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21EF6D85">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615A8495">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45629A36">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智慧停车</w:t>
            </w:r>
          </w:p>
        </w:tc>
        <w:tc>
          <w:tcPr>
            <w:tcW w:w="789" w:type="dxa"/>
            <w:vAlign w:val="center"/>
          </w:tcPr>
          <w:p w14:paraId="15AC7459">
            <w:pPr>
              <w:widowControl/>
              <w:snapToGrid w:val="0"/>
              <w:spacing w:line="440" w:lineRule="exact"/>
              <w:jc w:val="center"/>
              <w:rPr>
                <w:rFonts w:cs="宋体" w:asciiTheme="majorEastAsia" w:hAnsiTheme="majorEastAsia" w:eastAsiaTheme="majorEastAsia"/>
                <w:color w:val="auto"/>
                <w:kern w:val="0"/>
                <w:szCs w:val="21"/>
                <w:highlight w:val="none"/>
              </w:rPr>
            </w:pPr>
            <w:r>
              <w:rPr>
                <w:rFonts w:hint="eastAsia" w:cs="宋体" w:asciiTheme="majorEastAsia" w:hAnsiTheme="majorEastAsia" w:eastAsiaTheme="majorEastAsia"/>
                <w:color w:val="auto"/>
                <w:kern w:val="0"/>
                <w:szCs w:val="21"/>
                <w:highlight w:val="none"/>
              </w:rPr>
              <w:t>1套</w:t>
            </w:r>
          </w:p>
        </w:tc>
        <w:tc>
          <w:tcPr>
            <w:tcW w:w="5783" w:type="dxa"/>
            <w:vAlign w:val="center"/>
          </w:tcPr>
          <w:p w14:paraId="3C3600DA">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实现与院内停车系统对接，实现线上停车缴费业务；需院方协调厂家接口对接；</w:t>
            </w:r>
          </w:p>
        </w:tc>
      </w:tr>
      <w:tr w14:paraId="3EEA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01228552">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2C1A2846">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03B7E82E">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1271C595">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智慧订餐</w:t>
            </w:r>
          </w:p>
        </w:tc>
        <w:tc>
          <w:tcPr>
            <w:tcW w:w="789" w:type="dxa"/>
            <w:vAlign w:val="center"/>
          </w:tcPr>
          <w:p w14:paraId="3565AED4">
            <w:pPr>
              <w:widowControl/>
              <w:snapToGrid w:val="0"/>
              <w:spacing w:line="440" w:lineRule="exact"/>
              <w:jc w:val="center"/>
              <w:rPr>
                <w:rFonts w:cs="宋体" w:asciiTheme="majorEastAsia" w:hAnsiTheme="majorEastAsia" w:eastAsiaTheme="majorEastAsia"/>
                <w:color w:val="auto"/>
                <w:kern w:val="0"/>
                <w:szCs w:val="21"/>
                <w:highlight w:val="none"/>
              </w:rPr>
            </w:pPr>
            <w:r>
              <w:rPr>
                <w:rFonts w:hint="eastAsia" w:cs="宋体" w:asciiTheme="majorEastAsia" w:hAnsiTheme="majorEastAsia" w:eastAsiaTheme="majorEastAsia"/>
                <w:color w:val="auto"/>
                <w:kern w:val="0"/>
                <w:szCs w:val="21"/>
                <w:highlight w:val="none"/>
              </w:rPr>
              <w:t>1套</w:t>
            </w:r>
          </w:p>
        </w:tc>
        <w:tc>
          <w:tcPr>
            <w:tcW w:w="5783" w:type="dxa"/>
            <w:vAlign w:val="center"/>
          </w:tcPr>
          <w:p w14:paraId="3D84A266">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实现与院内订餐系统对接，实现线上移动订餐业务；需院方协调厂家接口对接；</w:t>
            </w:r>
          </w:p>
        </w:tc>
      </w:tr>
      <w:tr w14:paraId="4DD5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6CC81066">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0EC61EA4">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0A8BD2D4">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3DC1E577">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门诊全流程可视化</w:t>
            </w:r>
          </w:p>
        </w:tc>
        <w:tc>
          <w:tcPr>
            <w:tcW w:w="789" w:type="dxa"/>
            <w:vAlign w:val="center"/>
          </w:tcPr>
          <w:p w14:paraId="7EBB0D38">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2E47E4B3">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通过线上流程可视化，接通线上智慧医院各环节，实现患者从挂号到报告查询全流程各环节的记录及下一步指引。提供至少三个案例截图及项目合同扫描件加盖公章</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小程序首页可视化banner</w:t>
            </w:r>
          </w:p>
          <w:p w14:paraId="3572114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在智慧医院小程序首页点击banner入口进入就诊可视化</w:t>
            </w:r>
          </w:p>
          <w:p w14:paraId="7313DFD9">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功能模块</w:t>
            </w:r>
          </w:p>
          <w:p w14:paraId="27AA85B3">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预约挂号：从就诊可视化页面进行挂号操作</w:t>
            </w:r>
          </w:p>
          <w:p w14:paraId="1815B5BC">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患者候诊：患者挂号后，流程推进到</w:t>
            </w:r>
            <w:r>
              <w:rPr>
                <w:rFonts w:hint="eastAsia" w:cs="宋体" w:asciiTheme="majorEastAsia" w:hAnsiTheme="majorEastAsia" w:eastAsiaTheme="majorEastAsia"/>
                <w:color w:val="auto"/>
                <w:kern w:val="0"/>
                <w:szCs w:val="21"/>
                <w:lang w:val="zh-CN"/>
              </w:rPr>
              <w:t>“候诊</w:t>
            </w:r>
            <w:r>
              <w:rPr>
                <w:rFonts w:hint="eastAsia" w:cs="宋体" w:asciiTheme="majorEastAsia" w:hAnsiTheme="majorEastAsia" w:eastAsiaTheme="majorEastAsia"/>
                <w:color w:val="auto"/>
                <w:kern w:val="0"/>
                <w:szCs w:val="21"/>
              </w:rPr>
              <w:t xml:space="preserve">”环节，患者可查看候诊信息 </w:t>
            </w:r>
          </w:p>
          <w:p w14:paraId="1C686607">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患者缴费：医生看诊后给患者开具处方，此时进入“缴费”环节，患者可直接进行缴费操作</w:t>
            </w:r>
          </w:p>
          <w:p w14:paraId="02E591D8">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取药：</w:t>
            </w:r>
            <w:r>
              <w:rPr>
                <w:rFonts w:hint="eastAsia" w:cs="宋体" w:asciiTheme="majorEastAsia" w:hAnsiTheme="majorEastAsia" w:eastAsiaTheme="majorEastAsia"/>
                <w:color w:val="auto"/>
                <w:kern w:val="0"/>
                <w:szCs w:val="21"/>
                <w:lang w:val="zh-CN"/>
              </w:rPr>
              <w:t>“取药</w:t>
            </w:r>
            <w:r>
              <w:rPr>
                <w:rFonts w:hint="eastAsia" w:cs="宋体" w:asciiTheme="majorEastAsia" w:hAnsiTheme="majorEastAsia" w:eastAsiaTheme="majorEastAsia"/>
                <w:color w:val="auto"/>
                <w:kern w:val="0"/>
                <w:szCs w:val="21"/>
              </w:rPr>
              <w:t>”环节，患者可查看取药位置和取药窗口</w:t>
            </w:r>
          </w:p>
          <w:p w14:paraId="78095ABD">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检验：</w:t>
            </w:r>
            <w:r>
              <w:rPr>
                <w:rFonts w:hint="eastAsia" w:cs="宋体" w:asciiTheme="majorEastAsia" w:hAnsiTheme="majorEastAsia" w:eastAsiaTheme="majorEastAsia"/>
                <w:color w:val="auto"/>
                <w:kern w:val="0"/>
                <w:szCs w:val="21"/>
                <w:lang w:val="zh-CN"/>
              </w:rPr>
              <w:t>“检验</w:t>
            </w:r>
            <w:r>
              <w:rPr>
                <w:rFonts w:hint="eastAsia" w:cs="宋体" w:asciiTheme="majorEastAsia" w:hAnsiTheme="majorEastAsia" w:eastAsiaTheme="majorEastAsia"/>
                <w:color w:val="auto"/>
                <w:kern w:val="0"/>
                <w:szCs w:val="21"/>
              </w:rPr>
              <w:t xml:space="preserve">”环节，患者可查看待执行的检验项目和执行位置 </w:t>
            </w:r>
          </w:p>
          <w:p w14:paraId="01042ED7">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检查：</w:t>
            </w:r>
            <w:r>
              <w:rPr>
                <w:rFonts w:hint="eastAsia" w:cs="宋体" w:asciiTheme="majorEastAsia" w:hAnsiTheme="majorEastAsia" w:eastAsiaTheme="majorEastAsia"/>
                <w:color w:val="auto"/>
                <w:kern w:val="0"/>
                <w:szCs w:val="21"/>
                <w:lang w:val="zh-CN"/>
              </w:rPr>
              <w:t>“检查</w:t>
            </w:r>
            <w:r>
              <w:rPr>
                <w:rFonts w:hint="eastAsia" w:cs="宋体" w:asciiTheme="majorEastAsia" w:hAnsiTheme="majorEastAsia" w:eastAsiaTheme="majorEastAsia"/>
                <w:color w:val="auto"/>
                <w:kern w:val="0"/>
                <w:szCs w:val="21"/>
              </w:rPr>
              <w:t>”环节，患者可查看待执行的检查项目和执行位置</w:t>
            </w:r>
          </w:p>
          <w:p w14:paraId="769F38E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报告查看：</w:t>
            </w:r>
            <w:r>
              <w:rPr>
                <w:rFonts w:hint="eastAsia" w:cs="宋体" w:asciiTheme="majorEastAsia" w:hAnsiTheme="majorEastAsia" w:eastAsiaTheme="majorEastAsia"/>
                <w:color w:val="auto"/>
                <w:kern w:val="0"/>
                <w:szCs w:val="21"/>
                <w:lang w:val="zh-CN"/>
              </w:rPr>
              <w:t>“报告</w:t>
            </w:r>
            <w:r>
              <w:rPr>
                <w:rFonts w:hint="eastAsia" w:cs="宋体" w:asciiTheme="majorEastAsia" w:hAnsiTheme="majorEastAsia" w:eastAsiaTheme="majorEastAsia"/>
                <w:color w:val="auto"/>
                <w:kern w:val="0"/>
                <w:szCs w:val="21"/>
              </w:rPr>
              <w:t>”环节，患者可查看已经发布的报告详情，在报告详情 页面可引导患者复诊</w:t>
            </w:r>
          </w:p>
          <w:p w14:paraId="54C8B058">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就诊提醒：预约的患者，在就诊前一日晚上7点收到就诊提醒，以免患者忘记赴诊</w:t>
            </w:r>
          </w:p>
          <w:p w14:paraId="5A357C5E">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待支付缴费信息提醒：医生给患者开处方等诊疗项目后，通过院内系统触发微信主动提醒机制，提示患者有未支付缴费信息，患者点击后可快捷缴费</w:t>
            </w:r>
          </w:p>
          <w:p w14:paraId="092ADAD5">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检查检验报告发布提醒：患者执行完检查检验项目后，报告审核后正式发布时通过院内系统触发主动通知患者，可在微信上查看报告结果</w:t>
            </w:r>
            <w:r>
              <w:rPr>
                <w:rFonts w:cs="宋体" w:asciiTheme="majorEastAsia" w:hAnsiTheme="majorEastAsia" w:eastAsiaTheme="majorEastAsia"/>
                <w:color w:val="auto"/>
                <w:kern w:val="0"/>
                <w:szCs w:val="21"/>
              </w:rPr>
              <w:t>。</w:t>
            </w:r>
          </w:p>
        </w:tc>
      </w:tr>
      <w:tr w14:paraId="77A4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29BE6ABD">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1DD72F76">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30CBBF43">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406CD81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口腔科预约/智能导诊</w:t>
            </w:r>
          </w:p>
        </w:tc>
        <w:tc>
          <w:tcPr>
            <w:tcW w:w="789" w:type="dxa"/>
            <w:vAlign w:val="center"/>
          </w:tcPr>
          <w:p w14:paraId="592DE687">
            <w:pPr>
              <w:widowControl/>
              <w:snapToGrid w:val="0"/>
              <w:spacing w:line="440" w:lineRule="exact"/>
              <w:jc w:val="center"/>
              <w:rPr>
                <w:rFonts w:cs="宋体" w:asciiTheme="majorEastAsia" w:hAnsiTheme="majorEastAsia" w:eastAsiaTheme="majorEastAsia"/>
                <w:color w:val="auto"/>
                <w:kern w:val="0"/>
                <w:szCs w:val="21"/>
                <w:highlight w:val="yellow"/>
              </w:rPr>
            </w:pPr>
            <w:r>
              <w:rPr>
                <w:rFonts w:hint="eastAsia" w:cs="宋体" w:asciiTheme="majorEastAsia" w:hAnsiTheme="majorEastAsia" w:eastAsiaTheme="majorEastAsia"/>
                <w:color w:val="auto"/>
                <w:kern w:val="0"/>
                <w:szCs w:val="21"/>
              </w:rPr>
              <w:t>1套</w:t>
            </w:r>
          </w:p>
        </w:tc>
        <w:tc>
          <w:tcPr>
            <w:tcW w:w="5783" w:type="dxa"/>
            <w:vAlign w:val="center"/>
          </w:tcPr>
          <w:p w14:paraId="30099B95">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微信公众号新增口腔科预约挂号服务，与医院其他科室同平台建设</w:t>
            </w:r>
            <w:r>
              <w:rPr>
                <w:rFonts w:cs="宋体" w:asciiTheme="majorEastAsia" w:hAnsiTheme="majorEastAsia" w:eastAsiaTheme="majorEastAsia"/>
                <w:color w:val="auto"/>
                <w:kern w:val="0"/>
                <w:szCs w:val="21"/>
              </w:rPr>
              <w:t>；</w:t>
            </w:r>
          </w:p>
          <w:p w14:paraId="66A46384">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具体流程以口腔科实际需要为准</w:t>
            </w:r>
            <w:r>
              <w:rPr>
                <w:rFonts w:cs="宋体" w:asciiTheme="majorEastAsia" w:hAnsiTheme="majorEastAsia" w:eastAsiaTheme="majorEastAsia"/>
                <w:color w:val="auto"/>
                <w:kern w:val="0"/>
                <w:szCs w:val="21"/>
              </w:rPr>
              <w:t>。</w:t>
            </w:r>
          </w:p>
        </w:tc>
      </w:tr>
      <w:tr w14:paraId="42E6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4CA923B8">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2204BC26">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6A673F27">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1B6C205C">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检验检查自助预约</w:t>
            </w:r>
          </w:p>
        </w:tc>
        <w:tc>
          <w:tcPr>
            <w:tcW w:w="789" w:type="dxa"/>
            <w:vAlign w:val="center"/>
          </w:tcPr>
          <w:p w14:paraId="6D81A159">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320BE289">
            <w:pPr>
              <w:widowControl/>
              <w:snapToGrid w:val="0"/>
              <w:spacing w:line="440" w:lineRule="exact"/>
              <w:jc w:val="left"/>
              <w:rPr>
                <w:rFonts w:cs="宋体" w:asciiTheme="majorEastAsia" w:hAnsiTheme="majorEastAsia" w:eastAsiaTheme="majorEastAsia"/>
                <w:strike/>
                <w:color w:val="auto"/>
                <w:kern w:val="0"/>
                <w:szCs w:val="21"/>
                <w:u w:val="single"/>
              </w:rPr>
            </w:pPr>
            <w:r>
              <w:rPr>
                <w:rFonts w:hint="eastAsia" w:cs="宋体" w:asciiTheme="majorEastAsia" w:hAnsiTheme="majorEastAsia" w:eastAsiaTheme="majorEastAsia"/>
                <w:color w:val="auto"/>
                <w:kern w:val="0"/>
                <w:szCs w:val="21"/>
              </w:rPr>
              <w:t>线上简易门诊，用户需要先阅读服务须知后申请检查、检验自助预约服务。患者可根据需要选择项目提交预约并缴费</w:t>
            </w:r>
          </w:p>
        </w:tc>
      </w:tr>
      <w:tr w14:paraId="6360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6A0E473B">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18F10CD7">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142730C0">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5E2D9B87">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微信矩阵</w:t>
            </w:r>
          </w:p>
        </w:tc>
        <w:tc>
          <w:tcPr>
            <w:tcW w:w="789" w:type="dxa"/>
            <w:vAlign w:val="center"/>
          </w:tcPr>
          <w:p w14:paraId="6F5ECC00">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1BD246D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医院微信服务号、各科室订阅号集成展示，统一入口，实现各订阅号跳转进入。</w:t>
            </w:r>
          </w:p>
        </w:tc>
      </w:tr>
      <w:tr w14:paraId="342D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2577E4B9">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09F2587D">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5C6F65AF">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62F4D8B2">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第三方平台门诊服务接入</w:t>
            </w:r>
          </w:p>
        </w:tc>
        <w:tc>
          <w:tcPr>
            <w:tcW w:w="789" w:type="dxa"/>
            <w:vAlign w:val="center"/>
          </w:tcPr>
          <w:p w14:paraId="168F9264">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4126A86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腾讯健康平台接入</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支付宝医疗健康平台接入</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智桂通平台健康版块接入</w:t>
            </w:r>
          </w:p>
        </w:tc>
      </w:tr>
      <w:tr w14:paraId="5CE6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339ED28E">
            <w:pPr>
              <w:widowControl/>
              <w:spacing w:line="440" w:lineRule="exact"/>
              <w:jc w:val="center"/>
              <w:rPr>
                <w:rFonts w:cs="宋体" w:asciiTheme="majorEastAsia" w:hAnsiTheme="majorEastAsia" w:eastAsiaTheme="majorEastAsia"/>
                <w:color w:val="auto"/>
                <w:kern w:val="0"/>
                <w:szCs w:val="21"/>
              </w:rPr>
            </w:pPr>
          </w:p>
        </w:tc>
        <w:tc>
          <w:tcPr>
            <w:tcW w:w="426" w:type="dxa"/>
            <w:vMerge w:val="restart"/>
            <w:vAlign w:val="center"/>
          </w:tcPr>
          <w:p w14:paraId="56B26105">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4</w:t>
            </w:r>
          </w:p>
        </w:tc>
        <w:tc>
          <w:tcPr>
            <w:tcW w:w="1003" w:type="dxa"/>
            <w:vMerge w:val="restart"/>
            <w:vAlign w:val="center"/>
          </w:tcPr>
          <w:p w14:paraId="0602046E">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智慧住院</w:t>
            </w:r>
          </w:p>
        </w:tc>
        <w:tc>
          <w:tcPr>
            <w:tcW w:w="713" w:type="dxa"/>
            <w:vAlign w:val="center"/>
          </w:tcPr>
          <w:p w14:paraId="32D96AE6">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住院线上全流程可视化</w:t>
            </w:r>
          </w:p>
        </w:tc>
        <w:tc>
          <w:tcPr>
            <w:tcW w:w="789" w:type="dxa"/>
            <w:vAlign w:val="center"/>
          </w:tcPr>
          <w:p w14:paraId="1512723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57279B5">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通过住院各系统打通，实现住院各环节记录及指引、患者小结。实现住院患者全流程记录及下一步指引。具体以医院的需求为准</w:t>
            </w:r>
            <w:r>
              <w:rPr>
                <w:rFonts w:cs="宋体" w:asciiTheme="majorEastAsia" w:hAnsiTheme="majorEastAsia" w:eastAsiaTheme="majorEastAsia"/>
                <w:color w:val="auto"/>
                <w:kern w:val="0"/>
                <w:szCs w:val="21"/>
              </w:rPr>
              <w:t>。</w:t>
            </w:r>
          </w:p>
        </w:tc>
      </w:tr>
      <w:tr w14:paraId="2F37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4E2CF406">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681DD4A4">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530CBA14">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322F956D">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出入院全流程</w:t>
            </w:r>
          </w:p>
        </w:tc>
        <w:tc>
          <w:tcPr>
            <w:tcW w:w="789" w:type="dxa"/>
            <w:vAlign w:val="center"/>
          </w:tcPr>
          <w:p w14:paraId="26C58E76">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7F3675CA">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实现以下功能</w:t>
            </w:r>
            <w:r>
              <w:rPr>
                <w:rFonts w:cs="宋体" w:asciiTheme="majorEastAsia" w:hAnsiTheme="majorEastAsia" w:eastAsiaTheme="majorEastAsia"/>
                <w:color w:val="auto"/>
                <w:kern w:val="0"/>
                <w:szCs w:val="21"/>
              </w:rPr>
              <w:t>：</w:t>
            </w:r>
          </w:p>
          <w:p w14:paraId="04A4F70A">
            <w:pPr>
              <w:widowControl/>
              <w:snapToGrid w:val="0"/>
              <w:spacing w:line="440" w:lineRule="exact"/>
              <w:jc w:val="lef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入院登记</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具体按照医院需求实现</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2、住院押金预缴</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给患者发送押金欠费补缴提醒；</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（2）</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在线补缴住院押金；</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（3）</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在线查询押金补缴记录。</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3、</w:t>
            </w:r>
            <w:r>
              <w:rPr>
                <w:rFonts w:hint="eastAsia" w:cs="宋体" w:asciiTheme="majorEastAsia" w:hAnsiTheme="majorEastAsia" w:eastAsiaTheme="majorEastAsia"/>
                <w:color w:val="auto"/>
                <w:kern w:val="0"/>
                <w:szCs w:val="21"/>
              </w:rPr>
              <w:t>出院结算</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具体按照医院需求实现</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4、住院报告查询</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（1）按医院要求提供住院报告查询；</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（2）提供报告结果生成通知；</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（3）</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住院报告记录及详情查看；</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（4）</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检验异常结果指标项目标识；</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5、住院日清单查询</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（1）提供住院日清单生成通知；</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（2）</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给患者提供住院日清单记录及详情查看。</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6</w:t>
            </w:r>
            <w:r>
              <w:rPr>
                <w:rFonts w:hint="eastAsia" w:cs="宋体" w:asciiTheme="majorEastAsia" w:hAnsiTheme="majorEastAsia" w:eastAsiaTheme="majorEastAsia"/>
                <w:color w:val="auto"/>
                <w:kern w:val="0"/>
                <w:szCs w:val="21"/>
              </w:rPr>
              <w:t>、病案预约邮寄</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（1）要求与院内HIS系统对接，提供院内住院患者信息获取；</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（2）实现在线提交住院病历复印申请，在线选择住院病人；</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（3）实现邮寄和自取两种领取方式；</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（4）系统必须考虑信息安全，须实现多重患者身份验证；</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（5）实现在线收取复印费及邮寄费用；</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（6）要求能够提供多种复印用途及病历内容类型，可实现数据统计；</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（8）管理后台要求提供申请审批功能，可以审批通过或拒绝申请；</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（9）管理后台实现查看预约记录、缴费记录、作废记录、打印邮寄单、在线下单邮寄；</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（10）管理后台实现权限划分、复印内容、项目维护。</w:t>
            </w:r>
          </w:p>
        </w:tc>
      </w:tr>
      <w:tr w14:paraId="0E36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34BB3E14">
            <w:pPr>
              <w:widowControl/>
              <w:spacing w:line="440" w:lineRule="exact"/>
              <w:jc w:val="center"/>
              <w:rPr>
                <w:rFonts w:cs="宋体" w:asciiTheme="majorEastAsia" w:hAnsiTheme="majorEastAsia" w:eastAsiaTheme="majorEastAsia"/>
                <w:color w:val="auto"/>
                <w:kern w:val="0"/>
                <w:szCs w:val="21"/>
              </w:rPr>
            </w:pPr>
          </w:p>
        </w:tc>
        <w:tc>
          <w:tcPr>
            <w:tcW w:w="426" w:type="dxa"/>
            <w:vAlign w:val="center"/>
          </w:tcPr>
          <w:p w14:paraId="3DB771F5">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5</w:t>
            </w:r>
          </w:p>
        </w:tc>
        <w:tc>
          <w:tcPr>
            <w:tcW w:w="1003" w:type="dxa"/>
            <w:vAlign w:val="center"/>
          </w:tcPr>
          <w:p w14:paraId="72FDC960">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手术全流程</w:t>
            </w:r>
          </w:p>
        </w:tc>
        <w:tc>
          <w:tcPr>
            <w:tcW w:w="713" w:type="dxa"/>
            <w:vAlign w:val="center"/>
          </w:tcPr>
          <w:p w14:paraId="4EB0869F">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手术全流程</w:t>
            </w:r>
          </w:p>
        </w:tc>
        <w:tc>
          <w:tcPr>
            <w:tcW w:w="789" w:type="dxa"/>
            <w:vAlign w:val="center"/>
          </w:tcPr>
          <w:p w14:paraId="6AC633D1">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E6D560B">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实现日间手术、门诊手术、住院手术三种手术类型，实现与院内系统对接，预约手术时间并缴费；手术中推送手术进度；术后查询费用清单</w:t>
            </w:r>
          </w:p>
        </w:tc>
      </w:tr>
      <w:tr w14:paraId="5E31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8" w:type="dxa"/>
            <w:vMerge w:val="continue"/>
          </w:tcPr>
          <w:p w14:paraId="4A47D445">
            <w:pPr>
              <w:widowControl/>
              <w:spacing w:line="440" w:lineRule="exact"/>
              <w:jc w:val="center"/>
              <w:rPr>
                <w:rFonts w:cs="宋体" w:asciiTheme="majorEastAsia" w:hAnsiTheme="majorEastAsia" w:eastAsiaTheme="majorEastAsia"/>
                <w:color w:val="auto"/>
                <w:kern w:val="0"/>
                <w:szCs w:val="21"/>
              </w:rPr>
            </w:pPr>
          </w:p>
        </w:tc>
        <w:tc>
          <w:tcPr>
            <w:tcW w:w="426" w:type="dxa"/>
            <w:vMerge w:val="restart"/>
            <w:vAlign w:val="center"/>
          </w:tcPr>
          <w:p w14:paraId="3D05F974">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6</w:t>
            </w:r>
          </w:p>
        </w:tc>
        <w:tc>
          <w:tcPr>
            <w:tcW w:w="1003" w:type="dxa"/>
            <w:vMerge w:val="restart"/>
            <w:vAlign w:val="center"/>
          </w:tcPr>
          <w:p w14:paraId="55519B72">
            <w:pPr>
              <w:widowControl/>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互联网在线服务</w:t>
            </w:r>
          </w:p>
        </w:tc>
        <w:tc>
          <w:tcPr>
            <w:tcW w:w="713" w:type="dxa"/>
            <w:vAlign w:val="center"/>
          </w:tcPr>
          <w:p w14:paraId="68BAB207">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互联网在线咨询服务</w:t>
            </w:r>
          </w:p>
        </w:tc>
        <w:tc>
          <w:tcPr>
            <w:tcW w:w="789" w:type="dxa"/>
            <w:vAlign w:val="center"/>
          </w:tcPr>
          <w:p w14:paraId="19CB316B">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612B8E7">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在线咨询一对一服务，包含医生简介、医生端后台登入，订单后台统计。</w:t>
            </w:r>
          </w:p>
        </w:tc>
      </w:tr>
      <w:tr w14:paraId="1BD6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1B6BF3A0">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79018BCF">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7917D264">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78485AFC">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互联网在线复诊</w:t>
            </w:r>
          </w:p>
        </w:tc>
        <w:tc>
          <w:tcPr>
            <w:tcW w:w="789" w:type="dxa"/>
            <w:vAlign w:val="center"/>
          </w:tcPr>
          <w:p w14:paraId="292496B8">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322F7EA7">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平台部署在院内</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利用前置机对外提供服务</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互联网医院应当通过人脸识别等人体特征识别技术确保医生本人接诊；平台上，在患者通过人脸识别进行身份认证后，医生可调取患者过去3个月的电子病历，在线开具处方。</w:t>
            </w:r>
          </w:p>
          <w:p w14:paraId="0148568E">
            <w:pPr>
              <w:widowControl/>
              <w:snapToGrid w:val="0"/>
              <w:spacing w:line="440" w:lineRule="exact"/>
              <w:jc w:val="lef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在身份认证环节专门设置了人脸识别技术，确保接受服务的人员与医保结算的参保人员一致，落实线上实名制就医结算要求，协助严控医疗行为和费用监管。</w:t>
            </w:r>
          </w:p>
          <w:p w14:paraId="17257B3D">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在线图文/视频在线复诊，对接HIS系统查看患者电子处方和过往病历。</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在线图文/视频在线复诊，对接HIS系统查看患者电子处方和过往病历。</w:t>
            </w:r>
          </w:p>
          <w:p w14:paraId="1BF832F4">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图文问诊：</w:t>
            </w:r>
          </w:p>
          <w:p w14:paraId="752954AD">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患者在线选取问诊专家，提交个人信息、主诉、电子病历等就诊信息，支付问诊费用后进行问诊；可发送文字、图片、语音 消息，医生接诊过程中可以给患者开立中/西药处方、检查/检 验项目。若判断患者的病情不是自己擅长，可退款结束问诊服务</w:t>
            </w:r>
            <w:r>
              <w:rPr>
                <w:rFonts w:cs="宋体" w:asciiTheme="majorEastAsia" w:hAnsiTheme="majorEastAsia" w:eastAsiaTheme="majorEastAsia"/>
                <w:color w:val="auto"/>
                <w:kern w:val="0"/>
                <w:szCs w:val="21"/>
              </w:rPr>
              <w:t>。</w:t>
            </w:r>
          </w:p>
          <w:p w14:paraId="1345CC89">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视频问诊：</w:t>
            </w:r>
          </w:p>
          <w:p w14:paraId="70FAEE49">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在线选取问诊专家，提交个人信息、主诉、电子病历等就诊信息，支付问诊费用后进行视频会话问诊；比图文问诊更为直接、高效，医生在接诊过程中可以给患者开立中/西药处方、检查/检验项目。若判断患者的病情不是自己擅长，可退款结束问诊服务。</w:t>
            </w:r>
          </w:p>
          <w:p w14:paraId="704C3989">
            <w:pPr>
              <w:spacing w:line="440" w:lineRule="exact"/>
              <w:rPr>
                <w:rFonts w:asciiTheme="majorEastAsia" w:hAnsiTheme="majorEastAsia" w:eastAsiaTheme="majorEastAsia"/>
                <w:color w:val="auto"/>
                <w:kern w:val="0"/>
                <w:szCs w:val="21"/>
              </w:rPr>
            </w:pPr>
            <w:r>
              <w:rPr>
                <w:rFonts w:hint="eastAsia" w:asciiTheme="majorEastAsia" w:hAnsiTheme="majorEastAsia" w:eastAsiaTheme="majorEastAsia"/>
                <w:color w:val="auto"/>
                <w:kern w:val="0"/>
                <w:szCs w:val="21"/>
              </w:rPr>
              <w:t>慢病续方：</w:t>
            </w:r>
          </w:p>
          <w:p w14:paraId="600F7FE6">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患者在线选取问诊专家，提交个人信息、主诉、电子病历、续方选择等就诊信息，支付问诊费用后进行问诊；可发送文字、图片、语音 消息，医生接诊过程中可以快捷将患者续方信息自动生成处方，医生为患者调整处方用药，增加检查/检验项目。若判断患者的病情不是自己擅长，可退款结束问诊服务</w:t>
            </w:r>
            <w:r>
              <w:rPr>
                <w:rFonts w:cs="宋体" w:asciiTheme="majorEastAsia" w:hAnsiTheme="majorEastAsia" w:eastAsiaTheme="majorEastAsia"/>
                <w:color w:val="auto"/>
                <w:kern w:val="0"/>
                <w:szCs w:val="21"/>
              </w:rPr>
              <w:t>。</w:t>
            </w:r>
          </w:p>
          <w:p w14:paraId="4D93BE4E">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快捷回复：</w:t>
            </w:r>
          </w:p>
          <w:p w14:paraId="342670C6">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实现医生发送和编辑快捷回复模板，提高接诊效率</w:t>
            </w:r>
          </w:p>
          <w:p w14:paraId="2205F7C8">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问诊支付：</w:t>
            </w:r>
          </w:p>
          <w:p w14:paraId="258AD974">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患者在问诊的时候，若医生开立了处方、检查检验等项目，可以在线支付费用</w:t>
            </w:r>
            <w:r>
              <w:rPr>
                <w:rFonts w:cs="宋体" w:asciiTheme="majorEastAsia" w:hAnsiTheme="majorEastAsia" w:eastAsiaTheme="majorEastAsia"/>
                <w:color w:val="auto"/>
                <w:kern w:val="0"/>
                <w:szCs w:val="21"/>
              </w:rPr>
              <w:t>。</w:t>
            </w:r>
          </w:p>
          <w:p w14:paraId="7C2B2E6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支付退费：</w:t>
            </w:r>
          </w:p>
          <w:p w14:paraId="33DDC76C">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医生端认为问诊不合适，回退退款，后台客服处理退费</w:t>
            </w:r>
          </w:p>
          <w:p w14:paraId="6C4B97A3">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服务评价：</w:t>
            </w:r>
          </w:p>
          <w:p w14:paraId="2994E48F">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问诊完成后，患者可对医生的服务进行评价和打分，医生端和管理后台均可看到患者的评价情况，并会展示给其他患者。 </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问诊记录：</w:t>
            </w:r>
          </w:p>
          <w:p w14:paraId="654C1409">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记录每一次问诊，保证所有行为都受监管</w:t>
            </w:r>
            <w:r>
              <w:rPr>
                <w:rFonts w:cs="宋体" w:asciiTheme="majorEastAsia" w:hAnsiTheme="majorEastAsia" w:eastAsiaTheme="majorEastAsia"/>
                <w:color w:val="auto"/>
                <w:kern w:val="0"/>
                <w:szCs w:val="21"/>
              </w:rPr>
              <w:t>。</w:t>
            </w:r>
          </w:p>
        </w:tc>
      </w:tr>
      <w:tr w14:paraId="7674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4A3A2D48">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5A955C1C">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3A696B74">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6EACA79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线上医嘱</w:t>
            </w:r>
          </w:p>
        </w:tc>
        <w:tc>
          <w:tcPr>
            <w:tcW w:w="789" w:type="dxa"/>
            <w:vAlign w:val="center"/>
          </w:tcPr>
          <w:p w14:paraId="62DF19AF">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503D31D">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线上病历、线上诊断、线上药品处方、检查申请、检验申请</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①开医嘱：</w:t>
            </w:r>
          </w:p>
          <w:p w14:paraId="3E038CD2">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写门诊诊断/诊断意见，如果要开检查，开处方则必须开门诊诊断</w:t>
            </w:r>
            <w:r>
              <w:rPr>
                <w:rFonts w:cs="宋体" w:asciiTheme="majorEastAsia" w:hAnsiTheme="majorEastAsia" w:eastAsiaTheme="majorEastAsia"/>
                <w:color w:val="auto"/>
                <w:kern w:val="0"/>
                <w:szCs w:val="21"/>
              </w:rPr>
              <w:t>；</w:t>
            </w:r>
          </w:p>
          <w:p w14:paraId="204810FC">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②开药品处方：</w:t>
            </w:r>
          </w:p>
          <w:p w14:paraId="661C4318">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实现在线开中药/西药/中成药处方</w:t>
            </w:r>
          </w:p>
          <w:p w14:paraId="2E850B12">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③开检查申请单</w:t>
            </w:r>
          </w:p>
          <w:p w14:paraId="79850DF6">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开检查申请单</w:t>
            </w:r>
          </w:p>
          <w:p w14:paraId="0EB4A176">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④开检验申请单</w:t>
            </w:r>
          </w:p>
          <w:p w14:paraId="75FAC9A1">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 xml:space="preserve">开检验申请单 </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⑤线上病历：</w:t>
            </w:r>
          </w:p>
          <w:p w14:paraId="41303A60">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线上电子病历查询</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医生手动修改和补充电子病历内容；</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要求对接院内疾病诊断库（ICD），</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疾病名称检索，</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医生录入自定义诊断；</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医生对已书写病历的暂存和提交，实现通过移动CA证书对电子病历进行签名和撤销签名提交；</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电子病历须</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留痕功能，</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医生在线查看病历修改历史记录。</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⑥</w:t>
            </w:r>
            <w:r>
              <w:rPr>
                <w:rFonts w:cs="宋体" w:asciiTheme="majorEastAsia" w:hAnsiTheme="majorEastAsia" w:eastAsiaTheme="majorEastAsia"/>
                <w:color w:val="auto"/>
                <w:kern w:val="0"/>
                <w:szCs w:val="21"/>
              </w:rPr>
              <w:t>开具医嘱：</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医生在线开具药品医嘱。</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医生线上开具处方，可与处方流转平台进行对接；</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医生开具不同类型的处方，如慢病处方，普通处方，能够根据患者年龄自动识别普通处方类型为成人处方和儿童处方；</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 xml:space="preserve"> 线上开具药嘱时，可根据医院要求</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 xml:space="preserve">与院内合理用药系统对接，实现医生合理用药提醒； </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对已开具未签名的处方药品进行编辑、修改和删除。</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 xml:space="preserve"> 要求线上的药品字典须与院内药品字典同步，保存线上开方药品数据一致；</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开具处方时，可根据药品名称自动匹配药品字典；</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根据药品自动加载药品常用频率和用法用量等信息；须能根据用量、频率和疗程自动计算给量；</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医生可手动维护常用的药嘱模板；</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从药嘱模板快速开方；</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 xml:space="preserve"> 要求与院内移动CA对接，在医生签名或撤销签名时必须提供CA认证。</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医生将已审核通过的医嘱发给患者，同步为患者发送消息通知。</w:t>
            </w:r>
            <w:r>
              <w:rPr>
                <w:rFonts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⑦</w:t>
            </w:r>
            <w:r>
              <w:rPr>
                <w:rFonts w:cs="宋体" w:asciiTheme="majorEastAsia" w:hAnsiTheme="majorEastAsia" w:eastAsiaTheme="majorEastAsia"/>
                <w:color w:val="auto"/>
                <w:kern w:val="0"/>
                <w:szCs w:val="21"/>
              </w:rPr>
              <w:t>处方驳回重开：</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医生在线查看被驳回处方记录，可查看处方详情及驳回理由；</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（2）</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医生对驳回处方发起处理，可</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医生驳回重开；</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（3）</w:t>
            </w:r>
            <w:r>
              <w:rPr>
                <w:rFonts w:hint="eastAsia" w:cs="宋体" w:asciiTheme="majorEastAsia" w:hAnsiTheme="majorEastAsia" w:eastAsiaTheme="majorEastAsia"/>
                <w:color w:val="auto"/>
                <w:kern w:val="0"/>
                <w:szCs w:val="21"/>
              </w:rPr>
              <w:t>实现</w:t>
            </w:r>
            <w:r>
              <w:rPr>
                <w:rFonts w:cs="宋体" w:asciiTheme="majorEastAsia" w:hAnsiTheme="majorEastAsia" w:eastAsiaTheme="majorEastAsia"/>
                <w:color w:val="auto"/>
                <w:kern w:val="0"/>
                <w:szCs w:val="21"/>
              </w:rPr>
              <w:t>对驳回处方处理时需要对接移动CA认证。</w:t>
            </w:r>
          </w:p>
        </w:tc>
      </w:tr>
      <w:tr w14:paraId="6CA4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616639D9">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4C1B659E">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013D55FD">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55A93D02">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区卫生健康委互联网医院监管平台对接</w:t>
            </w:r>
          </w:p>
        </w:tc>
        <w:tc>
          <w:tcPr>
            <w:tcW w:w="789" w:type="dxa"/>
            <w:vAlign w:val="center"/>
          </w:tcPr>
          <w:p w14:paraId="548A405C">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46D59853">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区域互联网医院监管平台对接，互联网医院相关制度梳理，资质上传审核，协助医院通过广西壮族自治区卫健委评审并获取互联网医院牌照。</w:t>
            </w:r>
          </w:p>
        </w:tc>
      </w:tr>
      <w:tr w14:paraId="55A1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1B7EE466">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3FAD310C">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5ED54FFD">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15238F8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网络安全等级保护测评服务</w:t>
            </w:r>
          </w:p>
        </w:tc>
        <w:tc>
          <w:tcPr>
            <w:tcW w:w="789" w:type="dxa"/>
            <w:vAlign w:val="center"/>
          </w:tcPr>
          <w:p w14:paraId="3DD1C4BC">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1项</w:t>
            </w:r>
          </w:p>
        </w:tc>
        <w:tc>
          <w:tcPr>
            <w:tcW w:w="5783" w:type="dxa"/>
            <w:vAlign w:val="center"/>
          </w:tcPr>
          <w:p w14:paraId="64E5AEAF">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针对互联网医院平台提供符合广西壮族自治区卫健委及公安备案的互联网及网络安全等级保护测评三级服务</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通过等保</w:t>
            </w:r>
            <w:r>
              <w:rPr>
                <w:rFonts w:cs="宋体" w:asciiTheme="majorEastAsia" w:hAnsiTheme="majorEastAsia" w:eastAsiaTheme="majorEastAsia"/>
                <w:color w:val="auto"/>
                <w:kern w:val="0"/>
                <w:szCs w:val="21"/>
              </w:rPr>
              <w:t>2</w:t>
            </w:r>
            <w:r>
              <w:rPr>
                <w:rFonts w:hint="eastAsia"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t>0</w:t>
            </w:r>
            <w:r>
              <w:rPr>
                <w:rFonts w:hint="eastAsia" w:cs="宋体" w:asciiTheme="majorEastAsia" w:hAnsiTheme="majorEastAsia" w:eastAsiaTheme="majorEastAsia"/>
                <w:color w:val="auto"/>
                <w:kern w:val="0"/>
                <w:szCs w:val="21"/>
              </w:rPr>
              <w:t>测评并</w:t>
            </w:r>
            <w:r>
              <w:rPr>
                <w:rFonts w:cs="宋体" w:asciiTheme="majorEastAsia" w:hAnsiTheme="majorEastAsia" w:eastAsiaTheme="majorEastAsia"/>
                <w:color w:val="auto"/>
                <w:kern w:val="0"/>
                <w:szCs w:val="21"/>
              </w:rPr>
              <w:t>提供“互联网医院”平台系统的测评报告。</w:t>
            </w:r>
            <w:r>
              <w:rPr>
                <w:rFonts w:hint="eastAsia" w:asciiTheme="majorEastAsia" w:hAnsiTheme="majorEastAsia" w:eastAsiaTheme="majorEastAsia"/>
                <w:color w:val="auto"/>
                <w:szCs w:val="21"/>
              </w:rPr>
              <w:t>测评服务费用包含在本次报价中，招标人以及医院不再另外付费。</w:t>
            </w:r>
          </w:p>
        </w:tc>
      </w:tr>
      <w:tr w14:paraId="7B93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04D9B6C9">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5386B7CF">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34162D86">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5EBBC049">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数字CA认证系统</w:t>
            </w:r>
          </w:p>
        </w:tc>
        <w:tc>
          <w:tcPr>
            <w:tcW w:w="789" w:type="dxa"/>
            <w:vAlign w:val="center"/>
          </w:tcPr>
          <w:p w14:paraId="03135F2C">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27B17702">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医生通过互联网医院开具电子处方、检查检验后进使用电子签名进行认证</w:t>
            </w:r>
            <w:r>
              <w:rPr>
                <w:rFonts w:cs="宋体" w:asciiTheme="majorEastAsia" w:hAnsiTheme="majorEastAsia" w:eastAsiaTheme="majorEastAsia"/>
                <w:color w:val="auto"/>
                <w:kern w:val="0"/>
                <w:szCs w:val="21"/>
              </w:rPr>
              <w:t>。</w:t>
            </w:r>
          </w:p>
        </w:tc>
      </w:tr>
      <w:tr w14:paraId="32E6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1AAC616C">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4193F7FD">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24BC2F63">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72AB3B39">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处方共享平台</w:t>
            </w:r>
          </w:p>
        </w:tc>
        <w:tc>
          <w:tcPr>
            <w:tcW w:w="789" w:type="dxa"/>
            <w:vAlign w:val="center"/>
          </w:tcPr>
          <w:p w14:paraId="266705E5">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D534B81">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服务商注册与审核、药品库录入与管理、药房选择、支付接入、处方管理、ERP接入</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药品配送（可同时对接院内药房）；</w:t>
            </w:r>
          </w:p>
          <w:p w14:paraId="447CE932">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与第三方物流公司合作给患者配送药品到家；</w:t>
            </w:r>
          </w:p>
        </w:tc>
      </w:tr>
      <w:tr w14:paraId="6DD9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72975372">
            <w:pPr>
              <w:spacing w:line="440" w:lineRule="exact"/>
              <w:jc w:val="center"/>
              <w:rPr>
                <w:rFonts w:asciiTheme="majorEastAsia" w:hAnsiTheme="majorEastAsia" w:eastAsiaTheme="majorEastAsia"/>
                <w:color w:val="auto"/>
                <w:kern w:val="0"/>
                <w:szCs w:val="21"/>
              </w:rPr>
            </w:pPr>
          </w:p>
        </w:tc>
        <w:tc>
          <w:tcPr>
            <w:tcW w:w="426" w:type="dxa"/>
            <w:vMerge w:val="continue"/>
            <w:vAlign w:val="center"/>
          </w:tcPr>
          <w:p w14:paraId="7F2D7F57">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1FB62D7E">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7514F3FE">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用药咨询</w:t>
            </w:r>
          </w:p>
        </w:tc>
        <w:tc>
          <w:tcPr>
            <w:tcW w:w="789" w:type="dxa"/>
            <w:vAlign w:val="center"/>
          </w:tcPr>
          <w:p w14:paraId="34591B42">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1EF7898D">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提供微信端用药咨询，患者在线选择药师进行咨询服务</w:t>
            </w:r>
            <w:r>
              <w:rPr>
                <w:rFonts w:cs="宋体" w:asciiTheme="majorEastAsia" w:hAnsiTheme="majorEastAsia" w:eastAsiaTheme="majorEastAsia"/>
                <w:color w:val="auto"/>
                <w:kern w:val="0"/>
                <w:szCs w:val="21"/>
              </w:rPr>
              <w:t>。</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药师管理</w:t>
            </w:r>
            <w:r>
              <w:rPr>
                <w:rFonts w:cs="宋体" w:asciiTheme="majorEastAsia" w:hAnsiTheme="majorEastAsia" w:eastAsiaTheme="majorEastAsia"/>
                <w:color w:val="auto"/>
                <w:kern w:val="0"/>
                <w:szCs w:val="21"/>
              </w:rPr>
              <w:br w:type="textWrapping"/>
            </w:r>
            <w:r>
              <w:rPr>
                <w:rFonts w:cs="宋体" w:asciiTheme="majorEastAsia" w:hAnsiTheme="majorEastAsia" w:eastAsiaTheme="majorEastAsia"/>
                <w:color w:val="auto"/>
                <w:kern w:val="0"/>
                <w:szCs w:val="21"/>
              </w:rPr>
              <w:t>1、</w:t>
            </w:r>
            <w:r>
              <w:rPr>
                <w:rFonts w:cs="宋体" w:asciiTheme="majorEastAsia" w:hAnsiTheme="majorEastAsia" w:eastAsiaTheme="majorEastAsia"/>
                <w:color w:val="auto"/>
                <w:kern w:val="0"/>
                <w:szCs w:val="21"/>
              </w:rPr>
              <w:tab/>
            </w:r>
            <w:r>
              <w:rPr>
                <w:rFonts w:cs="宋体" w:asciiTheme="majorEastAsia" w:hAnsiTheme="majorEastAsia" w:eastAsiaTheme="majorEastAsia"/>
                <w:color w:val="auto"/>
                <w:kern w:val="0"/>
                <w:szCs w:val="21"/>
              </w:rPr>
              <w:t>管理员录入药师信息；或者管理员分配账号后，由药师自行录入信息，再提交管理员审核；</w:t>
            </w:r>
          </w:p>
          <w:p w14:paraId="76214B9D">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2、管理员后台查询药师信息总表及药师详细信息。</w:t>
            </w:r>
          </w:p>
          <w:p w14:paraId="4511EACA">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排班</w:t>
            </w:r>
            <w:r>
              <w:rPr>
                <w:rFonts w:cs="宋体" w:asciiTheme="majorEastAsia" w:hAnsiTheme="majorEastAsia" w:eastAsiaTheme="majorEastAsia"/>
                <w:color w:val="auto"/>
                <w:kern w:val="0"/>
                <w:szCs w:val="21"/>
              </w:rPr>
              <w:tab/>
            </w:r>
          </w:p>
          <w:p w14:paraId="0D869533">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自主排班（接诊时间/ 人数）：药师自主排班，患者根据药师在线时间向药师下单图文咨询或预约视频咨询。</w:t>
            </w:r>
          </w:p>
          <w:p w14:paraId="5D1CE174">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药师介绍</w:t>
            </w:r>
          </w:p>
          <w:p w14:paraId="463043E2">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药师擅长标签、擅长领域，药师简介， 执业经历，荣誉嘉奖，学术成就。</w:t>
            </w:r>
          </w:p>
          <w:p w14:paraId="34F0B7F5">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图文咨询：</w:t>
            </w:r>
            <w:r>
              <w:rPr>
                <w:rFonts w:cs="宋体" w:asciiTheme="majorEastAsia" w:hAnsiTheme="majorEastAsia" w:eastAsiaTheme="majorEastAsia"/>
                <w:color w:val="auto"/>
                <w:kern w:val="0"/>
                <w:szCs w:val="21"/>
              </w:rPr>
              <w:tab/>
            </w:r>
            <w:r>
              <w:rPr>
                <w:rFonts w:cs="宋体" w:asciiTheme="majorEastAsia" w:hAnsiTheme="majorEastAsia" w:eastAsiaTheme="majorEastAsia"/>
                <w:color w:val="auto"/>
                <w:kern w:val="0"/>
                <w:szCs w:val="21"/>
              </w:rPr>
              <w:t>图文咨询（含</w:t>
            </w:r>
            <w:r>
              <w:rPr>
                <w:rFonts w:hint="eastAsia" w:cs="宋体" w:asciiTheme="majorEastAsia" w:hAnsiTheme="majorEastAsia" w:eastAsiaTheme="majorEastAsia"/>
                <w:color w:val="auto"/>
                <w:kern w:val="0"/>
                <w:szCs w:val="21"/>
              </w:rPr>
              <w:t>常用</w:t>
            </w:r>
            <w:r>
              <w:rPr>
                <w:rFonts w:cs="宋体" w:asciiTheme="majorEastAsia" w:hAnsiTheme="majorEastAsia" w:eastAsiaTheme="majorEastAsia"/>
                <w:color w:val="auto"/>
                <w:kern w:val="0"/>
                <w:szCs w:val="21"/>
              </w:rPr>
              <w:t>回复</w:t>
            </w:r>
            <w:r>
              <w:rPr>
                <w:rFonts w:hint="eastAsia" w:cs="宋体" w:asciiTheme="majorEastAsia" w:hAnsiTheme="majorEastAsia" w:eastAsiaTheme="majorEastAsia"/>
                <w:color w:val="auto"/>
                <w:kern w:val="0"/>
                <w:szCs w:val="21"/>
              </w:rPr>
              <w:t>设置</w:t>
            </w:r>
            <w:r>
              <w:rPr>
                <w:rFonts w:cs="宋体" w:asciiTheme="majorEastAsia" w:hAnsiTheme="majorEastAsia" w:eastAsiaTheme="majorEastAsia"/>
                <w:color w:val="auto"/>
                <w:kern w:val="0"/>
                <w:szCs w:val="21"/>
              </w:rPr>
              <w:t>模板）</w:t>
            </w:r>
          </w:p>
          <w:p w14:paraId="08EEE77D">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视频咨询</w:t>
            </w:r>
            <w:r>
              <w:rPr>
                <w:rFonts w:cs="宋体" w:asciiTheme="majorEastAsia" w:hAnsiTheme="majorEastAsia" w:eastAsiaTheme="majorEastAsia"/>
                <w:color w:val="auto"/>
                <w:kern w:val="0"/>
                <w:szCs w:val="21"/>
              </w:rPr>
              <w:tab/>
            </w:r>
          </w:p>
          <w:p w14:paraId="0A2AD9F8">
            <w:pPr>
              <w:widowControl/>
              <w:numPr>
                <w:ilvl w:val="0"/>
                <w:numId w:val="59"/>
              </w:numPr>
              <w:snapToGrid w:val="0"/>
              <w:spacing w:line="440" w:lineRule="exact"/>
              <w:ind w:left="840" w:hanging="42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患者在线选取咨询的药师，提交个 人用药信息，选择药物咨询方向，支付 咨询费用后开始咨询，可发送文字/图 片消息，或以视频形式与药师面对面交 流；</w:t>
            </w:r>
          </w:p>
          <w:p w14:paraId="3DF4A169">
            <w:pPr>
              <w:widowControl/>
              <w:numPr>
                <w:ilvl w:val="0"/>
                <w:numId w:val="59"/>
              </w:numPr>
              <w:snapToGrid w:val="0"/>
              <w:spacing w:line="440" w:lineRule="exact"/>
              <w:ind w:left="840" w:hanging="42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药师维护常用的回复模板，提高服 务效率；</w:t>
            </w:r>
          </w:p>
          <w:p w14:paraId="6D87F22D">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咨询支付：支付订单费用；</w:t>
            </w:r>
          </w:p>
          <w:p w14:paraId="6285C30E">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支付退费</w:t>
            </w:r>
            <w:r>
              <w:rPr>
                <w:rFonts w:cs="宋体" w:asciiTheme="majorEastAsia" w:hAnsiTheme="majorEastAsia" w:eastAsiaTheme="majorEastAsia"/>
                <w:color w:val="auto"/>
                <w:kern w:val="0"/>
                <w:szCs w:val="21"/>
              </w:rPr>
              <w:tab/>
            </w:r>
          </w:p>
          <w:p w14:paraId="7528DB70">
            <w:pPr>
              <w:widowControl/>
              <w:numPr>
                <w:ilvl w:val="0"/>
                <w:numId w:val="60"/>
              </w:numPr>
              <w:snapToGrid w:val="0"/>
              <w:spacing w:line="440" w:lineRule="exact"/>
              <w:ind w:left="840" w:hanging="42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药师认为患者咨询问题不合适，进行退款；</w:t>
            </w:r>
          </w:p>
          <w:p w14:paraId="1D9A39CA">
            <w:pPr>
              <w:widowControl/>
              <w:numPr>
                <w:ilvl w:val="0"/>
                <w:numId w:val="60"/>
              </w:numPr>
              <w:snapToGrid w:val="0"/>
              <w:spacing w:line="440" w:lineRule="exact"/>
              <w:ind w:left="840" w:hanging="420"/>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后台客服处理退费；</w:t>
            </w:r>
          </w:p>
          <w:p w14:paraId="7602F287">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服务评价</w:t>
            </w:r>
            <w:r>
              <w:rPr>
                <w:rFonts w:cs="宋体" w:asciiTheme="majorEastAsia" w:hAnsiTheme="majorEastAsia" w:eastAsiaTheme="majorEastAsia"/>
                <w:color w:val="auto"/>
                <w:kern w:val="0"/>
                <w:szCs w:val="21"/>
              </w:rPr>
              <w:tab/>
            </w:r>
          </w:p>
          <w:p w14:paraId="50EEC410">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用药咨询完成后，患者可对药师的服务 进行评价和打分，药师端和管理后台均可看到患者的评价情况，并会展示给其他患者。</w:t>
            </w:r>
          </w:p>
          <w:p w14:paraId="6557F5C5">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咨询记录</w:t>
            </w:r>
            <w:r>
              <w:rPr>
                <w:rFonts w:cs="宋体" w:asciiTheme="majorEastAsia" w:hAnsiTheme="majorEastAsia" w:eastAsiaTheme="majorEastAsia"/>
                <w:color w:val="auto"/>
                <w:kern w:val="0"/>
                <w:szCs w:val="21"/>
              </w:rPr>
              <w:tab/>
            </w:r>
          </w:p>
          <w:p w14:paraId="35C850FA">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记录每一次咨询，保证所有行为都受监管；</w:t>
            </w:r>
          </w:p>
          <w:p w14:paraId="63506EB1">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用药信息收集</w:t>
            </w:r>
          </w:p>
          <w:p w14:paraId="73B8E05D">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对患者对用药信息进行收集，药师根据患者用药信息对患者咨询问题以及用药是否合理进行专业性判断；</w:t>
            </w:r>
          </w:p>
          <w:p w14:paraId="5C42569A">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报表</w:t>
            </w:r>
          </w:p>
          <w:p w14:paraId="6A26641E">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下载报表：</w:t>
            </w:r>
            <w:r>
              <w:rPr>
                <w:rFonts w:cs="宋体" w:asciiTheme="majorEastAsia" w:hAnsiTheme="majorEastAsia" w:eastAsiaTheme="majorEastAsia"/>
                <w:color w:val="auto"/>
                <w:kern w:val="0"/>
                <w:szCs w:val="21"/>
              </w:rPr>
              <w:tab/>
            </w:r>
            <w:r>
              <w:rPr>
                <w:rFonts w:cs="宋体" w:asciiTheme="majorEastAsia" w:hAnsiTheme="majorEastAsia" w:eastAsiaTheme="majorEastAsia"/>
                <w:color w:val="auto"/>
                <w:kern w:val="0"/>
                <w:szCs w:val="21"/>
              </w:rPr>
              <w:t>接诊统计报表，以药师维度统计订单总量、成功接诊次数、患者满意度等数据信息；</w:t>
            </w:r>
          </w:p>
          <w:p w14:paraId="00C3EF1D">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订单</w:t>
            </w:r>
          </w:p>
          <w:p w14:paraId="7B88CBD4">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交易订单管理：查看在线问药的订单记录；</w:t>
            </w:r>
          </w:p>
          <w:p w14:paraId="7AE67001">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个人中心</w:t>
            </w:r>
          </w:p>
          <w:p w14:paraId="7D803892">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1、个人资料</w:t>
            </w:r>
            <w:r>
              <w:rPr>
                <w:rFonts w:cs="宋体" w:asciiTheme="majorEastAsia" w:hAnsiTheme="majorEastAsia" w:eastAsiaTheme="majorEastAsia"/>
                <w:color w:val="auto"/>
                <w:kern w:val="0"/>
                <w:szCs w:val="21"/>
              </w:rPr>
              <w:tab/>
            </w:r>
          </w:p>
          <w:p w14:paraId="571D2029">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药师个人资料编辑，包括执业信息和介 绍信息的编辑更新，更新后需提交管理员审核；</w:t>
            </w:r>
          </w:p>
          <w:p w14:paraId="35D6633A">
            <w:p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2、工作量统计</w:t>
            </w:r>
          </w:p>
          <w:p w14:paraId="58340414">
            <w:pPr>
              <w:spacing w:line="440" w:lineRule="exact"/>
              <w:rPr>
                <w:rFonts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对药师咨询的工作量进行统计</w:t>
            </w:r>
          </w:p>
          <w:p w14:paraId="0C3FE468">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3、</w:t>
            </w:r>
            <w:r>
              <w:rPr>
                <w:rFonts w:cs="宋体" w:asciiTheme="majorEastAsia" w:hAnsiTheme="majorEastAsia" w:eastAsiaTheme="majorEastAsia"/>
                <w:color w:val="auto"/>
                <w:kern w:val="0"/>
                <w:szCs w:val="21"/>
              </w:rPr>
              <w:t>评价记录</w:t>
            </w:r>
          </w:p>
          <w:p w14:paraId="20AAC47A">
            <w:pPr>
              <w:widowControl/>
              <w:snapToGrid w:val="0"/>
              <w:spacing w:line="440" w:lineRule="exact"/>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药师可查看患者对自己服务的评分和评价记录</w:t>
            </w:r>
          </w:p>
        </w:tc>
      </w:tr>
      <w:tr w14:paraId="0701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22448A6C">
            <w:pPr>
              <w:widowControl/>
              <w:spacing w:line="440" w:lineRule="exact"/>
              <w:jc w:val="center"/>
              <w:rPr>
                <w:rFonts w:cs="宋体" w:asciiTheme="majorEastAsia" w:hAnsiTheme="majorEastAsia" w:eastAsiaTheme="majorEastAsia"/>
                <w:color w:val="auto"/>
                <w:kern w:val="0"/>
                <w:szCs w:val="21"/>
              </w:rPr>
            </w:pPr>
          </w:p>
        </w:tc>
        <w:tc>
          <w:tcPr>
            <w:tcW w:w="426" w:type="dxa"/>
            <w:vMerge w:val="continue"/>
            <w:vAlign w:val="center"/>
          </w:tcPr>
          <w:p w14:paraId="17CE73F5">
            <w:pPr>
              <w:widowControl/>
              <w:spacing w:line="440" w:lineRule="exact"/>
              <w:jc w:val="center"/>
              <w:rPr>
                <w:rFonts w:cs="宋体" w:asciiTheme="majorEastAsia" w:hAnsiTheme="majorEastAsia" w:eastAsiaTheme="majorEastAsia"/>
                <w:color w:val="auto"/>
                <w:kern w:val="0"/>
                <w:szCs w:val="21"/>
              </w:rPr>
            </w:pPr>
          </w:p>
        </w:tc>
        <w:tc>
          <w:tcPr>
            <w:tcW w:w="1003" w:type="dxa"/>
            <w:vMerge w:val="continue"/>
          </w:tcPr>
          <w:p w14:paraId="2DA8B489">
            <w:pPr>
              <w:widowControl/>
              <w:spacing w:line="440" w:lineRule="exact"/>
              <w:jc w:val="center"/>
              <w:rPr>
                <w:rFonts w:cs="宋体" w:asciiTheme="majorEastAsia" w:hAnsiTheme="majorEastAsia" w:eastAsiaTheme="majorEastAsia"/>
                <w:color w:val="auto"/>
                <w:kern w:val="0"/>
                <w:szCs w:val="21"/>
              </w:rPr>
            </w:pPr>
          </w:p>
        </w:tc>
        <w:tc>
          <w:tcPr>
            <w:tcW w:w="713" w:type="dxa"/>
            <w:vAlign w:val="center"/>
          </w:tcPr>
          <w:p w14:paraId="7187E0BF">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药品公示</w:t>
            </w:r>
          </w:p>
        </w:tc>
        <w:tc>
          <w:tcPr>
            <w:tcW w:w="789" w:type="dxa"/>
            <w:vAlign w:val="center"/>
          </w:tcPr>
          <w:p w14:paraId="6A75FCBF">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280CBF7">
            <w:pPr>
              <w:widowControl/>
              <w:snapToGrid w:val="0"/>
              <w:spacing w:line="440" w:lineRule="exact"/>
              <w:jc w:val="lef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提供药品公示、查询、详细介绍</w:t>
            </w:r>
          </w:p>
        </w:tc>
      </w:tr>
      <w:tr w14:paraId="58F1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057134D1">
            <w:pPr>
              <w:widowControl/>
              <w:spacing w:line="440" w:lineRule="exact"/>
              <w:jc w:val="center"/>
              <w:rPr>
                <w:rFonts w:cs="宋体" w:asciiTheme="majorEastAsia" w:hAnsiTheme="majorEastAsia" w:eastAsiaTheme="majorEastAsia"/>
                <w:color w:val="auto"/>
                <w:kern w:val="0"/>
                <w:szCs w:val="21"/>
              </w:rPr>
            </w:pPr>
          </w:p>
        </w:tc>
        <w:tc>
          <w:tcPr>
            <w:tcW w:w="426" w:type="dxa"/>
            <w:vAlign w:val="center"/>
          </w:tcPr>
          <w:p w14:paraId="2AF71DDC">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7</w:t>
            </w:r>
          </w:p>
        </w:tc>
        <w:tc>
          <w:tcPr>
            <w:tcW w:w="1003" w:type="dxa"/>
            <w:vAlign w:val="center"/>
          </w:tcPr>
          <w:p w14:paraId="0E2B6EC0">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在线随访平台</w:t>
            </w:r>
          </w:p>
        </w:tc>
        <w:tc>
          <w:tcPr>
            <w:tcW w:w="713" w:type="dxa"/>
            <w:vAlign w:val="center"/>
          </w:tcPr>
          <w:p w14:paraId="7BAD08E6">
            <w:pPr>
              <w:widowControl/>
              <w:snapToGrid w:val="0"/>
              <w:spacing w:line="440" w:lineRule="exact"/>
              <w:jc w:val="center"/>
              <w:rPr>
                <w:rFonts w:cs="宋体" w:asciiTheme="majorEastAsia" w:hAnsiTheme="majorEastAsia" w:eastAsiaTheme="majorEastAsia"/>
                <w:color w:val="auto"/>
                <w:kern w:val="0"/>
                <w:szCs w:val="21"/>
              </w:rPr>
            </w:pPr>
          </w:p>
        </w:tc>
        <w:tc>
          <w:tcPr>
            <w:tcW w:w="789" w:type="dxa"/>
            <w:vAlign w:val="center"/>
          </w:tcPr>
          <w:p w14:paraId="1731C201">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0175DAF9">
            <w:pPr>
              <w:widowControl/>
              <w:snapToGrid w:val="0"/>
              <w:spacing w:line="440" w:lineRule="exact"/>
              <w:rPr>
                <w:rFonts w:hint="eastAsia"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提供一套在线随访平台</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独立部署安装在院内</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通过前置机提供给患者使用</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与互联网在线服务平台无缝对接</w:t>
            </w:r>
            <w:r>
              <w:rPr>
                <w:rFonts w:cs="宋体" w:asciiTheme="majorEastAsia" w:hAnsiTheme="majorEastAsia" w:eastAsiaTheme="majorEastAsia"/>
                <w:color w:val="auto"/>
                <w:kern w:val="0"/>
                <w:szCs w:val="21"/>
              </w:rPr>
              <w:t>。</w:t>
            </w:r>
          </w:p>
          <w:p w14:paraId="020FBD9F">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微信端患者随访，增加随访渠道。实现根据各科室不同的随访规则配置不同的随访应用。将患者加入随访后，系统按设定时间自动推送随访模板、个性化的随访知识到患者的微信服务号，患者填写后，医护人员可在后台查看患者随访信息。实现定制化随访CRF量表制定及筛选，管理者可对医护人员随访工作量自动统计和分析，可对接随访系统进行接口开发。</w:t>
            </w:r>
          </w:p>
          <w:p w14:paraId="76BD5F12">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将患者病历加入随访系统，通过随访系统可直接筛选出需要随访的患者，以格式化和个体化的表格内容进行随访，管理者可对医护人员随访工作量自动统计和分析。</w:t>
            </w:r>
          </w:p>
          <w:p w14:paraId="34D10598">
            <w:pPr>
              <w:widowControl/>
              <w:snapToGrid w:val="0"/>
              <w:spacing w:line="440" w:lineRule="exact"/>
              <w:rPr>
                <w:rFonts w:hint="eastAsia"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提供随访、健康宣教知识库，一级、二级随访可自动统计和分析。任一随访端设置医生、护士共同随访，按设定时间、内容设置随访者。</w:t>
            </w:r>
          </w:p>
          <w:p w14:paraId="4CCC0098">
            <w:pPr>
              <w:widowControl/>
              <w:snapToGrid w:val="0"/>
              <w:ind w:firstLine="420" w:firstLineChars="20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lang w:val="en-US" w:eastAsia="zh-CN"/>
              </w:rPr>
              <w:t>实现</w:t>
            </w:r>
            <w:r>
              <w:rPr>
                <w:rFonts w:hint="eastAsia" w:cs="宋体" w:asciiTheme="minorEastAsia" w:hAnsiTheme="minorEastAsia" w:eastAsiaTheme="minorEastAsia"/>
                <w:color w:val="auto"/>
                <w:kern w:val="0"/>
                <w:szCs w:val="21"/>
              </w:rPr>
              <w:t>同步住院病历系统的知识库有关的护理常规、健康教育知识指导等。</w:t>
            </w:r>
          </w:p>
          <w:p w14:paraId="2C96F5A6">
            <w:pPr>
              <w:widowControl/>
              <w:snapToGrid w:val="0"/>
              <w:ind w:firstLine="420" w:firstLineChars="20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随访模板可由科室根据自己需要定义随访模板，快速支撑各类多级随访职能，如：日常随访、专病随访、护理随访、家庭随访、关怀随访等。</w:t>
            </w:r>
          </w:p>
          <w:p w14:paraId="23FCB617">
            <w:pPr>
              <w:widowControl/>
              <w:snapToGrid w:val="0"/>
              <w:ind w:firstLine="420" w:firstLineChars="20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随访管理：随访计划管理模块可手工启动或暂停随访任务。待随访任务管理模块提供待随访任务列表显示、随访提醒功能；以图表的方式提供已随访任务清单，能够筛选查询，能够点击查看随访明细、清单支持导出功能。</w:t>
            </w:r>
          </w:p>
          <w:p w14:paraId="47C109A1">
            <w:pPr>
              <w:widowControl/>
              <w:snapToGrid w:val="0"/>
              <w:ind w:firstLine="420" w:firstLineChars="20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建立患者信息库，通过用户姓名、身份证号码和手机号，可以将不同来源途径的客户信息， 整合成一个完整的患者信息库，并可以在基本信息的基础上进行扩展，获取与患者相关的院前、院中和院后相关记录，并通过对患者进行的随访调查历史记录，提取患者生活、饮食、运动等个人习惯，以及个人疾病过往史、家庭病史等等各种信息，形成完善的患者个人健康档案。</w:t>
            </w:r>
          </w:p>
          <w:p w14:paraId="788D35CD">
            <w:pPr>
              <w:widowControl/>
              <w:snapToGrid w:val="0"/>
              <w:ind w:firstLine="420" w:firstLineChars="20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lang w:val="en-US" w:eastAsia="zh-CN"/>
              </w:rPr>
              <w:t>实现</w:t>
            </w:r>
            <w:r>
              <w:rPr>
                <w:rFonts w:hint="eastAsia" w:cs="宋体" w:asciiTheme="minorEastAsia" w:hAnsiTheme="minorEastAsia" w:eastAsiaTheme="minorEastAsia"/>
                <w:color w:val="auto"/>
                <w:kern w:val="0"/>
                <w:szCs w:val="21"/>
              </w:rPr>
              <w:t>随访业务的统计分析功能，可按科室、时间、内容等方式统计随访率，周期完成率等</w:t>
            </w:r>
          </w:p>
          <w:p w14:paraId="4B2A28F7">
            <w:pPr>
              <w:pStyle w:val="4"/>
              <w:spacing w:line="240" w:lineRule="auto"/>
              <w:ind w:firstLine="422" w:firstLineChars="200"/>
              <w:rPr>
                <w:rFonts w:cs="宋体" w:asciiTheme="minorEastAsia" w:hAnsiTheme="minorEastAsia" w:eastAsiaTheme="minorEastAsia"/>
                <w:b/>
                <w:bCs/>
                <w:color w:val="auto"/>
                <w:sz w:val="21"/>
                <w:szCs w:val="21"/>
              </w:rPr>
            </w:pPr>
            <w:r>
              <w:rPr>
                <w:rFonts w:hint="eastAsia" w:cs="宋体" w:asciiTheme="minorEastAsia" w:hAnsiTheme="minorEastAsia" w:eastAsiaTheme="minorEastAsia"/>
                <w:b/>
                <w:bCs/>
                <w:color w:val="auto"/>
                <w:sz w:val="21"/>
                <w:szCs w:val="21"/>
              </w:rPr>
              <w:t>客户档案/家庭档案：</w:t>
            </w:r>
          </w:p>
          <w:p w14:paraId="7B086038">
            <w:pPr>
              <w:pStyle w:val="4"/>
              <w:spacing w:line="240" w:lineRule="auto"/>
              <w:ind w:firstLine="420" w:firstLineChars="20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建立患者健康档案，包括:个人基本信息资料、分类信息、个人详细资料、病史信息等。</w:t>
            </w:r>
          </w:p>
          <w:p w14:paraId="730ABF39">
            <w:pPr>
              <w:pStyle w:val="4"/>
              <w:spacing w:line="240" w:lineRule="auto"/>
              <w:ind w:firstLine="420" w:firstLineChars="20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实时共享患者就诊信息，门诊处方信息，病史信息，用药记录等病历信息并可分类汇总显示。</w:t>
            </w:r>
          </w:p>
          <w:p w14:paraId="3108C147">
            <w:pPr>
              <w:pStyle w:val="4"/>
              <w:spacing w:line="240" w:lineRule="auto"/>
              <w:ind w:firstLine="420" w:firstLineChars="20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详细的门诊资料、住院资料（包括入院录、病程记录、手术记录、出院记录、用药记录、长期医嘱、临时医嘱、费用汇总及明细等等）、随访记录。各模块清晰明了，调取所需信息时方便快捷。</w:t>
            </w:r>
          </w:p>
          <w:p w14:paraId="59E714CA">
            <w:pPr>
              <w:pStyle w:val="4"/>
              <w:spacing w:line="240" w:lineRule="auto"/>
              <w:ind w:firstLine="420" w:firstLineChars="200"/>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实时查看历次随访记录，预约挂号记录，短信记录，投诉记录，咨询记录等信息。</w:t>
            </w:r>
          </w:p>
          <w:p w14:paraId="31A74003">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短信平台：</w:t>
            </w:r>
            <w:r>
              <w:rPr>
                <w:rFonts w:hint="eastAsia" w:cs="宋体" w:asciiTheme="minorEastAsia" w:hAnsiTheme="minorEastAsia" w:eastAsiaTheme="minorEastAsia"/>
                <w:color w:val="auto"/>
                <w:kern w:val="0"/>
                <w:szCs w:val="21"/>
              </w:rPr>
              <w:t>可使用短信猫或移动、电信短信平台收发短信。分类群发短信；接收短信；定时发送短信；自动(发送）回复短信;短信接收提醒等。短信模版设计；保存常用短信；自动回复短信设置等。</w:t>
            </w:r>
          </w:p>
          <w:p w14:paraId="68351820">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APP/ 微信公众号：</w:t>
            </w:r>
            <w:r>
              <w:rPr>
                <w:rFonts w:hint="eastAsia" w:cs="宋体" w:asciiTheme="minorEastAsia" w:hAnsiTheme="minorEastAsia" w:eastAsiaTheme="minorEastAsia"/>
                <w:color w:val="auto"/>
                <w:kern w:val="0"/>
                <w:szCs w:val="21"/>
              </w:rPr>
              <w:t>手机上进行挂号预约、床位预约等。手机上进行随访的问卷。手上与医护人员咨询互动。</w:t>
            </w:r>
          </w:p>
          <w:p w14:paraId="0DA07E92">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随访中心</w:t>
            </w:r>
            <w:r>
              <w:rPr>
                <w:rFonts w:hint="eastAsia" w:cs="宋体" w:asciiTheme="minorEastAsia" w:hAnsiTheme="minorEastAsia" w:eastAsiaTheme="minorEastAsia"/>
                <w:color w:val="auto"/>
                <w:kern w:val="0"/>
                <w:szCs w:val="21"/>
              </w:rPr>
              <w:t>：</w:t>
            </w:r>
          </w:p>
          <w:p w14:paraId="5A8EF600">
            <w:pPr>
              <w:ind w:firstLine="420"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设置随访规则包括周期随访，定期随访，特殊随访规则等，规则可修改，系统自动化提醒随访任务，自动拨打电话。</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随访时可在同一界面中进行预约挂号，预约病床，患者投诉表扬，满意度调查，发送短信，浏览智能知识库及病人医嘱、病历。</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回访专员进入系统在工作页面中看到系统自动提醒的当天的随访任务；对于特殊患者做特殊标识，如死亡，纠纷等病人无需随访。</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结合短信平台，呼叫中心对患者进行随访，在随访过程中方便的查看患者即往档案资料。</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随访过程中可进行预约挂号，患者表扬，投诉，患者咨询等业务，业务传递相应部门。</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可按病种、患者级别、区域、初复诊、就诊次数、患者就诊状态等设置患者回访。</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可设置科室病种回访模块，支持三级回访制度。</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 xml:space="preserve">    与患者手机 APP 和微信无缝连接。</w:t>
            </w:r>
          </w:p>
          <w:p w14:paraId="280B5380">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预约服务：</w:t>
            </w:r>
            <w:r>
              <w:rPr>
                <w:rFonts w:hint="eastAsia" w:cs="宋体" w:asciiTheme="minorEastAsia" w:hAnsiTheme="minorEastAsia" w:eastAsiaTheme="minorEastAsia"/>
                <w:color w:val="auto"/>
                <w:kern w:val="0"/>
                <w:szCs w:val="21"/>
              </w:rPr>
              <w:t>支持挂号预约、医技预约 、床位预约 、手术预约 、体检预约 。可按科室、按医生、人员等对于月数据进行统计分析。</w:t>
            </w:r>
          </w:p>
          <w:p w14:paraId="0BF4E094">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满意度调查问卷：</w:t>
            </w:r>
            <w:r>
              <w:rPr>
                <w:rFonts w:hint="eastAsia" w:cs="宋体" w:asciiTheme="minorEastAsia" w:hAnsiTheme="minorEastAsia" w:eastAsiaTheme="minorEastAsia"/>
                <w:color w:val="auto"/>
                <w:kern w:val="0"/>
                <w:szCs w:val="21"/>
              </w:rPr>
              <w:t>支持 APP、微信公众号、电话等方式进行满意度问卷类调查，调查医疗水平、收费价格、医生、护士服务态度，及征求建议等。自定义满意度调查模板。可与随访模块配合使用，实现随访调查一体化管理。</w:t>
            </w:r>
          </w:p>
          <w:p w14:paraId="12C314B0">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患者投诉建议：</w:t>
            </w:r>
            <w:r>
              <w:rPr>
                <w:rFonts w:hint="eastAsia" w:cs="宋体" w:asciiTheme="minorEastAsia" w:hAnsiTheme="minorEastAsia" w:eastAsiaTheme="minorEastAsia"/>
                <w:color w:val="auto"/>
                <w:kern w:val="0"/>
                <w:szCs w:val="21"/>
              </w:rPr>
              <w:t>支持 APP、微信公众号、电话等方式进行投诉和建议。实现投诉登记；投诉受理；投诉跟进；投诉处理；投诉终结等标准化投诉管理模式。院方可根据实际情况需要灵活自定义投诉建议流程。</w:t>
            </w:r>
          </w:p>
          <w:p w14:paraId="74670483">
            <w:pPr>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bCs/>
                <w:color w:val="auto"/>
                <w:kern w:val="0"/>
                <w:szCs w:val="21"/>
              </w:rPr>
              <w:t>咨询管理：</w:t>
            </w:r>
            <w:r>
              <w:rPr>
                <w:rFonts w:hint="eastAsia" w:cs="宋体" w:asciiTheme="minorEastAsia" w:hAnsiTheme="minorEastAsia" w:eastAsiaTheme="minorEastAsia"/>
                <w:color w:val="auto"/>
                <w:kern w:val="0"/>
                <w:szCs w:val="21"/>
              </w:rPr>
              <w:t>支持 APP、微信公众号、电话等方式进行咨询。</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记录患者咨询内容，咨询类别等资料，并移交相关部门处理。</w:t>
            </w:r>
            <w:r>
              <w:rPr>
                <w:rFonts w:hint="eastAsia" w:cs="宋体" w:asciiTheme="minorEastAsia" w:hAnsiTheme="minorEastAsia" w:eastAsiaTheme="minorEastAsia"/>
                <w:color w:val="auto"/>
                <w:kern w:val="0"/>
                <w:szCs w:val="21"/>
              </w:rPr>
              <w:br w:type="textWrapping"/>
            </w:r>
            <w:r>
              <w:rPr>
                <w:rFonts w:hint="eastAsia" w:cs="宋体" w:asciiTheme="minorEastAsia" w:hAnsiTheme="minorEastAsia" w:eastAsiaTheme="minorEastAsia"/>
                <w:color w:val="auto"/>
                <w:kern w:val="0"/>
                <w:szCs w:val="21"/>
              </w:rPr>
              <w:t>相关部门通过咨询处理将处理结果反馈咨询人员，并可安排是否需要工作人员进行回访。患者通过 APP、微信公众号、电话和院方咨询人员在线对话，实现医患点对点沟通。</w:t>
            </w:r>
          </w:p>
          <w:p w14:paraId="519FA1F8">
            <w:pPr>
              <w:widowControl/>
              <w:snapToGrid w:val="0"/>
              <w:spacing w:line="440" w:lineRule="exact"/>
              <w:rPr>
                <w:rFonts w:cs="宋体" w:asciiTheme="majorEastAsia" w:hAnsiTheme="majorEastAsia" w:eastAsiaTheme="majorEastAsia"/>
                <w:color w:val="auto"/>
                <w:kern w:val="0"/>
                <w:szCs w:val="21"/>
              </w:rPr>
            </w:pPr>
            <w:r>
              <w:rPr>
                <w:rFonts w:hint="eastAsia" w:cs="宋体" w:asciiTheme="minorEastAsia" w:hAnsiTheme="minorEastAsia" w:eastAsiaTheme="minorEastAsia"/>
                <w:b/>
                <w:bCs/>
                <w:color w:val="auto"/>
                <w:kern w:val="0"/>
                <w:szCs w:val="21"/>
              </w:rPr>
              <w:t>提醒服务：</w:t>
            </w:r>
            <w:r>
              <w:rPr>
                <w:rFonts w:hint="eastAsia" w:cs="宋体" w:asciiTheme="minorEastAsia" w:hAnsiTheme="minorEastAsia" w:eastAsiaTheme="minorEastAsia"/>
                <w:color w:val="auto"/>
                <w:kern w:val="0"/>
                <w:szCs w:val="21"/>
              </w:rPr>
              <w:t>可以根据提醒需求设置提醒的方式如 APP、微信公众号、短信。可以自定义提醒时间，如复诊提醒，提前一天给予 APP 提示。</w:t>
            </w:r>
          </w:p>
          <w:p w14:paraId="72F87178">
            <w:p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●提供新建抽查随访计划功能，可以抽取已经完成随访计划的患者进行随访工作确认。</w:t>
            </w:r>
          </w:p>
          <w:p w14:paraId="5349B28C">
            <w:pPr>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提供未随访过的患者通过电话随访，记录随访内容。</w:t>
            </w:r>
          </w:p>
          <w:p w14:paraId="6009AE0C">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●实现自定义病种功能，要求能按照病种创建患者随访计划，实现同一病种多个疾病快速创建随访计划。</w:t>
            </w:r>
          </w:p>
        </w:tc>
      </w:tr>
      <w:tr w14:paraId="5E83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tcPr>
          <w:p w14:paraId="46C2DEBD">
            <w:pPr>
              <w:widowControl/>
              <w:spacing w:line="440" w:lineRule="exact"/>
              <w:jc w:val="center"/>
              <w:rPr>
                <w:rFonts w:cs="宋体" w:asciiTheme="majorEastAsia" w:hAnsiTheme="majorEastAsia" w:eastAsiaTheme="majorEastAsia"/>
                <w:color w:val="auto"/>
                <w:kern w:val="0"/>
                <w:szCs w:val="21"/>
              </w:rPr>
            </w:pPr>
          </w:p>
        </w:tc>
        <w:tc>
          <w:tcPr>
            <w:tcW w:w="426" w:type="dxa"/>
            <w:vAlign w:val="center"/>
          </w:tcPr>
          <w:p w14:paraId="3DFC83C2">
            <w:pPr>
              <w:widowControl/>
              <w:spacing w:line="440" w:lineRule="exact"/>
              <w:jc w:val="center"/>
              <w:rPr>
                <w:rFonts w:cs="宋体" w:asciiTheme="majorEastAsia" w:hAnsiTheme="majorEastAsia" w:eastAsiaTheme="majorEastAsia"/>
                <w:color w:val="auto"/>
                <w:kern w:val="0"/>
                <w:szCs w:val="21"/>
              </w:rPr>
            </w:pPr>
            <w:r>
              <w:rPr>
                <w:rFonts w:cs="宋体" w:asciiTheme="majorEastAsia" w:hAnsiTheme="majorEastAsia" w:eastAsiaTheme="majorEastAsia"/>
                <w:color w:val="auto"/>
                <w:kern w:val="0"/>
                <w:szCs w:val="21"/>
              </w:rPr>
              <w:t>8</w:t>
            </w:r>
          </w:p>
        </w:tc>
        <w:tc>
          <w:tcPr>
            <w:tcW w:w="1003" w:type="dxa"/>
            <w:vAlign w:val="center"/>
          </w:tcPr>
          <w:p w14:paraId="10D81AF2">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电话随访平台</w:t>
            </w:r>
          </w:p>
        </w:tc>
        <w:tc>
          <w:tcPr>
            <w:tcW w:w="713" w:type="dxa"/>
            <w:vAlign w:val="center"/>
          </w:tcPr>
          <w:p w14:paraId="2A6DC228">
            <w:pPr>
              <w:widowControl/>
              <w:snapToGrid w:val="0"/>
              <w:spacing w:line="440" w:lineRule="exact"/>
              <w:jc w:val="center"/>
              <w:rPr>
                <w:rFonts w:cs="宋体" w:asciiTheme="majorEastAsia" w:hAnsiTheme="majorEastAsia" w:eastAsiaTheme="majorEastAsia"/>
                <w:color w:val="auto"/>
                <w:kern w:val="0"/>
                <w:szCs w:val="21"/>
              </w:rPr>
            </w:pPr>
          </w:p>
        </w:tc>
        <w:tc>
          <w:tcPr>
            <w:tcW w:w="789" w:type="dxa"/>
            <w:vAlign w:val="center"/>
          </w:tcPr>
          <w:p w14:paraId="204A4F59">
            <w:pPr>
              <w:widowControl/>
              <w:snapToGrid w:val="0"/>
              <w:spacing w:line="440" w:lineRule="exact"/>
              <w:jc w:val="center"/>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1套</w:t>
            </w:r>
          </w:p>
        </w:tc>
        <w:tc>
          <w:tcPr>
            <w:tcW w:w="5783" w:type="dxa"/>
            <w:vAlign w:val="center"/>
          </w:tcPr>
          <w:p w14:paraId="2439FDFC">
            <w:pPr>
              <w:widowControl/>
              <w:snapToGrid w:val="0"/>
              <w:spacing w:line="440" w:lineRule="exact"/>
              <w:rPr>
                <w:rFonts w:cs="宋体" w:asciiTheme="majorEastAsia" w:hAnsiTheme="majorEastAsia" w:eastAsiaTheme="majorEastAsia"/>
                <w:color w:val="auto"/>
                <w:kern w:val="0"/>
                <w:szCs w:val="21"/>
              </w:rPr>
            </w:pPr>
            <w:r>
              <w:rPr>
                <w:rFonts w:hint="eastAsia" w:cs="宋体" w:asciiTheme="majorEastAsia" w:hAnsiTheme="majorEastAsia" w:eastAsiaTheme="majorEastAsia"/>
                <w:color w:val="auto"/>
                <w:kern w:val="0"/>
                <w:szCs w:val="21"/>
              </w:rPr>
              <w:t>提供一套在线电话随访平台</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t>与互联网在线服务平台、慢病管理平台无缝对接</w:t>
            </w:r>
            <w:r>
              <w:rPr>
                <w:rFonts w:cs="宋体" w:asciiTheme="majorEastAsia" w:hAnsiTheme="majorEastAsia" w:eastAsiaTheme="majorEastAsia"/>
                <w:color w:val="auto"/>
                <w:kern w:val="0"/>
                <w:szCs w:val="21"/>
              </w:rPr>
              <w:t>。</w:t>
            </w:r>
            <w:r>
              <w:rPr>
                <w:rFonts w:hint="eastAsia" w:cs="宋体" w:asciiTheme="majorEastAsia" w:hAnsiTheme="majorEastAsia" w:eastAsiaTheme="majorEastAsia"/>
                <w:color w:val="auto"/>
                <w:kern w:val="0"/>
                <w:szCs w:val="21"/>
              </w:rPr>
              <w:br w:type="textWrapping"/>
            </w:r>
            <w:r>
              <w:rPr>
                <w:rFonts w:hint="eastAsia" w:cs="宋体" w:asciiTheme="majorEastAsia" w:hAnsiTheme="majorEastAsia" w:eastAsiaTheme="majorEastAsia"/>
                <w:color w:val="auto"/>
                <w:kern w:val="0"/>
                <w:szCs w:val="21"/>
              </w:rPr>
              <w:t>实现电话端随访，与慢病管理平台对接，为已入组患者，自动下发患者的随访量表，以格式化和个体化的表格内容进行随访，管理者可对医护人员随访工作量自动统计和分析，为院内临床科室提供终端通讯服务。</w:t>
            </w:r>
          </w:p>
        </w:tc>
      </w:tr>
      <w:tr w14:paraId="5CED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2" w:type="dxa"/>
            <w:gridSpan w:val="6"/>
            <w:vAlign w:val="center"/>
          </w:tcPr>
          <w:p w14:paraId="5F9B19A5">
            <w:pPr>
              <w:widowControl/>
              <w:snapToGrid w:val="0"/>
              <w:spacing w:line="440" w:lineRule="exact"/>
              <w:ind w:firstLine="422" w:firstLineChars="200"/>
              <w:jc w:val="left"/>
              <w:rPr>
                <w:rFonts w:cs="宋体" w:asciiTheme="majorEastAsia" w:hAnsiTheme="majorEastAsia" w:eastAsiaTheme="majorEastAsia"/>
                <w:b/>
                <w:color w:val="auto"/>
                <w:kern w:val="0"/>
                <w:szCs w:val="21"/>
              </w:rPr>
            </w:pPr>
            <w:r>
              <w:rPr>
                <w:rFonts w:cs="宋体" w:asciiTheme="majorEastAsia" w:hAnsiTheme="majorEastAsia" w:eastAsiaTheme="majorEastAsia"/>
                <w:b/>
                <w:color w:val="auto"/>
                <w:kern w:val="0"/>
                <w:szCs w:val="21"/>
              </w:rPr>
              <w:t>备注：号参数为必备参数配置及要求，对这些必备参数配置及要求的任意一项不满足将导致投标无效，不带号的一般技术参数负偏离超过3项（不含3项）将导致投标无效；</w:t>
            </w:r>
          </w:p>
        </w:tc>
      </w:tr>
      <w:tr w14:paraId="1A7B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2" w:type="dxa"/>
            <w:gridSpan w:val="6"/>
            <w:vAlign w:val="center"/>
          </w:tcPr>
          <w:p w14:paraId="0C6672F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售后服务及其他要求：</w:t>
            </w:r>
          </w:p>
          <w:p w14:paraId="657F5FD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1、系统维护期为</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年，起始时间从系统验收合格之日起计算；</w:t>
            </w:r>
          </w:p>
          <w:p w14:paraId="4A4A140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2、维护期内因信息系统本身缺陷造成各种故障由投标人提供技术服务和维修；</w:t>
            </w:r>
          </w:p>
          <w:p w14:paraId="20B76248">
            <w:pPr>
              <w:spacing w:line="440" w:lineRule="exact"/>
              <w:outlineLvl w:val="0"/>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3、系统试运行期内及质量保修期内投标人应免费提供与第三方系统的接口开发服务；</w:t>
            </w:r>
          </w:p>
          <w:p w14:paraId="6A0FB038">
            <w:pPr>
              <w:spacing w:line="440" w:lineRule="exact"/>
              <w:outlineLvl w:val="0"/>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4、系统试运行期内及质量保修期内投标人应免费提供系统软件升级服务；</w:t>
            </w:r>
          </w:p>
          <w:p w14:paraId="1CEB5AFD">
            <w:pPr>
              <w:widowControl/>
              <w:snapToGrid w:val="0"/>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5、维保期内投标人应至少提供7*24小时的电话服务。一般故障，在1个小时内解决；若出现系统重大故障，必须3小时内到现场处理。要求最迟24小时内修复。重大故障指：系统无法正常使用、数据丢失等。</w:t>
            </w:r>
          </w:p>
          <w:p w14:paraId="5DBA289C">
            <w:pPr>
              <w:widowControl/>
              <w:snapToGrid w:val="0"/>
              <w:spacing w:line="440" w:lineRule="exact"/>
              <w:rPr>
                <w:rFonts w:cs="宋体" w:asciiTheme="majorEastAsia" w:hAnsiTheme="majorEastAsia" w:eastAsiaTheme="majorEastAsia"/>
                <w:color w:val="auto"/>
                <w:kern w:val="0"/>
                <w:szCs w:val="21"/>
              </w:rPr>
            </w:pPr>
            <w:r>
              <w:rPr>
                <w:rFonts w:hint="eastAsia" w:asciiTheme="majorEastAsia" w:hAnsiTheme="majorEastAsia" w:eastAsiaTheme="majorEastAsia"/>
                <w:color w:val="auto"/>
                <w:szCs w:val="21"/>
              </w:rPr>
              <w:t>6、配合医院落实上级部门关于《改善就医服务减轻群众就医负担专项行动》中在互联网医院和微信小程序上需要实现的各项功能。</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7</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其他要求按照项目子项“整体项目实施服务”要求执行</w:t>
            </w:r>
            <w:r>
              <w:rPr>
                <w:rFonts w:asciiTheme="majorEastAsia" w:hAnsiTheme="majorEastAsia" w:eastAsiaTheme="majorEastAsia"/>
                <w:color w:val="auto"/>
                <w:szCs w:val="21"/>
              </w:rPr>
              <w:t>。</w:t>
            </w:r>
          </w:p>
        </w:tc>
      </w:tr>
    </w:tbl>
    <w:p w14:paraId="42250089">
      <w:pPr>
        <w:widowControl/>
        <w:jc w:val="left"/>
        <w:rPr>
          <w:rFonts w:ascii="方正仿宋_GBK" w:hAnsi="方正仿宋_GBK" w:eastAsia="方正仿宋_GBK" w:cs="方正仿宋_GBK"/>
          <w:color w:val="auto"/>
          <w:kern w:val="0"/>
          <w:sz w:val="32"/>
          <w:szCs w:val="32"/>
        </w:rPr>
      </w:pPr>
      <w:r>
        <w:rPr>
          <w:rFonts w:ascii="宋体" w:hAnsi="宋体" w:cs="宋体"/>
          <w:color w:val="auto"/>
          <w:kern w:val="0"/>
          <w:sz w:val="18"/>
          <w:szCs w:val="18"/>
        </w:rPr>
        <w:br w:type="page"/>
      </w:r>
    </w:p>
    <w:tbl>
      <w:tblPr>
        <w:tblStyle w:val="9"/>
        <w:tblW w:w="5005"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07"/>
        <w:gridCol w:w="7587"/>
        <w:gridCol w:w="537"/>
      </w:tblGrid>
      <w:tr w14:paraId="5C41A5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trPr>
        <w:tc>
          <w:tcPr>
            <w:tcW w:w="238" w:type="pct"/>
            <w:tcBorders>
              <w:top w:val="single" w:color="auto" w:sz="4" w:space="0"/>
              <w:left w:val="single" w:color="auto" w:sz="4" w:space="0"/>
              <w:bottom w:val="single" w:color="auto" w:sz="4" w:space="0"/>
              <w:right w:val="single" w:color="auto" w:sz="4" w:space="0"/>
            </w:tcBorders>
            <w:vAlign w:val="center"/>
          </w:tcPr>
          <w:p w14:paraId="6D11E662">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7、消毒供应室追溯管理系统</w:t>
            </w:r>
          </w:p>
        </w:tc>
        <w:tc>
          <w:tcPr>
            <w:tcW w:w="4445" w:type="pct"/>
            <w:tcBorders>
              <w:top w:val="single" w:color="auto" w:sz="4" w:space="0"/>
              <w:left w:val="single" w:color="auto" w:sz="4" w:space="0"/>
              <w:bottom w:val="single" w:color="auto" w:sz="4" w:space="0"/>
              <w:right w:val="single" w:color="auto" w:sz="4" w:space="0"/>
            </w:tcBorders>
            <w:vAlign w:val="center"/>
          </w:tcPr>
          <w:p w14:paraId="50EC1C03">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一、软件总体技术要求</w:t>
            </w:r>
          </w:p>
          <w:p w14:paraId="44F5D3F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1、执行国家发布的相关强制性卫生行业标准，及二/三级综合医院评审（消毒供应室国家规范2016版）实施细则中追溯管理与持续改进的所有要求，满足中华人民共和国卫生行业标准W</w:t>
            </w:r>
            <w:r>
              <w:rPr>
                <w:rFonts w:asciiTheme="majorEastAsia" w:hAnsiTheme="majorEastAsia" w:eastAsiaTheme="majorEastAsia"/>
                <w:color w:val="auto"/>
                <w:szCs w:val="21"/>
              </w:rPr>
              <w:t>S310-2016</w:t>
            </w:r>
            <w:r>
              <w:rPr>
                <w:rFonts w:hint="eastAsia" w:asciiTheme="majorEastAsia" w:hAnsiTheme="majorEastAsia" w:eastAsiaTheme="majorEastAsia"/>
                <w:color w:val="auto"/>
                <w:szCs w:val="21"/>
              </w:rPr>
              <w:t>《医院消毒供应中心第1部分：管理规范》、《医院消毒供应中心第2部分：清洗消毒及灭菌技术操作规范》、《医院消毒供应中心第3部分：清洗消毒及灭菌效果监测标准》。追溯系统必须包含质量控制模块，对清洗包、灭菌包自动生成抽检软件包，生成Excel表格。</w:t>
            </w:r>
          </w:p>
          <w:p w14:paraId="27BA251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2、系统满足供应室质量监控指标（包括但不限于以下6项）要求，分别是：</w:t>
            </w:r>
          </w:p>
          <w:p w14:paraId="135D4D5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1）器械、器具清洗不合格发生率 </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 xml:space="preserve">2）待灭菌包包装完好性不合格率 </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 xml:space="preserve">3）灭菌方式及程序选择错误率 </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4）湿包发生率</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 xml:space="preserve">5）职业暴露发生率 </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6）去污区防护用品使用依从率，实现在线填写、统计、查询、上报。</w:t>
            </w:r>
          </w:p>
          <w:p w14:paraId="79601DE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3、系统对突发事件及异常情况的处理：系统应具备数据库安全功能，如备份功能、意外故障数据恢复功能，以保证数据不发生丢失。</w:t>
            </w:r>
          </w:p>
          <w:p w14:paraId="2DC171A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能对无菌物品供应的全过程进行实时监控，实现物品包相关操作信息的追溯，物品包状态的追踪，设备信息的记录，各项环节不合格信息的统计，成本核算等。全面提升消毒供应中心风险控制及综合管理水平。</w:t>
            </w:r>
          </w:p>
          <w:p w14:paraId="6933F1D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实现与清洗及灭菌设备的对接，在设备厂家开放其设备接口并提供设备数据以数据库视图、XML、TXT等形式提供时，系统可实时显示设备数据信息；设备厂家不开放设备接口数据时，实现高拍仪上传保存（后期新增设备或者后期设备厂家开发端口，中标人不得收取接口费用）。</w:t>
            </w:r>
          </w:p>
          <w:p w14:paraId="0C9C8D2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6、实现医院“一院多区”一体化管理，满足本院及分院的业务管理的需要，各院区间数据信息无缝衔接，实时共享。</w:t>
            </w:r>
          </w:p>
          <w:p w14:paraId="6B662AEF">
            <w:pPr>
              <w:spacing w:line="440" w:lineRule="exact"/>
              <w:rPr>
                <w:rFonts w:cs="宋体" w:asciiTheme="majorEastAsia" w:hAnsiTheme="majorEastAsia" w:eastAsiaTheme="majorEastAsia"/>
                <w:color w:val="auto"/>
                <w:szCs w:val="21"/>
              </w:rPr>
            </w:pPr>
            <w:r>
              <w:rPr>
                <w:rFonts w:cs="宋体" w:asciiTheme="majorEastAsia" w:hAnsiTheme="majorEastAsia" w:eastAsiaTheme="majorEastAsia"/>
                <w:color w:val="auto"/>
                <w:szCs w:val="21"/>
              </w:rPr>
              <w:t>7</w:t>
            </w:r>
            <w:r>
              <w:rPr>
                <w:rFonts w:hint="eastAsia" w:cs="宋体" w:asciiTheme="majorEastAsia" w:hAnsiTheme="majorEastAsia" w:eastAsiaTheme="majorEastAsia"/>
                <w:color w:val="auto"/>
                <w:szCs w:val="21"/>
              </w:rPr>
              <w:t>、系统实现接入医院现有HIS、集成平台等系统的接口，并保证对接正常进行，满足和HIS或集成平台等系统完整集成，达到信息共享、数据一致。</w:t>
            </w:r>
          </w:p>
          <w:p w14:paraId="3CEEA5B5">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二、回收清洗环节</w:t>
            </w:r>
          </w:p>
          <w:p w14:paraId="7EE49E9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1、实现正常包、感染包、过期包、借包、破损包的分类回收；实现感染包、外来器械包回收的智能提醒。</w:t>
            </w:r>
          </w:p>
          <w:p w14:paraId="6B39DF6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针对特殊感染包，系统要提醒回收人员走特殊感染包流程。</w:t>
            </w:r>
          </w:p>
          <w:p w14:paraId="301A474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实现物品和包扫码回收，无条码包的回收登记，并实现丢失器械的登记以及回收数据采集。</w:t>
            </w:r>
          </w:p>
          <w:p w14:paraId="7A442EC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实现拼音首字母查找物品包。针对回收有疑问的包，实现显示包内器械明细，图片，数量等。</w:t>
            </w:r>
          </w:p>
          <w:p w14:paraId="54EA059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2、系统具备外来器械（供货公司）的登记管理界面，外来器械厂家送器械包时，须携带唯一标识（包图片或表格数据），还需提供清洗/灭菌注意事项；二次回收时，须提醒回收人员判别此包是否继续使用。</w:t>
            </w:r>
          </w:p>
          <w:p w14:paraId="02F0F8D3">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3、实现清洗设备每日提醒做日常维护，提高清洗质量。</w:t>
            </w:r>
          </w:p>
          <w:p w14:paraId="0869CBE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实现机器清洗过程的记录：实现物品包清洗智能分类提示，每批次关联记录清洗环节工序所有信息，包含清洗责任人员、网篮、清洗设备、开始时间、结束时间、清洗步骤、清洗器械等信息，实现双人审核机制，记录异常及处理结果。</w:t>
            </w:r>
          </w:p>
          <w:p w14:paraId="71881C04">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实现清洗机数据采集，实时记录清洗时间、清洗温度（须硬件厂家开放接口，配合做对接），设备不开放端口的数据，实现电子拍照留存。</w:t>
            </w:r>
          </w:p>
          <w:p w14:paraId="27CC088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5、实现手工清洗过程的记录；</w:t>
            </w:r>
          </w:p>
          <w:p w14:paraId="7125560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6、系统具备清洗审核界面，针对清洗有问题的器械包实现反洗操作，并在配包界面挂起。</w:t>
            </w:r>
          </w:p>
          <w:p w14:paraId="08EE1BF7">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7</w:t>
            </w:r>
            <w:r>
              <w:rPr>
                <w:rFonts w:hint="eastAsia" w:asciiTheme="majorEastAsia" w:hAnsiTheme="majorEastAsia" w:eastAsiaTheme="majorEastAsia"/>
                <w:color w:val="auto"/>
                <w:szCs w:val="21"/>
              </w:rPr>
              <w:t>、清洗审核环节，系统实现提醒外来物品归还信息，便于外来器械归还于厂家。</w:t>
            </w:r>
          </w:p>
          <w:p w14:paraId="5F0799A6">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8</w:t>
            </w:r>
            <w:r>
              <w:rPr>
                <w:rFonts w:hint="eastAsia" w:asciiTheme="majorEastAsia" w:hAnsiTheme="majorEastAsia" w:eastAsiaTheme="majorEastAsia"/>
                <w:color w:val="auto"/>
                <w:szCs w:val="21"/>
              </w:rPr>
              <w:t>、实现随机做清洗抽检，并提供清洗质检界面。</w:t>
            </w:r>
          </w:p>
          <w:p w14:paraId="6B2CB542">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三、配包环节</w:t>
            </w:r>
          </w:p>
          <w:p w14:paraId="04C9F5F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1、系统实现多元化配包，实时记录包装人员、审核人员、包装日期和时间等；实现配包物品图片/视频显示或显示包中物品的种类、数量等。</w:t>
            </w:r>
          </w:p>
          <w:p w14:paraId="4CB36E3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2、系统实现高温、低温等配包选择操作，并提醒包的后续走向。</w:t>
            </w:r>
          </w:p>
          <w:p w14:paraId="647912A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系统实现临时包、外来器械包、高水平消毒包等配包操作。</w:t>
            </w:r>
          </w:p>
          <w:p w14:paraId="5307054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3、系统实现包装材料选择，并实现在线配包质检。</w:t>
            </w:r>
          </w:p>
          <w:p w14:paraId="0E86CC7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4、系统实现打印条形码标签，标签内容包含物品名称规格、</w:t>
            </w:r>
            <w:r>
              <w:rPr>
                <w:rFonts w:hint="eastAsia" w:asciiTheme="majorEastAsia" w:hAnsiTheme="majorEastAsia" w:eastAsiaTheme="majorEastAsia"/>
                <w:color w:val="auto"/>
                <w:szCs w:val="21"/>
              </w:rPr>
              <w:t>科室信息、</w:t>
            </w:r>
            <w:r>
              <w:rPr>
                <w:rFonts w:hint="eastAsia" w:asciiTheme="majorEastAsia" w:hAnsiTheme="majorEastAsia" w:eastAsiaTheme="majorEastAsia"/>
                <w:color w:val="auto"/>
                <w:szCs w:val="21"/>
              </w:rPr>
              <w:t>包装人员、灭菌日期、有效日期等；并实现补打操作。</w:t>
            </w:r>
          </w:p>
          <w:p w14:paraId="7E64EB40">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四、灭菌环节</w:t>
            </w:r>
          </w:p>
          <w:p w14:paraId="2F9D452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1、系统实现灭菌设备每日提醒做日常维护，并统计分析。</w:t>
            </w:r>
          </w:p>
          <w:p w14:paraId="3B534CC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2、系统实现灭菌设备生物监测提醒信息，可以自行设定生物监测天数提醒，系统实现该设备前一次生物监测时间和生物监测到期时间的提醒。</w:t>
            </w:r>
          </w:p>
          <w:p w14:paraId="308EA9B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3、系统实现器械包和灭菌锅的核验操作，避免高温（低温）包放进低温（高温）灭菌设备中。</w:t>
            </w:r>
          </w:p>
          <w:p w14:paraId="5F29C34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4、系统实现灭菌锅里有外来包/植入物，系统必须提醒做监测，可以按照五类爬行卡提前放行，否则不允许放行；并做统计分析。</w:t>
            </w:r>
          </w:p>
          <w:p w14:paraId="752ABCD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系统实现高温压力蒸汽灭菌器、低温灭菌器数据采集：通过从设备输出接口直接获取信息，实时采集温度、压力、湿度等参数，并获取设备运行状态信息。（须硬件厂家开放接口，配合做对接），设备不开放端口的数据，实现电子拍照留存。</w:t>
            </w:r>
          </w:p>
          <w:p w14:paraId="4784AB3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6、实现每批次关联记录灭菌环节工序所有信息，包含灭菌责任人员、灭菌设备、开始时间、结束时间、灭菌程序等信息，实现灭菌操作规范提醒，双人审核机制，记录异常及满足灭菌包质量登记工作。</w:t>
            </w:r>
          </w:p>
          <w:p w14:paraId="2E08672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7、系统实现提供生物监测结果补录界面，实现登记灭菌审核结果、审核人、审核时间，并有灭菌不合格批量召回提示功能。</w:t>
            </w:r>
          </w:p>
          <w:p w14:paraId="7D1F4E3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8、消毒供应室</w:t>
            </w:r>
            <w:r>
              <w:rPr>
                <w:rFonts w:hint="eastAsia" w:asciiTheme="majorEastAsia" w:hAnsiTheme="majorEastAsia" w:eastAsiaTheme="majorEastAsia"/>
                <w:color w:val="auto"/>
                <w:szCs w:val="21"/>
                <w:lang w:val="en-US" w:eastAsia="zh-CN"/>
              </w:rPr>
              <w:t>实现</w:t>
            </w:r>
            <w:r>
              <w:rPr>
                <w:rFonts w:hint="eastAsia" w:asciiTheme="majorEastAsia" w:hAnsiTheme="majorEastAsia" w:eastAsiaTheme="majorEastAsia"/>
                <w:color w:val="auto"/>
                <w:szCs w:val="21"/>
              </w:rPr>
              <w:t>查询到每日的手术申请及安排，需要接收到有使用外来器械手术的通知单信息。</w:t>
            </w:r>
          </w:p>
          <w:p w14:paraId="32269A99">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五、入库环节</w:t>
            </w:r>
          </w:p>
          <w:p w14:paraId="7CB69C8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1、系统实现整锅一键入库，也实现点选入库，系统须实现做库存质检，并记录入库人员和抽检信息结果。</w:t>
            </w:r>
          </w:p>
          <w:p w14:paraId="3447C06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2、系统实现在线显示生物监测结果，便于入库发放。</w:t>
            </w:r>
          </w:p>
          <w:p w14:paraId="2D3FC0A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3、实现库存盘点操作及包效期颜色分类显示。</w:t>
            </w:r>
          </w:p>
          <w:p w14:paraId="2E42CD65">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六、发放环节</w:t>
            </w:r>
          </w:p>
          <w:p w14:paraId="67C4AF2E">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1、系统实现消毒物品的发放，可记录发放人员、领用科室信息，发放时系统可自动校对数量和有效日期；并打印发放单，可以实现电子签收。</w:t>
            </w:r>
          </w:p>
          <w:p w14:paraId="4CFB0C1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系统实现按照回收单或者回收单进行发放，发放时系统可自动校对数量和有效日期；并打印发放单，可以实现电子签收。</w:t>
            </w:r>
          </w:p>
          <w:p w14:paraId="1B927F0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2、系统实现包颜色发放管理。</w:t>
            </w:r>
          </w:p>
          <w:p w14:paraId="2B8A18E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3、实现智能提示今天已灭菌、昨天已灭菌物品包，回收科室，通过扫描发货员标识条码、发放物品标识条码、送货人员标识条码，记录发货人员、发货时间、实际发货物品、物品金额、发放科室、送货人员。</w:t>
            </w:r>
          </w:p>
          <w:p w14:paraId="22810AEB">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七、使用科室管理环节</w:t>
            </w:r>
          </w:p>
          <w:p w14:paraId="169832D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1、全院各科室请领物品：系统实现回收/申请两种模式并存，实现无纸化申领机制；并可对申请单做加急操作。各申请单据可查询修改，统计查询。</w:t>
            </w:r>
          </w:p>
          <w:p w14:paraId="6C5627D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2、系统实现包的二次发放功能，便于成本分摊核算。</w:t>
            </w:r>
          </w:p>
          <w:p w14:paraId="32D86D5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3、系统实现对科室库存监控，并实现发放到指定手术间。</w:t>
            </w:r>
          </w:p>
          <w:p w14:paraId="2A61235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4、系统使用环节实现扫描枪扫描和手工录入两种方式，并可以在线标注病人状态（是否感染）。</w:t>
            </w:r>
          </w:p>
          <w:p w14:paraId="5F65974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5、系统实现成本核算。</w:t>
            </w:r>
          </w:p>
          <w:p w14:paraId="418AE1DF">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b/>
                <w:bCs/>
                <w:color w:val="auto"/>
                <w:szCs w:val="21"/>
              </w:rPr>
              <w:t>八、护士长管理平台</w:t>
            </w:r>
          </w:p>
          <w:p w14:paraId="3187E573">
            <w:pPr>
              <w:spacing w:line="440" w:lineRule="exact"/>
              <w:rPr>
                <w:rFonts w:asciiTheme="majorEastAsia" w:hAnsiTheme="majorEastAsia" w:eastAsiaTheme="majorEastAsia"/>
                <w:b/>
                <w:bCs/>
                <w:color w:val="auto"/>
                <w:szCs w:val="21"/>
              </w:rPr>
            </w:pPr>
            <w:r>
              <w:rPr>
                <w:rFonts w:hint="eastAsia" w:asciiTheme="majorEastAsia" w:hAnsiTheme="majorEastAsia" w:eastAsiaTheme="majorEastAsia"/>
                <w:color w:val="auto"/>
                <w:szCs w:val="21"/>
              </w:rPr>
              <w:t>1、基础数据管理，实现追溯系统所需基础资料的维护，包括器械包信息、器械包类型信息、器械信息、器械类型信息、科室信息、科室分组信息、人员信息、设备信息、一次性物品信息、生产厂家信息、供应商信息等。</w:t>
            </w:r>
          </w:p>
          <w:p w14:paraId="0B0B9E1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2、工作量管理、绩效考核管理：系统实现将工作量统计细化到个人，包括回收、清洗、包装、灭菌、发放等环节，辅以绩效因子，对每个人的工作量进行量化考核。</w:t>
            </w:r>
          </w:p>
          <w:p w14:paraId="025F4C18">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系统实现对消毒供应中心总工作量及工作时间段的统计与分析，并提供分析图表。</w:t>
            </w:r>
          </w:p>
          <w:p w14:paraId="2D4BBFE0">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3、成本核算管理：系统实现分类计算消毒供应中心内各项作业成本及消耗，并汇总统计。成本核算内容包含：器械包费用、器械丢损费用和物资费用等模块。</w:t>
            </w:r>
          </w:p>
          <w:p w14:paraId="4F5FFB3F">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4、系统实现物品包不合格信息的采集，以及紧急召回同批次灭菌的物品包；</w:t>
            </w:r>
          </w:p>
          <w:p w14:paraId="46807A0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系统实现自动计算重点环节的不合格率；实现异常信息的查询、统计以及报表生成。</w:t>
            </w:r>
          </w:p>
          <w:p w14:paraId="3A23779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5、系统实现调查表管理：系统实现满意度调查表在线处理和统计分析；系统实现各工作区间温度、湿度、空气净化度等登记表。</w:t>
            </w:r>
          </w:p>
          <w:p w14:paraId="06A0C2D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6、系统实现正反追溯，同批次追溯。</w:t>
            </w:r>
          </w:p>
          <w:p w14:paraId="6EE09AA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系统实现物品包全生命周期，包括同批次清洗的网篮，同批次灭菌的包；包的追踪管理。</w:t>
            </w:r>
          </w:p>
          <w:p w14:paraId="5F4D8FE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7、系统实现消息管理，便于消毒供应室护士长消息的发布。</w:t>
            </w:r>
          </w:p>
          <w:p w14:paraId="1AD550E1">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8、系统具备科室器械库管理：营造科室器械库，便于统计出目前流转的器械、报废的器械及未使用的器械的数量信息。</w:t>
            </w:r>
          </w:p>
          <w:p w14:paraId="16BD994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9、异常处理中心：针对回收、清洗，灭菌等过程中出现的异常，采取处理流程，并归纳统计；灭菌不合格物品及时召回，已发放包自动提醒，跟踪，并限制用。</w:t>
            </w:r>
          </w:p>
          <w:p w14:paraId="4FDE1E19">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10、系统实现消毒供应室各环节作业（例如：回收统计，清洗统计，配包统计，灭菌统计，发放统计，使用统计，损耗登记统计等）的统计，便于分析。</w:t>
            </w:r>
          </w:p>
          <w:p w14:paraId="201587C2">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11、系统实现外来器械统计：包括外来器械公司及器械登记，未归还器械统计、已归还器械统计、提前放行记录统计及生物监测结果统计。</w:t>
            </w:r>
          </w:p>
          <w:p w14:paraId="7D9C1D3D">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12、预警监控：过期包预警并颜色化显示；清洗和灭菌设备每天第一次使用，提醒操作人员进行做日常维护工作。</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实现全院使用的非器械包的物品进入供应室进行灭菌处理的管理流程。</w:t>
            </w:r>
          </w:p>
          <w:p w14:paraId="50E8DA96">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系统满足电子病历系统功能应用水平分级评价5级以上相关要求、系统满足互联互通标准化成熟度四级甲等以上标准相关要求、系统满足医院智慧服务分级评估3级以上相关要求。</w:t>
            </w:r>
          </w:p>
          <w:p w14:paraId="4F701C2C">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系统免费与医院相关系统无缝对接，包含但不限于：集成平台、数据中心、his系统、pacs系统、lis系统、病理系统、心电图系统、电子病历系统无缝对接等，具体以医院实际需求为准。</w:t>
            </w:r>
          </w:p>
          <w:p w14:paraId="2EDD757B">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提供本地化开发服务，功能或需求以医院实际需要为准。接入医院现有所有消毒设备</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后期医院新增设备或者后期设备厂家开发端口，中标人不得收取接口费用。</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以上提供本地化开发服务，功能或需求以医院实际需要为准。</w:t>
            </w:r>
            <w:r>
              <w:rPr>
                <w:rFonts w:hint="eastAsia"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本项目所有软件、系统和平台必须安装在院内运行。不能运行在未经医院允许的第三方平台。</w:t>
            </w:r>
          </w:p>
          <w:p w14:paraId="45AEC30A">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中标人承诺本次提供软件产品为公司最新产品，实施阶段如有新版本产生，需免费帮升级到最新版本。</w:t>
            </w:r>
          </w:p>
          <w:p w14:paraId="2136A487">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承诺软件产品没有侵权问题。如有，中标人承担所有法律责任。</w:t>
            </w:r>
          </w:p>
          <w:p w14:paraId="0F6EEC94">
            <w:pPr>
              <w:spacing w:line="440" w:lineRule="exact"/>
              <w:rPr>
                <w:rFonts w:cs="宋体" w:asciiTheme="majorEastAsia" w:hAnsiTheme="majorEastAsia" w:eastAsiaTheme="majorEastAsia"/>
                <w:color w:val="auto"/>
                <w:szCs w:val="21"/>
              </w:rPr>
            </w:pPr>
            <w:r>
              <w:rPr>
                <w:rFonts w:hint="eastAsia" w:asciiTheme="majorEastAsia" w:hAnsiTheme="majorEastAsia" w:eastAsiaTheme="majorEastAsia"/>
                <w:color w:val="auto"/>
                <w:szCs w:val="21"/>
              </w:rPr>
              <w:t>提供从系统验收合格之日起软件系统原厂</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年的免费质保服务。</w:t>
            </w:r>
          </w:p>
        </w:tc>
        <w:tc>
          <w:tcPr>
            <w:tcW w:w="315" w:type="pct"/>
            <w:tcBorders>
              <w:top w:val="single" w:color="auto" w:sz="4" w:space="0"/>
              <w:left w:val="single" w:color="auto" w:sz="4" w:space="0"/>
              <w:bottom w:val="single" w:color="auto" w:sz="4" w:space="0"/>
              <w:right w:val="single" w:color="auto" w:sz="4" w:space="0"/>
            </w:tcBorders>
            <w:vAlign w:val="center"/>
          </w:tcPr>
          <w:p w14:paraId="134C49E5">
            <w:pPr>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1项</w:t>
            </w:r>
          </w:p>
        </w:tc>
      </w:tr>
    </w:tbl>
    <w:p w14:paraId="31D88F62">
      <w:pPr>
        <w:spacing w:line="380" w:lineRule="exact"/>
        <w:rPr>
          <w:rFonts w:ascii="方正仿宋_GBK" w:hAnsi="方正仿宋_GBK" w:eastAsia="方正仿宋_GBK" w:cs="方正仿宋_GBK"/>
          <w:color w:val="auto"/>
          <w:kern w:val="0"/>
          <w:sz w:val="32"/>
          <w:szCs w:val="32"/>
        </w:rPr>
      </w:pPr>
    </w:p>
    <w:p w14:paraId="1257089E">
      <w:pPr>
        <w:spacing w:line="380" w:lineRule="exact"/>
        <w:rPr>
          <w:rFonts w:ascii="方正仿宋_GBK" w:hAnsi="方正仿宋_GBK" w:eastAsia="方正仿宋_GBK" w:cs="方正仿宋_GBK"/>
          <w:color w:val="auto"/>
          <w:kern w:val="0"/>
          <w:sz w:val="32"/>
          <w:szCs w:val="32"/>
        </w:rPr>
      </w:pPr>
    </w:p>
    <w:tbl>
      <w:tblPr>
        <w:tblStyle w:val="9"/>
        <w:tblW w:w="4984"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05"/>
        <w:gridCol w:w="7234"/>
        <w:gridCol w:w="856"/>
      </w:tblGrid>
      <w:tr w14:paraId="28C84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28" w:hRule="atLeast"/>
        </w:trPr>
        <w:tc>
          <w:tcPr>
            <w:tcW w:w="238" w:type="pct"/>
            <w:tcBorders>
              <w:top w:val="single" w:color="auto" w:sz="4" w:space="0"/>
              <w:left w:val="single" w:color="auto" w:sz="4" w:space="0"/>
              <w:bottom w:val="single" w:color="auto" w:sz="4" w:space="0"/>
              <w:right w:val="single" w:color="auto" w:sz="4" w:space="0"/>
            </w:tcBorders>
            <w:vAlign w:val="center"/>
          </w:tcPr>
          <w:p w14:paraId="472EF334">
            <w:pPr>
              <w:spacing w:line="440" w:lineRule="exact"/>
              <w:jc w:val="left"/>
              <w:rPr>
                <w:rFonts w:cs="新宋体" w:asciiTheme="majorEastAsia" w:hAnsiTheme="majorEastAsia" w:eastAsiaTheme="majorEastAsia"/>
                <w:color w:val="auto"/>
                <w:szCs w:val="21"/>
              </w:rPr>
            </w:pPr>
            <w:r>
              <w:rPr>
                <w:rFonts w:hint="eastAsia" w:cs="宋体" w:asciiTheme="majorEastAsia" w:hAnsiTheme="majorEastAsia" w:eastAsiaTheme="majorEastAsia"/>
                <w:color w:val="auto"/>
                <w:szCs w:val="21"/>
              </w:rPr>
              <w:t>8、血液透析智能管理系统</w:t>
            </w:r>
          </w:p>
        </w:tc>
        <w:tc>
          <w:tcPr>
            <w:tcW w:w="4257" w:type="pct"/>
            <w:tcBorders>
              <w:top w:val="single" w:color="auto" w:sz="4" w:space="0"/>
              <w:left w:val="single" w:color="auto" w:sz="4" w:space="0"/>
              <w:bottom w:val="single" w:color="auto" w:sz="4" w:space="0"/>
              <w:right w:val="single" w:color="auto" w:sz="4" w:space="0"/>
            </w:tcBorders>
            <w:vAlign w:val="center"/>
          </w:tcPr>
          <w:p w14:paraId="045CBA01">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w:t>
            </w:r>
            <w:r>
              <w:rPr>
                <w:rFonts w:cs="新宋体" w:asciiTheme="majorEastAsia" w:hAnsiTheme="majorEastAsia" w:eastAsiaTheme="majorEastAsia"/>
                <w:color w:val="auto"/>
                <w:szCs w:val="21"/>
              </w:rPr>
              <w:t>.</w:t>
            </w:r>
            <w:r>
              <w:rPr>
                <w:rFonts w:hint="eastAsia" w:cs="新宋体" w:asciiTheme="majorEastAsia" w:hAnsiTheme="majorEastAsia" w:eastAsiaTheme="majorEastAsia"/>
                <w:color w:val="auto"/>
                <w:szCs w:val="21"/>
              </w:rPr>
              <w:t>患者管理</w:t>
            </w:r>
          </w:p>
          <w:p w14:paraId="2E24D31B">
            <w:pPr>
              <w:numPr>
                <w:ilvl w:val="0"/>
                <w:numId w:val="61"/>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要求可提供发卡、信息编辑、转归信息、开立透析处方、电子病历查看、病历文档打印的快捷操作，减少操作过程页面跳转。</w:t>
            </w:r>
          </w:p>
          <w:p w14:paraId="2F6DFD54">
            <w:pPr>
              <w:numPr>
                <w:ilvl w:val="0"/>
                <w:numId w:val="61"/>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患者登记：系统应提供多种患者信息登记方式包括医院信息系统同步病人信息，同时满足住院病人和门诊病人的信息调取；系统需实现患者信息的手工建立。实现患者标签，自定义图标管理登记。</w:t>
            </w:r>
          </w:p>
          <w:p w14:paraId="4B9A5157">
            <w:pPr>
              <w:numPr>
                <w:ilvl w:val="0"/>
                <w:numId w:val="61"/>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患者查询：系统需提供灵活的患者信息查询功能，根据透析病案号、姓名（拼音简写、五笔简写）、医保类型（医保、自费、农保）、住院号、病人号、透析日期等多种条件进行数据筛选查询。</w:t>
            </w:r>
          </w:p>
          <w:p w14:paraId="6279D807">
            <w:pPr>
              <w:numPr>
                <w:ilvl w:val="0"/>
                <w:numId w:val="61"/>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患者转归：系统需提供患者转归记录查询、打印和导出功能，根据透析病案号、姓名、性别、出生日期、年龄、原始状态、当前状态、变更日期、操作人等多种条件进行数据筛选查询。</w:t>
            </w:r>
          </w:p>
          <w:p w14:paraId="7EB73446">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w:t>
            </w:r>
            <w:r>
              <w:rPr>
                <w:rFonts w:cs="新宋体" w:asciiTheme="majorEastAsia" w:hAnsiTheme="majorEastAsia" w:eastAsiaTheme="majorEastAsia"/>
                <w:color w:val="auto"/>
                <w:szCs w:val="21"/>
              </w:rPr>
              <w:t>.</w:t>
            </w:r>
            <w:r>
              <w:rPr>
                <w:rFonts w:hint="eastAsia" w:cs="新宋体" w:asciiTheme="majorEastAsia" w:hAnsiTheme="majorEastAsia" w:eastAsiaTheme="majorEastAsia"/>
                <w:color w:val="auto"/>
                <w:szCs w:val="21"/>
              </w:rPr>
              <w:t>透析电子病历</w:t>
            </w:r>
          </w:p>
          <w:p w14:paraId="747CAC7D">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病案首页</w:t>
            </w:r>
          </w:p>
          <w:p w14:paraId="06C81A57">
            <w:pPr>
              <w:spacing w:line="440" w:lineRule="exact"/>
              <w:ind w:left="-4" w:leftChars="-2" w:firstLine="315" w:firstLineChars="15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要求参照国家卫健委及医院的要求规范，设计符合医院实际适用的门诊透析病案首页，</w:t>
            </w:r>
            <w:r>
              <w:rPr>
                <w:rFonts w:hint="eastAsia" w:cs="新宋体" w:asciiTheme="majorEastAsia" w:hAnsiTheme="majorEastAsia" w:eastAsiaTheme="majorEastAsia"/>
                <w:color w:val="auto"/>
                <w:szCs w:val="21"/>
              </w:rPr>
              <w:t>实现全部，或者必要的信息</w:t>
            </w:r>
            <w:r>
              <w:rPr>
                <w:rFonts w:hint="eastAsia" w:cs="新宋体" w:asciiTheme="majorEastAsia" w:hAnsiTheme="majorEastAsia" w:eastAsiaTheme="majorEastAsia"/>
                <w:color w:val="auto"/>
                <w:szCs w:val="21"/>
              </w:rPr>
              <w:t>实现从医院HIS系统和EMR系统进行导入，解决医生需要多次重复录入的工作量。</w:t>
            </w:r>
          </w:p>
          <w:p w14:paraId="2EF65148">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首次病程</w:t>
            </w:r>
          </w:p>
          <w:p w14:paraId="55845735">
            <w:pPr>
              <w:spacing w:line="440" w:lineRule="exact"/>
              <w:ind w:left="-4" w:leftChars="-2" w:firstLine="315" w:firstLineChars="15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要求参照国家卫健委及医院的要求规范，设计符合医院实际适用的首次透析病程记录，</w:t>
            </w:r>
            <w:r>
              <w:rPr>
                <w:rFonts w:hint="eastAsia" w:cs="新宋体" w:asciiTheme="majorEastAsia" w:hAnsiTheme="majorEastAsia" w:eastAsiaTheme="majorEastAsia"/>
                <w:color w:val="auto"/>
                <w:szCs w:val="21"/>
              </w:rPr>
              <w:t>实现全部，或者必要的信息</w:t>
            </w:r>
            <w:r>
              <w:rPr>
                <w:rFonts w:hint="eastAsia" w:cs="新宋体" w:asciiTheme="majorEastAsia" w:hAnsiTheme="majorEastAsia" w:eastAsiaTheme="majorEastAsia"/>
                <w:color w:val="auto"/>
                <w:szCs w:val="21"/>
              </w:rPr>
              <w:t>实现从医院HIS系统和EMR系统进行导入，解决医生需要多次重复录入的工作量。</w:t>
            </w:r>
          </w:p>
          <w:p w14:paraId="08684C5E">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病程记录</w:t>
            </w:r>
          </w:p>
          <w:p w14:paraId="77D9257F">
            <w:pPr>
              <w:spacing w:line="440" w:lineRule="exact"/>
              <w:ind w:left="-71" w:leftChars="-34" w:firstLine="315" w:firstLineChars="15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系统应实现从医院电子病历系统导入患者的住院病程记录。系统应提供模板实现自动为患者生成透析病程记录。</w:t>
            </w:r>
          </w:p>
          <w:p w14:paraId="39835CC1">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阶段小结</w:t>
            </w:r>
          </w:p>
          <w:p w14:paraId="54084A2E">
            <w:pPr>
              <w:spacing w:line="440" w:lineRule="exact"/>
              <w:ind w:left="-4" w:leftChars="-2" w:firstLine="210" w:firstLineChars="1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系统应实现按预定义的模板和周期自动生成患者的阶段小结，包括月度小结、季度小结和年度小结。</w:t>
            </w:r>
          </w:p>
          <w:p w14:paraId="3A664F54">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透析病历</w:t>
            </w:r>
          </w:p>
          <w:p w14:paraId="092B183A">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需实现加载该患者的所有透析病历记录，应包括：透析记录和医嘱记录。医嘱要能够与医院的HIS系统关联，自动导入病人门诊处方和住院医嘱。</w:t>
            </w:r>
          </w:p>
          <w:p w14:paraId="7CF1F5FC">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血透信息</w:t>
            </w:r>
          </w:p>
          <w:p w14:paraId="2398BB14">
            <w:pPr>
              <w:spacing w:line="440" w:lineRule="exact"/>
              <w:ind w:firstLine="210" w:firstLineChars="1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1）透析处方：要求能制定患者的透析治疗计划以及下达透析处方。</w:t>
            </w:r>
          </w:p>
          <w:p w14:paraId="4F5C3613">
            <w:pPr>
              <w:spacing w:line="440" w:lineRule="exact"/>
              <w:ind w:firstLine="210" w:firstLineChars="100"/>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2</w:t>
            </w:r>
            <w:r>
              <w:rPr>
                <w:rFonts w:hint="eastAsia" w:cs="新宋体" w:asciiTheme="majorEastAsia" w:hAnsiTheme="majorEastAsia" w:eastAsiaTheme="majorEastAsia"/>
                <w:color w:val="auto"/>
                <w:szCs w:val="21"/>
              </w:rPr>
              <w:t>）血压测量：要求能记录患者透析日的透前和透后血压，可以手动新增。</w:t>
            </w:r>
          </w:p>
          <w:p w14:paraId="62A7458F">
            <w:pPr>
              <w:spacing w:line="440" w:lineRule="exact"/>
              <w:ind w:firstLine="210" w:firstLineChars="100"/>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3</w:t>
            </w:r>
            <w:r>
              <w:rPr>
                <w:rFonts w:hint="eastAsia" w:cs="新宋体" w:asciiTheme="majorEastAsia" w:hAnsiTheme="majorEastAsia" w:eastAsiaTheme="majorEastAsia"/>
                <w:color w:val="auto"/>
                <w:szCs w:val="21"/>
              </w:rPr>
              <w:t>）透析充分性：要求能实现人工登记spKt/v、URR等透析充分性指标，实现定期提醒给患者做透析充分性评估，根据患者的透析记录数据系统自动计算。</w:t>
            </w:r>
          </w:p>
          <w:p w14:paraId="4F49E3CE">
            <w:pPr>
              <w:spacing w:line="440" w:lineRule="exact"/>
              <w:ind w:firstLine="210" w:firstLineChars="100"/>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4</w:t>
            </w:r>
            <w:r>
              <w:rPr>
                <w:rFonts w:hint="eastAsia" w:cs="新宋体" w:asciiTheme="majorEastAsia" w:hAnsiTheme="majorEastAsia" w:eastAsiaTheme="majorEastAsia"/>
                <w:color w:val="auto"/>
                <w:szCs w:val="21"/>
              </w:rPr>
              <w:t>）合用其他透析模式：要求能记录患者合用其他透析模式的情况。</w:t>
            </w:r>
          </w:p>
          <w:p w14:paraId="45284E43">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检验检查记录</w:t>
            </w:r>
          </w:p>
          <w:p w14:paraId="0EB24D47">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实现与LIS、PCAS系统对接，通过患者的索引号（门诊号、就诊卡号、住院号、医保卡号和身份证号等）从医院LIS、PCAS系统自动后台导入患者的检验检查记录。在医院接口实现的情况下可以显示检查报告的图片信息。</w:t>
            </w:r>
          </w:p>
          <w:p w14:paraId="221CCDBE">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检验项目异常值</w:t>
            </w:r>
          </w:p>
          <w:p w14:paraId="0365715C">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要求能实现自动跟踪并列出患者所有检验报告中出现异常值的项目，对检验危急值进行弹出通知提醒。</w:t>
            </w:r>
          </w:p>
          <w:p w14:paraId="6EAD06E2">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检验检查周期提醒</w:t>
            </w:r>
          </w:p>
          <w:p w14:paraId="61F114AF">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要求系统实现设定患者相关检查检验周期定义，可根据患者医嘱执行情况、检验检查结果以及周期期限提醒复查。</w:t>
            </w:r>
          </w:p>
          <w:p w14:paraId="0CD4A1B1">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治疗方案</w:t>
            </w:r>
          </w:p>
          <w:p w14:paraId="43FE35D7">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要求能完成透析过程中医生的操作记录。包括：透前评估、确认治疗方案、医嘱开立、透后评估、透后病程记录。</w:t>
            </w:r>
          </w:p>
          <w:p w14:paraId="31E6308F">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透析治疗</w:t>
            </w:r>
          </w:p>
          <w:p w14:paraId="2DECD37E">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要求能完成透析过程中护士的操作记录。包括：透前评估、透析上机、交叉核对、监测记录、医嘱执行、透后评估、透析下机、机器消毒、透后小结。</w:t>
            </w:r>
          </w:p>
          <w:p w14:paraId="4EFF3FDE">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透析评估</w:t>
            </w:r>
          </w:p>
          <w:p w14:paraId="688D4A1B">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要求能管理当天透析病人的透析评估记录。</w:t>
            </w:r>
          </w:p>
          <w:p w14:paraId="20A5CAE2">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透析监测</w:t>
            </w:r>
          </w:p>
          <w:p w14:paraId="0A62E7D4">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要求能管理当天透析病人的透析监测记录。</w:t>
            </w:r>
          </w:p>
          <w:p w14:paraId="53FAD8A5">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透析医嘱</w:t>
            </w:r>
          </w:p>
          <w:p w14:paraId="634D4577">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1）要求能管理当天透析病人的透析中医嘱，可以加开医嘱或者撤销未执行的医嘱。</w:t>
            </w:r>
          </w:p>
          <w:p w14:paraId="36788EC0">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2）要求能实现长期医嘱，根据患者排班情况长期医嘱自动生成透析医嘱，或由医生勾选是否生成透析医嘱。</w:t>
            </w:r>
          </w:p>
          <w:p w14:paraId="7B39BD6E">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3）要求医嘱实现模板化开立，对于透析常用医嘱实现模板开立，减少医务人员开立医嘱工作量。</w:t>
            </w:r>
          </w:p>
          <w:p w14:paraId="4572DAF3">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4）要求能实现查看医嘱依从性。</w:t>
            </w:r>
          </w:p>
          <w:p w14:paraId="46E0AF3D">
            <w:pPr>
              <w:spacing w:line="440" w:lineRule="exact"/>
              <w:ind w:left="420" w:leftChars="200"/>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5)他科病人医嘱可做成模板，医生可开他科病人化验项目，化验条形码</w:t>
            </w:r>
            <w:r>
              <w:rPr>
                <w:rFonts w:hint="eastAsia" w:cs="新宋体" w:asciiTheme="majorEastAsia" w:hAnsiTheme="majorEastAsia" w:eastAsiaTheme="majorEastAsia"/>
                <w:color w:val="auto"/>
                <w:szCs w:val="21"/>
              </w:rPr>
              <w:t>。</w:t>
            </w:r>
            <w:r>
              <w:rPr>
                <w:rFonts w:cs="新宋体" w:asciiTheme="majorEastAsia" w:hAnsiTheme="majorEastAsia" w:eastAsiaTheme="majorEastAsia"/>
                <w:color w:val="auto"/>
                <w:szCs w:val="21"/>
              </w:rPr>
              <w:t>护士有权限打印6)门诊病人费用医生开医嘱后，护士有权限复核。</w:t>
            </w:r>
          </w:p>
          <w:p w14:paraId="7A81542C">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透析记录</w:t>
            </w:r>
          </w:p>
          <w:p w14:paraId="500EA098">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要求能记录病人透析期间的所有护理信息包括生命体征，病情变化情况，医嘱执行记录等。需实现多条件组合查询透析记录。CRRT记录单：实现查看并新增CRRT透析记录单。</w:t>
            </w:r>
          </w:p>
          <w:p w14:paraId="46464B3D">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消毒记录</w:t>
            </w:r>
          </w:p>
          <w:p w14:paraId="67CDC5BE">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要求能按床号分组显示当月各透析机的消毒记录，并可打印消毒记录表。</w:t>
            </w:r>
          </w:p>
          <w:p w14:paraId="63C47771">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病程记录</w:t>
            </w:r>
          </w:p>
          <w:p w14:paraId="28C0A7A8">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要求能管理当天透析病人的透析病程记录，实现根据患者当天透析数据自动生成透析病程。</w:t>
            </w:r>
          </w:p>
          <w:p w14:paraId="7D5820E7">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处方查询</w:t>
            </w:r>
          </w:p>
          <w:p w14:paraId="278E9033">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要求能统一查询和管理所有患者的透析处方，实现开立新的透析处方，实现复制透析处方，实现停用透析处方。</w:t>
            </w:r>
          </w:p>
          <w:p w14:paraId="2CF2E340">
            <w:pPr>
              <w:numPr>
                <w:ilvl w:val="0"/>
                <w:numId w:val="62"/>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透中事件管理</w:t>
            </w:r>
          </w:p>
          <w:p w14:paraId="4C9755E8">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要求能管理透析过程中发生的并发症情况，提供血透急性并发症管理的知识库。</w:t>
            </w:r>
          </w:p>
          <w:p w14:paraId="75BA0ABE">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w:t>
            </w:r>
            <w:r>
              <w:rPr>
                <w:rFonts w:cs="新宋体" w:asciiTheme="majorEastAsia" w:hAnsiTheme="majorEastAsia" w:eastAsiaTheme="majorEastAsia"/>
                <w:color w:val="auto"/>
                <w:szCs w:val="21"/>
              </w:rPr>
              <w:t>0</w:t>
            </w:r>
            <w:r>
              <w:rPr>
                <w:rFonts w:hint="eastAsia" w:cs="新宋体" w:asciiTheme="majorEastAsia" w:hAnsiTheme="majorEastAsia" w:eastAsiaTheme="majorEastAsia"/>
                <w:color w:val="auto"/>
                <w:szCs w:val="21"/>
              </w:rPr>
              <w:t>）</w:t>
            </w:r>
            <w:r>
              <w:rPr>
                <w:rFonts w:cs="新宋体" w:asciiTheme="majorEastAsia" w:hAnsiTheme="majorEastAsia" w:eastAsiaTheme="majorEastAsia"/>
                <w:color w:val="auto"/>
                <w:szCs w:val="21"/>
              </w:rPr>
              <w:t>建立CRRT床旁透析系统，全院的CRRT病人都可以在一个系统里面，未上机的</w:t>
            </w:r>
            <w:r>
              <w:rPr>
                <w:rFonts w:hint="eastAsia" w:cs="新宋体" w:asciiTheme="majorEastAsia" w:hAnsiTheme="majorEastAsia" w:eastAsiaTheme="majorEastAsia"/>
                <w:color w:val="auto"/>
                <w:szCs w:val="21"/>
              </w:rPr>
              <w:t>和</w:t>
            </w:r>
            <w:r>
              <w:rPr>
                <w:rFonts w:cs="新宋体" w:asciiTheme="majorEastAsia" w:hAnsiTheme="majorEastAsia" w:eastAsiaTheme="majorEastAsia"/>
                <w:color w:val="auto"/>
                <w:szCs w:val="21"/>
              </w:rPr>
              <w:t>已上机的都可以直接显示，体现处方。医生可直接建立电子处方，护士可打印出来执行。</w:t>
            </w:r>
          </w:p>
          <w:p w14:paraId="330E2511">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3</w:t>
            </w:r>
            <w:r>
              <w:rPr>
                <w:rFonts w:cs="新宋体" w:asciiTheme="majorEastAsia" w:hAnsiTheme="majorEastAsia" w:eastAsiaTheme="majorEastAsia"/>
                <w:color w:val="auto"/>
                <w:szCs w:val="21"/>
              </w:rPr>
              <w:t>.</w:t>
            </w:r>
            <w:r>
              <w:rPr>
                <w:rFonts w:hint="eastAsia" w:cs="新宋体" w:asciiTheme="majorEastAsia" w:hAnsiTheme="majorEastAsia" w:eastAsiaTheme="majorEastAsia"/>
                <w:color w:val="auto"/>
                <w:szCs w:val="21"/>
              </w:rPr>
              <w:t>床位管理</w:t>
            </w:r>
          </w:p>
          <w:p w14:paraId="1B9B15EA">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（1）分区管理</w:t>
            </w:r>
          </w:p>
          <w:p w14:paraId="3ADBF6C8">
            <w:pPr>
              <w:spacing w:line="440" w:lineRule="exact"/>
              <w:ind w:firstLine="42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管理科室分区数据，实现分区排序。</w:t>
            </w:r>
          </w:p>
          <w:p w14:paraId="281B4E14">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（2）床位管理</w:t>
            </w:r>
          </w:p>
          <w:p w14:paraId="0E4DA646">
            <w:pPr>
              <w:spacing w:line="440" w:lineRule="exact"/>
              <w:ind w:firstLine="42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管理每个分区下的床位数据，实现床位拖动排序。</w:t>
            </w:r>
          </w:p>
          <w:p w14:paraId="1CA3A86A">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（3）班次管理</w:t>
            </w:r>
          </w:p>
          <w:p w14:paraId="71C2F41E">
            <w:pPr>
              <w:spacing w:line="440" w:lineRule="exact"/>
              <w:ind w:firstLine="42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管理透析班次、医生班次、护士班次和其他班次数据。</w:t>
            </w:r>
          </w:p>
          <w:p w14:paraId="3F194A4B">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（4） 患者排班</w:t>
            </w:r>
          </w:p>
          <w:p w14:paraId="623758D9">
            <w:pPr>
              <w:spacing w:line="440" w:lineRule="exact"/>
              <w:ind w:firstLine="420" w:firstLineChars="200"/>
              <w:rPr>
                <w:rFonts w:cs="新宋体"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系统实现智能排班及排床功能。可以根据患者的透析频率，自动生成相关排班计划；同时根据科室透析区域及设备的具体情况，自动生成排床计划。患者登录</w:t>
            </w:r>
            <w:r>
              <w:rPr>
                <w:rFonts w:cs="新宋体" w:asciiTheme="majorEastAsia" w:hAnsiTheme="majorEastAsia" w:eastAsiaTheme="majorEastAsia"/>
                <w:color w:val="auto"/>
                <w:kern w:val="0"/>
                <w:szCs w:val="21"/>
              </w:rPr>
              <w:t>APP</w:t>
            </w:r>
            <w:r>
              <w:rPr>
                <w:rFonts w:hint="eastAsia" w:cs="新宋体" w:asciiTheme="majorEastAsia" w:hAnsiTheme="majorEastAsia" w:eastAsiaTheme="majorEastAsia"/>
                <w:color w:val="auto"/>
                <w:kern w:val="0"/>
                <w:szCs w:val="21"/>
              </w:rPr>
              <w:t>/微信小程序</w:t>
            </w:r>
            <w:r>
              <w:rPr>
                <w:rFonts w:cs="新宋体" w:asciiTheme="majorEastAsia" w:hAnsiTheme="majorEastAsia" w:eastAsiaTheme="majorEastAsia"/>
                <w:color w:val="auto"/>
                <w:kern w:val="0"/>
                <w:szCs w:val="21"/>
              </w:rPr>
              <w:t>后查阅自己的班次。</w:t>
            </w:r>
          </w:p>
          <w:p w14:paraId="691EE673">
            <w:pPr>
              <w:spacing w:line="440" w:lineRule="exact"/>
              <w:rPr>
                <w:rFonts w:cs="新宋体"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（5）医护排班</w:t>
            </w:r>
          </w:p>
          <w:p w14:paraId="51EA7ED0">
            <w:pPr>
              <w:spacing w:line="440" w:lineRule="exact"/>
              <w:ind w:firstLine="420" w:firstLineChars="200"/>
              <w:rPr>
                <w:rFonts w:cs="新宋体"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维护医生排班数据、护士排班数据和其他排班。医护排班主要进行班次排班和分区排班，实现连续排班、复制排班、同步排班和打印等功能。实现医护姓名搜索、日期检索等。医护登录系统后，可根据排班分区等信息，自动过滤负责区域的患者。</w:t>
            </w:r>
          </w:p>
          <w:p w14:paraId="4978C90C">
            <w:pPr>
              <w:spacing w:line="440" w:lineRule="exact"/>
              <w:rPr>
                <w:rFonts w:cs="新宋体"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（6）排床统计</w:t>
            </w:r>
          </w:p>
          <w:p w14:paraId="170E2620">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主要进行排床年月日统计、空床余位年月日统计、床位统计、床位利用率、空床率、患者排床统计。</w:t>
            </w:r>
          </w:p>
          <w:p w14:paraId="24527C1B">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4</w:t>
            </w:r>
            <w:r>
              <w:rPr>
                <w:rFonts w:cs="新宋体" w:asciiTheme="majorEastAsia" w:hAnsiTheme="majorEastAsia" w:eastAsiaTheme="majorEastAsia"/>
                <w:color w:val="auto"/>
                <w:szCs w:val="21"/>
              </w:rPr>
              <w:t>.</w:t>
            </w:r>
            <w:r>
              <w:rPr>
                <w:rFonts w:hint="eastAsia" w:cs="新宋体" w:asciiTheme="majorEastAsia" w:hAnsiTheme="majorEastAsia" w:eastAsiaTheme="majorEastAsia"/>
                <w:color w:val="auto"/>
                <w:szCs w:val="21"/>
              </w:rPr>
              <w:t>药品管理</w:t>
            </w:r>
          </w:p>
          <w:p w14:paraId="21382686">
            <w:pPr>
              <w:spacing w:line="440" w:lineRule="exact"/>
              <w:rPr>
                <w:rFonts w:cs="新宋体" w:asciiTheme="majorEastAsia" w:hAnsiTheme="majorEastAsia" w:eastAsiaTheme="majorEastAsia"/>
                <w:color w:val="auto"/>
                <w:szCs w:val="21"/>
                <w:lang w:val="zh-CN"/>
              </w:rPr>
            </w:pPr>
            <w:r>
              <w:rPr>
                <w:rFonts w:hint="eastAsia" w:cs="新宋体" w:asciiTheme="majorEastAsia" w:hAnsiTheme="majorEastAsia" w:eastAsiaTheme="majorEastAsia"/>
                <w:color w:val="auto"/>
                <w:szCs w:val="21"/>
                <w:lang w:val="zh-CN"/>
              </w:rPr>
              <w:t>（</w:t>
            </w:r>
            <w:r>
              <w:rPr>
                <w:rFonts w:hint="eastAsia" w:cs="新宋体" w:asciiTheme="majorEastAsia" w:hAnsiTheme="majorEastAsia" w:eastAsiaTheme="majorEastAsia"/>
                <w:color w:val="auto"/>
                <w:szCs w:val="21"/>
              </w:rPr>
              <w:t>1</w:t>
            </w:r>
            <w:r>
              <w:rPr>
                <w:rFonts w:hint="eastAsia" w:cs="新宋体" w:asciiTheme="majorEastAsia" w:hAnsiTheme="majorEastAsia" w:eastAsiaTheme="majorEastAsia"/>
                <w:color w:val="auto"/>
                <w:szCs w:val="21"/>
                <w:lang w:val="zh-CN"/>
              </w:rPr>
              <w:t>）药品管理实现采用联动设计，系统会根据对应费用自动扣减相对应的药品存量。需包括以下功能：药品登记、药品入库管理、药品库存管理、药品盘库管理.</w:t>
            </w:r>
          </w:p>
          <w:p w14:paraId="0CE7AFAD">
            <w:pPr>
              <w:spacing w:line="440" w:lineRule="exact"/>
              <w:rPr>
                <w:rFonts w:cs="新宋体" w:asciiTheme="majorEastAsia" w:hAnsiTheme="majorEastAsia" w:eastAsiaTheme="majorEastAsia"/>
                <w:color w:val="auto"/>
                <w:szCs w:val="21"/>
                <w:lang w:val="zh-CN"/>
              </w:rPr>
            </w:pPr>
            <w:r>
              <w:rPr>
                <w:rFonts w:hint="eastAsia" w:cs="新宋体" w:asciiTheme="majorEastAsia" w:hAnsiTheme="majorEastAsia" w:eastAsiaTheme="majorEastAsia"/>
                <w:color w:val="auto"/>
                <w:szCs w:val="21"/>
                <w:lang w:val="zh-CN"/>
              </w:rPr>
              <w:t>（</w:t>
            </w:r>
            <w:r>
              <w:rPr>
                <w:rFonts w:hint="eastAsia" w:cs="新宋体" w:asciiTheme="majorEastAsia" w:hAnsiTheme="majorEastAsia" w:eastAsiaTheme="majorEastAsia"/>
                <w:color w:val="auto"/>
                <w:szCs w:val="21"/>
              </w:rPr>
              <w:t>2</w:t>
            </w:r>
            <w:r>
              <w:rPr>
                <w:rFonts w:hint="eastAsia" w:cs="新宋体" w:asciiTheme="majorEastAsia" w:hAnsiTheme="majorEastAsia" w:eastAsiaTheme="majorEastAsia"/>
                <w:color w:val="auto"/>
                <w:szCs w:val="21"/>
                <w:lang w:val="zh-CN"/>
              </w:rPr>
              <w:t>）需满足根据医生开立的药品长期医嘱，自动计算出当月的执行计划并可打印；需满足药品入库的箱进支出；药品调价。</w:t>
            </w:r>
          </w:p>
          <w:p w14:paraId="0FEF844A">
            <w:pPr>
              <w:spacing w:line="440" w:lineRule="exact"/>
              <w:rPr>
                <w:rFonts w:cs="新宋体" w:asciiTheme="majorEastAsia" w:hAnsiTheme="majorEastAsia" w:eastAsiaTheme="majorEastAsia"/>
                <w:color w:val="auto"/>
                <w:szCs w:val="21"/>
                <w:lang w:val="zh-CN"/>
              </w:rPr>
            </w:pPr>
            <w:r>
              <w:rPr>
                <w:rFonts w:hint="eastAsia" w:cs="新宋体" w:asciiTheme="majorEastAsia" w:hAnsiTheme="majorEastAsia" w:eastAsiaTheme="majorEastAsia"/>
                <w:color w:val="auto"/>
                <w:szCs w:val="21"/>
                <w:lang w:val="zh-CN"/>
              </w:rPr>
              <w:t>（</w:t>
            </w:r>
            <w:r>
              <w:rPr>
                <w:rFonts w:hint="eastAsia" w:cs="新宋体" w:asciiTheme="majorEastAsia" w:hAnsiTheme="majorEastAsia" w:eastAsiaTheme="majorEastAsia"/>
                <w:color w:val="auto"/>
                <w:szCs w:val="21"/>
              </w:rPr>
              <w:t>3</w:t>
            </w:r>
            <w:r>
              <w:rPr>
                <w:rFonts w:hint="eastAsia" w:cs="新宋体" w:asciiTheme="majorEastAsia" w:hAnsiTheme="majorEastAsia" w:eastAsiaTheme="majorEastAsia"/>
                <w:color w:val="auto"/>
                <w:szCs w:val="21"/>
                <w:lang w:val="zh-CN"/>
              </w:rPr>
              <w:t>）需满足通过组套配置实现药品、耗材和费用的联动扣减；需满足患者自备药不足时医嘱扣减时自动生成科室借药记录。</w:t>
            </w:r>
          </w:p>
          <w:p w14:paraId="405C0B59">
            <w:pPr>
              <w:spacing w:line="440" w:lineRule="exact"/>
              <w:rPr>
                <w:rFonts w:cs="新宋体" w:asciiTheme="majorEastAsia" w:hAnsiTheme="majorEastAsia" w:eastAsiaTheme="majorEastAsia"/>
                <w:color w:val="auto"/>
                <w:szCs w:val="21"/>
                <w:lang w:val="zh-CN"/>
              </w:rPr>
            </w:pPr>
            <w:r>
              <w:rPr>
                <w:rFonts w:hint="eastAsia" w:cs="新宋体" w:asciiTheme="majorEastAsia" w:hAnsiTheme="majorEastAsia" w:eastAsiaTheme="majorEastAsia"/>
                <w:color w:val="auto"/>
                <w:szCs w:val="21"/>
                <w:lang w:val="zh-CN"/>
              </w:rPr>
              <w:t>（</w:t>
            </w:r>
            <w:r>
              <w:rPr>
                <w:rFonts w:hint="eastAsia" w:cs="新宋体" w:asciiTheme="majorEastAsia" w:hAnsiTheme="majorEastAsia" w:eastAsiaTheme="majorEastAsia"/>
                <w:color w:val="auto"/>
                <w:szCs w:val="21"/>
              </w:rPr>
              <w:t>4</w:t>
            </w:r>
            <w:r>
              <w:rPr>
                <w:rFonts w:hint="eastAsia" w:cs="新宋体" w:asciiTheme="majorEastAsia" w:hAnsiTheme="majorEastAsia" w:eastAsiaTheme="majorEastAsia"/>
                <w:color w:val="auto"/>
                <w:szCs w:val="21"/>
                <w:lang w:val="zh-CN"/>
              </w:rPr>
              <w:t>）需满足对药品的销库和退库进行记录；需满足药品库存预警；需满足药品使用数量统计分析。</w:t>
            </w:r>
          </w:p>
          <w:p w14:paraId="0BC0C7D2">
            <w:pPr>
              <w:spacing w:line="440" w:lineRule="exact"/>
              <w:rPr>
                <w:rFonts w:cs="新宋体" w:asciiTheme="majorEastAsia" w:hAnsiTheme="majorEastAsia" w:eastAsiaTheme="majorEastAsia"/>
                <w:color w:val="auto"/>
                <w:szCs w:val="21"/>
                <w:lang w:val="zh-CN"/>
              </w:rPr>
            </w:pPr>
            <w:r>
              <w:rPr>
                <w:rFonts w:hint="eastAsia" w:cs="新宋体" w:asciiTheme="majorEastAsia" w:hAnsiTheme="majorEastAsia" w:eastAsiaTheme="majorEastAsia"/>
                <w:color w:val="auto"/>
                <w:szCs w:val="21"/>
                <w:lang w:val="zh-CN"/>
              </w:rPr>
              <w:t>（</w:t>
            </w:r>
            <w:r>
              <w:rPr>
                <w:rFonts w:hint="eastAsia" w:cs="新宋体" w:asciiTheme="majorEastAsia" w:hAnsiTheme="majorEastAsia" w:eastAsiaTheme="majorEastAsia"/>
                <w:color w:val="auto"/>
                <w:szCs w:val="21"/>
              </w:rPr>
              <w:t>5</w:t>
            </w:r>
            <w:r>
              <w:rPr>
                <w:rFonts w:hint="eastAsia" w:cs="新宋体" w:asciiTheme="majorEastAsia" w:hAnsiTheme="majorEastAsia" w:eastAsiaTheme="majorEastAsia"/>
                <w:color w:val="auto"/>
                <w:szCs w:val="21"/>
                <w:lang w:val="zh-CN"/>
              </w:rPr>
              <w:t>）需满足药品库房管理，实现新增库房，不同药材分库房管理，及患者的自备库房进行个人药库管理。</w:t>
            </w:r>
          </w:p>
          <w:p w14:paraId="6E8AA319">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5.费用管理</w:t>
            </w:r>
          </w:p>
          <w:p w14:paraId="262943D3">
            <w:pPr>
              <w:spacing w:line="440" w:lineRule="exact"/>
              <w:ind w:firstLine="420" w:firstLineChars="200"/>
              <w:rPr>
                <w:rFonts w:cs="新宋体"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主要实现维护管理费用查询、费用模板、收费通知、费用预测。系统实现从HIS系统导入指定时间段内中心患者所有的收费记录；并实现查询患者余额、缴费、扣费等信息；方便医护开立处方或排床时快速添加患者费用项目；实现患者搜索、日期过滤，查询患者收费通知单数据；统计患者所有透析方式的排床数据，进行费用预测，方便患者预缴费用。</w:t>
            </w:r>
          </w:p>
          <w:p w14:paraId="0C31B9A1">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6.耗材管理</w:t>
            </w:r>
          </w:p>
          <w:p w14:paraId="3A7860FE">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（1）对血透中心日常使用的主要耗材进行管理，并可在核对操作时自动扣减对应的耗材，可对高值耗材可进行移动端扫码获取批号等信息，保存到系统内，并体现在透析记录单。</w:t>
            </w:r>
          </w:p>
          <w:p w14:paraId="6F181967">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（2）耗材扣减须采用联动设计，系统需能够根据系统会根据患者医保类型、透析方式、血管通路对应费用自动扣减相对应的耗材存量。当天根据医嘱和病人排班自动生成每天耗材总量，并打印。</w:t>
            </w:r>
          </w:p>
          <w:p w14:paraId="52047715">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（3）需满足耗材入库的箱进支出；需满足耗材调价；需满足通过组套配置实现药品、耗材和费用的联动扣减；</w:t>
            </w:r>
          </w:p>
          <w:p w14:paraId="2F21E30E">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（4）需满足记录耗材的销库和退库记录；需满足耗材使用数量统计分析；需满足耗材库存预警。</w:t>
            </w:r>
          </w:p>
          <w:p w14:paraId="4429608A">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（5） 满足根据排床处方数据统计班次内耗材的预统计，达到领用耗材目的；</w:t>
            </w:r>
          </w:p>
          <w:p w14:paraId="320CD5DB">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7.设备管理</w:t>
            </w:r>
          </w:p>
          <w:p w14:paraId="75465CAC">
            <w:pPr>
              <w:tabs>
                <w:tab w:val="center" w:pos="4153"/>
                <w:tab w:val="right" w:pos="8306"/>
              </w:tabs>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要求包括设备登记、设备查询、维护记录、维修记录、使用记录、使用统计等功能。实现与血透机联机采集设备的使用记录情况，实现与水处理机联机采集设备的使用记录情况。</w:t>
            </w:r>
          </w:p>
          <w:p w14:paraId="5A03A52B">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8.院感管理</w:t>
            </w:r>
          </w:p>
          <w:p w14:paraId="7D9C1192">
            <w:pPr>
              <w:tabs>
                <w:tab w:val="center" w:pos="4153"/>
                <w:tab w:val="right" w:pos="8306"/>
              </w:tabs>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要求包括水处理维护、水处理消毒、水处理加盐、透析液检测、内毒素检测、电解质检测、细菌培养、空气细菌、员工手培养、消毒剂细菌、台面细菌等。</w:t>
            </w:r>
          </w:p>
          <w:p w14:paraId="2453DF1C">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9.统计分析</w:t>
            </w:r>
          </w:p>
          <w:p w14:paraId="0CF1255E">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要求包括多种类别的统计报表：</w:t>
            </w:r>
          </w:p>
          <w:p w14:paraId="581E9515">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药品/耗材类：促红素使用量统计、抗凝剂使用量统计、耗材使用统计、耗材使用统计（按患者）、药品使用统计、药品使用统计（按患者）。</w:t>
            </w:r>
          </w:p>
          <w:p w14:paraId="6FF9782F">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检验类：</w:t>
            </w:r>
          </w:p>
          <w:p w14:paraId="5FDC9E6A">
            <w:pPr>
              <w:spacing w:line="440" w:lineRule="exact"/>
              <w:ind w:left="420"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1）钙、磷、镁、碱性磷酸酶、钙磷乘积、iPTH、血红蛋白、白蛋白、铁蛋白、叶酸、维生素B12、KT/V、URR。</w:t>
            </w:r>
          </w:p>
          <w:p w14:paraId="78984230">
            <w:pPr>
              <w:spacing w:line="440" w:lineRule="exact"/>
              <w:ind w:left="420"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2）实现自定义统计检验项目，通过筛选项目数值统计分组。可以自定义筛选条件，统计平均值，偏差值，达标率</w:t>
            </w:r>
          </w:p>
          <w:p w14:paraId="14749395">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透析类：患者年龄段分布统计、患者透析龄统计、透析方式统计（月）、透析方式统计（季度）、透析方式统计（年度）、血管通路统计、原发病诊断统计、透中事件统计、体重统计（干体重、透前体重、透后体重）、血压统计（透前血压、透中血压、透后血压）、透析监测数据统计、超滤量统计、血压与超滤率统计、透析时长统计、钠曲线统计。</w:t>
            </w:r>
          </w:p>
          <w:p w14:paraId="5967D593">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费用类：科室费用统计、患者费用统计。</w:t>
            </w:r>
          </w:p>
          <w:p w14:paraId="395B15F6">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管理类：人员统计、设备统计、护士工作量统计。</w:t>
            </w:r>
          </w:p>
          <w:p w14:paraId="5D3A07B6">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患者类：性别、年龄、民族、透析龄、既往史、诊断、来源、新增、转归、死亡、职业</w:t>
            </w:r>
          </w:p>
          <w:p w14:paraId="131CC054">
            <w:pPr>
              <w:numPr>
                <w:ilvl w:val="0"/>
                <w:numId w:val="63"/>
              </w:numPr>
              <w:spacing w:line="440" w:lineRule="exact"/>
              <w:ind w:left="0" w:firstLine="425"/>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院感类：阴转阳、透析液检测、内毒素检测、电解质检测、细菌培养</w:t>
            </w:r>
          </w:p>
          <w:p w14:paraId="6E023E36">
            <w:pPr>
              <w:numPr>
                <w:ilvl w:val="0"/>
                <w:numId w:val="64"/>
              </w:num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移动工作站</w:t>
            </w:r>
          </w:p>
          <w:p w14:paraId="61A832A2">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系统实现Android系统pad端上使用并同步更新PC端数据，方便医护人员随时记录患者治疗信息、下达医嘱、执行医嘱等。</w:t>
            </w:r>
          </w:p>
          <w:p w14:paraId="0FA47275">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系统Pad端需实现以下功能：</w:t>
            </w:r>
          </w:p>
          <w:p w14:paraId="7EE8B424">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（1）消息通知</w:t>
            </w:r>
          </w:p>
          <w:p w14:paraId="6B162AC1">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医护在患者流程中进行操作，配置了接收消息的用户将收到对应的消息通知。</w:t>
            </w:r>
          </w:p>
          <w:p w14:paraId="26C34BB3">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（2）人脸识别登录</w:t>
            </w:r>
          </w:p>
          <w:p w14:paraId="0CD3FB0B">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实现医护人员人脸识别登录。</w:t>
            </w:r>
          </w:p>
          <w:p w14:paraId="4D535C2B">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（3）移动端电子病历</w:t>
            </w:r>
          </w:p>
          <w:p w14:paraId="6D0E5D5E">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实现Android系统pad端电子病历功能。</w:t>
            </w:r>
          </w:p>
          <w:p w14:paraId="7AF8954F">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（4）移动端排班</w:t>
            </w:r>
          </w:p>
          <w:p w14:paraId="51970A55">
            <w:pPr>
              <w:spacing w:line="440" w:lineRule="exact"/>
              <w:ind w:left="420" w:hanging="420" w:hanging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实现Android系统pad端手动排床和患者快速排床及换床等功能。</w:t>
            </w:r>
            <w:r>
              <w:rPr>
                <w:rFonts w:hint="eastAsia" w:cs="新宋体" w:asciiTheme="majorEastAsia" w:hAnsiTheme="majorEastAsia" w:eastAsiaTheme="majorEastAsia"/>
                <w:color w:val="auto"/>
                <w:szCs w:val="21"/>
              </w:rPr>
              <w:br w:type="textWrapping"/>
            </w:r>
            <w:r>
              <w:rPr>
                <w:rFonts w:hint="eastAsia" w:cs="新宋体" w:asciiTheme="majorEastAsia" w:hAnsiTheme="majorEastAsia" w:eastAsiaTheme="majorEastAsia"/>
                <w:color w:val="auto"/>
                <w:szCs w:val="21"/>
              </w:rPr>
              <w:t>（5）多点穿刺（实现拍照功能，并能记录患者穿刺点位）。</w:t>
            </w:r>
          </w:p>
          <w:p w14:paraId="1F59ACE1">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11.透析机联机</w:t>
            </w:r>
          </w:p>
          <w:p w14:paraId="5FC6FE2E">
            <w:pPr>
              <w:tabs>
                <w:tab w:val="center" w:pos="4153"/>
                <w:tab w:val="right" w:pos="8306"/>
              </w:tabs>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在血透机满足数据传输的条件时，要求系统能实现对科室血透机的数据自动采集，血透机读出数据包含但不限于：治疗时间 min、动脉压 mmHg、静脉压 mmHg、跨膜压 mmHg、透析液流量 ml/h、透析液电导度 mS/cm、透析液温度 ℃、超滤率 ml/h、超滤量 ml、血流量 ml/h、血流量 L、肝素量 ml、设定治疗时间 min、设定超滤量（预脱） ml、设定血流量 ml/h、设定肝素速率 ml/h。</w:t>
            </w:r>
          </w:p>
          <w:p w14:paraId="04519CC3">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w:t>
            </w:r>
            <w:r>
              <w:rPr>
                <w:rFonts w:cs="新宋体" w:asciiTheme="majorEastAsia" w:hAnsiTheme="majorEastAsia" w:eastAsiaTheme="majorEastAsia"/>
                <w:color w:val="auto"/>
                <w:szCs w:val="21"/>
              </w:rPr>
              <w:t>2.</w:t>
            </w:r>
            <w:r>
              <w:rPr>
                <w:rFonts w:hint="eastAsia" w:cs="新宋体" w:asciiTheme="majorEastAsia" w:hAnsiTheme="majorEastAsia" w:eastAsiaTheme="majorEastAsia"/>
                <w:color w:val="auto"/>
                <w:szCs w:val="21"/>
              </w:rPr>
              <w:t>血透中央站</w:t>
            </w:r>
          </w:p>
          <w:p w14:paraId="3744EA78">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要求包含中央监测站模块，实现在科室大屏上显示，实时监测科室全部透析机工作状态并集中展示；实现在治疗中的可展示当前病人在透机器的超滤率、超滤量、血流量、温度以及剩余治疗时间等指标；</w:t>
            </w:r>
          </w:p>
          <w:p w14:paraId="4785E6B1">
            <w:pPr>
              <w:spacing w:line="440" w:lineRule="exact"/>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13.</w:t>
            </w:r>
            <w:r>
              <w:rPr>
                <w:rFonts w:hint="eastAsia" w:cs="新宋体" w:asciiTheme="majorEastAsia" w:hAnsiTheme="majorEastAsia" w:eastAsiaTheme="majorEastAsia"/>
                <w:color w:val="auto"/>
                <w:szCs w:val="21"/>
              </w:rPr>
              <w:t>质控上报</w:t>
            </w:r>
          </w:p>
          <w:p w14:paraId="3BB9A892">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血透系统在内外网完全隔离且不使用优盘拷贝的情况下实现内外网隔离数据传输一键上报的功能。能实现血液透析相关质控指标的抓取以及统计分析。实现一键上报患者数据《全国血液透析病例信息登记系统》。</w:t>
            </w:r>
          </w:p>
          <w:p w14:paraId="5E4A68AB">
            <w:pPr>
              <w:tabs>
                <w:tab w:val="right" w:leader="dot" w:pos="8398"/>
              </w:tabs>
              <w:spacing w:line="440" w:lineRule="exact"/>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14.</w:t>
            </w:r>
            <w:r>
              <w:rPr>
                <w:rFonts w:hint="eastAsia" w:cs="新宋体" w:asciiTheme="majorEastAsia" w:hAnsiTheme="majorEastAsia" w:eastAsiaTheme="majorEastAsia"/>
                <w:color w:val="auto"/>
                <w:szCs w:val="21"/>
              </w:rPr>
              <w:t>智能大屏</w:t>
            </w:r>
          </w:p>
          <w:p w14:paraId="40BB1D98">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系统综合展示患者本次上机信息、下次排班信息、治疗状态、科室宣教视频与ppt、患者叫号等。</w:t>
            </w:r>
          </w:p>
          <w:p w14:paraId="4D9C8543">
            <w:pPr>
              <w:tabs>
                <w:tab w:val="right" w:leader="dot" w:pos="8398"/>
              </w:tabs>
              <w:spacing w:line="440" w:lineRule="exact"/>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15.</w:t>
            </w:r>
            <w:r>
              <w:rPr>
                <w:rFonts w:hint="eastAsia" w:cs="新宋体" w:asciiTheme="majorEastAsia" w:hAnsiTheme="majorEastAsia" w:eastAsiaTheme="majorEastAsia"/>
                <w:color w:val="auto"/>
                <w:szCs w:val="21"/>
              </w:rPr>
              <w:t>高级搜索</w:t>
            </w:r>
          </w:p>
          <w:p w14:paraId="5D07B581">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实现系统内置的所有核心表、上百个字段之间的组合/嵌套查询；实现字段自定义维度配置，统计各区间分析报告，替代大量重复冗余工作量，为科研分析提供有力支持。</w:t>
            </w:r>
          </w:p>
          <w:p w14:paraId="012D4E57">
            <w:pPr>
              <w:tabs>
                <w:tab w:val="right" w:leader="dot" w:pos="8398"/>
              </w:tabs>
              <w:spacing w:line="440" w:lineRule="exact"/>
              <w:rPr>
                <w:rFonts w:cs="新宋体" w:asciiTheme="majorEastAsia" w:hAnsiTheme="majorEastAsia" w:eastAsiaTheme="majorEastAsia"/>
                <w:color w:val="auto"/>
                <w:szCs w:val="21"/>
              </w:rPr>
            </w:pPr>
            <w:r>
              <w:rPr>
                <w:rFonts w:cs="新宋体" w:asciiTheme="majorEastAsia" w:hAnsiTheme="majorEastAsia" w:eastAsiaTheme="majorEastAsia"/>
                <w:color w:val="auto"/>
                <w:szCs w:val="21"/>
              </w:rPr>
              <w:t>16</w:t>
            </w:r>
            <w:r>
              <w:rPr>
                <w:rFonts w:hint="eastAsia" w:cs="新宋体" w:asciiTheme="majorEastAsia" w:hAnsiTheme="majorEastAsia" w:eastAsiaTheme="majorEastAsia"/>
                <w:color w:val="auto"/>
                <w:szCs w:val="21"/>
              </w:rPr>
              <w:t>.支持多家血透中心运行</w:t>
            </w:r>
          </w:p>
          <w:p w14:paraId="7B776F87">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系统能够同时支持多家血透中心运行，并且可以保证彼此之间的数据完全隔离。针对线上多血透中心的场景可以无缝对接</w:t>
            </w:r>
            <w:r>
              <w:rPr>
                <w:rFonts w:cs="新宋体" w:asciiTheme="majorEastAsia" w:hAnsiTheme="majorEastAsia" w:eastAsiaTheme="majorEastAsia"/>
                <w:color w:val="auto"/>
                <w:szCs w:val="21"/>
              </w:rPr>
              <w:t>。</w:t>
            </w:r>
            <w:r>
              <w:rPr>
                <w:rFonts w:cs="新宋体" w:asciiTheme="majorEastAsia" w:hAnsiTheme="majorEastAsia" w:eastAsiaTheme="majorEastAsia"/>
                <w:color w:val="auto"/>
                <w:szCs w:val="21"/>
              </w:rPr>
              <w:br w:type="textWrapping"/>
            </w:r>
            <w:r>
              <w:rPr>
                <w:rFonts w:hint="eastAsia" w:cs="新宋体" w:asciiTheme="majorEastAsia" w:hAnsiTheme="majorEastAsia" w:eastAsiaTheme="majorEastAsia"/>
                <w:color w:val="auto"/>
                <w:szCs w:val="21"/>
              </w:rPr>
              <w:t>系统满足电子病历系统功能应用水平分级评价5级以上相关要求、系统满足互联互通标准化成熟度四级甲等以上标准相关要求、系统满足医院智慧服务分级评估3级以上相关要求。</w:t>
            </w:r>
          </w:p>
          <w:p w14:paraId="0F9AE7E6">
            <w:pPr>
              <w:spacing w:line="440" w:lineRule="exact"/>
              <w:ind w:firstLine="420" w:firstLineChars="200"/>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系统免费与医院相关系统无缝对接，包含但不限于：集成平台、数据中心、his系统、pacs系统、lis系统、病理系统、心电图系统、电子病历系统无缝对接等，具体以医院实际需求为准。</w:t>
            </w:r>
            <w:r>
              <w:rPr>
                <w:rFonts w:hint="eastAsia" w:cs="新宋体" w:asciiTheme="majorEastAsia" w:hAnsiTheme="majorEastAsia" w:eastAsiaTheme="majorEastAsia"/>
                <w:color w:val="auto"/>
                <w:szCs w:val="21"/>
              </w:rPr>
              <w:br w:type="textWrapping"/>
            </w:r>
            <w:r>
              <w:rPr>
                <w:rFonts w:hint="eastAsia" w:cs="新宋体" w:asciiTheme="majorEastAsia" w:hAnsiTheme="majorEastAsia" w:eastAsiaTheme="majorEastAsia"/>
                <w:color w:val="auto"/>
                <w:szCs w:val="21"/>
              </w:rPr>
              <w:t>系统接入医院现有所有血透设备</w:t>
            </w:r>
            <w:r>
              <w:rPr>
                <w:rFonts w:cs="新宋体" w:asciiTheme="majorEastAsia" w:hAnsiTheme="majorEastAsia" w:eastAsiaTheme="majorEastAsia"/>
                <w:color w:val="auto"/>
                <w:szCs w:val="21"/>
              </w:rPr>
              <w:t>。</w:t>
            </w:r>
            <w:r>
              <w:rPr>
                <w:rFonts w:hint="eastAsia" w:cs="新宋体" w:asciiTheme="majorEastAsia" w:hAnsiTheme="majorEastAsia" w:eastAsiaTheme="majorEastAsia"/>
                <w:color w:val="auto"/>
                <w:szCs w:val="21"/>
              </w:rPr>
              <w:t>维护期内免费接入医院新增血透设备</w:t>
            </w:r>
            <w:r>
              <w:rPr>
                <w:rFonts w:cs="新宋体" w:asciiTheme="majorEastAsia" w:hAnsiTheme="majorEastAsia" w:eastAsiaTheme="majorEastAsia"/>
                <w:color w:val="auto"/>
                <w:szCs w:val="21"/>
              </w:rPr>
              <w:t>。</w:t>
            </w:r>
          </w:p>
          <w:p w14:paraId="41579E96">
            <w:pPr>
              <w:spacing w:line="440" w:lineRule="exact"/>
              <w:ind w:firstLine="420" w:firstLineChars="200"/>
              <w:rPr>
                <w:rFonts w:asciiTheme="majorEastAsia" w:hAnsiTheme="majorEastAsia" w:eastAsiaTheme="majorEastAsia"/>
                <w:color w:val="auto"/>
                <w:kern w:val="0"/>
                <w:szCs w:val="21"/>
              </w:rPr>
            </w:pPr>
            <w:r>
              <w:rPr>
                <w:rFonts w:hint="eastAsia" w:cs="新宋体" w:asciiTheme="majorEastAsia" w:hAnsiTheme="majorEastAsia" w:eastAsiaTheme="majorEastAsia"/>
                <w:color w:val="auto"/>
                <w:kern w:val="0"/>
                <w:szCs w:val="21"/>
              </w:rPr>
              <w:t>提供本地化开发服务</w:t>
            </w:r>
            <w:r>
              <w:rPr>
                <w:rFonts w:cs="新宋体" w:asciiTheme="majorEastAsia" w:hAnsiTheme="majorEastAsia" w:eastAsiaTheme="majorEastAsia"/>
                <w:color w:val="auto"/>
                <w:kern w:val="0"/>
                <w:szCs w:val="21"/>
              </w:rPr>
              <w:t>，</w:t>
            </w:r>
            <w:r>
              <w:rPr>
                <w:rFonts w:hint="eastAsia" w:cs="新宋体" w:asciiTheme="majorEastAsia" w:hAnsiTheme="majorEastAsia" w:eastAsiaTheme="majorEastAsia"/>
                <w:color w:val="auto"/>
                <w:kern w:val="0"/>
                <w:szCs w:val="21"/>
              </w:rPr>
              <w:t>功能或需求以医院实际需要为准</w:t>
            </w:r>
            <w:r>
              <w:rPr>
                <w:rFonts w:cs="新宋体" w:asciiTheme="majorEastAsia" w:hAnsiTheme="majorEastAsia" w:eastAsiaTheme="majorEastAsia"/>
                <w:color w:val="auto"/>
                <w:kern w:val="0"/>
                <w:szCs w:val="21"/>
              </w:rPr>
              <w:t>。</w:t>
            </w:r>
          </w:p>
          <w:p w14:paraId="711D31BB">
            <w:pPr>
              <w:spacing w:line="440" w:lineRule="exact"/>
              <w:ind w:firstLine="420" w:firstLineChars="200"/>
              <w:rPr>
                <w:rFonts w:cs="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提供从系统验收合格之日起软件系统原厂</w:t>
            </w:r>
            <w:r>
              <w:rPr>
                <w:rFonts w:cs="新宋体" w:asciiTheme="majorEastAsia" w:hAnsiTheme="majorEastAsia" w:eastAsiaTheme="majorEastAsia"/>
                <w:color w:val="auto"/>
                <w:szCs w:val="21"/>
              </w:rPr>
              <w:t>2</w:t>
            </w:r>
            <w:r>
              <w:rPr>
                <w:rFonts w:hint="eastAsia" w:cs="新宋体" w:asciiTheme="majorEastAsia" w:hAnsiTheme="majorEastAsia" w:eastAsiaTheme="majorEastAsia"/>
                <w:color w:val="auto"/>
                <w:szCs w:val="21"/>
              </w:rPr>
              <w:t>年的免费质保服务。</w:t>
            </w:r>
          </w:p>
        </w:tc>
        <w:tc>
          <w:tcPr>
            <w:tcW w:w="504" w:type="pct"/>
            <w:tcBorders>
              <w:top w:val="single" w:color="auto" w:sz="4" w:space="0"/>
              <w:left w:val="single" w:color="auto" w:sz="4" w:space="0"/>
              <w:bottom w:val="single" w:color="auto" w:sz="4" w:space="0"/>
              <w:right w:val="single" w:color="auto" w:sz="4" w:space="0"/>
            </w:tcBorders>
            <w:vAlign w:val="center"/>
          </w:tcPr>
          <w:p w14:paraId="19D83498">
            <w:pPr>
              <w:spacing w:line="440" w:lineRule="exact"/>
              <w:rPr>
                <w:rFonts w:cs="新宋体" w:asciiTheme="majorEastAsia" w:hAnsiTheme="majorEastAsia" w:eastAsiaTheme="majorEastAsia"/>
                <w:color w:val="auto"/>
                <w:szCs w:val="21"/>
              </w:rPr>
            </w:pPr>
            <w:r>
              <w:rPr>
                <w:rFonts w:hint="eastAsia" w:cs="新宋体" w:asciiTheme="majorEastAsia" w:hAnsiTheme="majorEastAsia" w:eastAsiaTheme="majorEastAsia"/>
                <w:color w:val="auto"/>
                <w:szCs w:val="21"/>
              </w:rPr>
              <w:t>1项</w:t>
            </w:r>
          </w:p>
        </w:tc>
      </w:tr>
    </w:tbl>
    <w:p w14:paraId="6A1A59C9">
      <w:pPr>
        <w:spacing w:line="380" w:lineRule="exact"/>
        <w:rPr>
          <w:rFonts w:ascii="方正仿宋_GBK" w:hAnsi="方正仿宋_GBK" w:eastAsia="方正仿宋_GBK" w:cs="方正仿宋_GBK"/>
          <w:color w:val="auto"/>
          <w:kern w:val="0"/>
          <w:sz w:val="32"/>
          <w:szCs w:val="32"/>
        </w:rPr>
      </w:pPr>
    </w:p>
    <w:p w14:paraId="382530BC">
      <w:pPr>
        <w:spacing w:line="380" w:lineRule="exact"/>
        <w:rPr>
          <w:rFonts w:ascii="方正仿宋_GBK" w:hAnsi="方正仿宋_GBK" w:eastAsia="方正仿宋_GBK" w:cs="方正仿宋_GBK"/>
          <w:color w:val="auto"/>
          <w:kern w:val="0"/>
          <w:sz w:val="32"/>
          <w:szCs w:val="32"/>
        </w:rPr>
      </w:pPr>
    </w:p>
    <w:p w14:paraId="7023943F">
      <w:pPr>
        <w:spacing w:line="380" w:lineRule="exact"/>
        <w:rPr>
          <w:rFonts w:ascii="方正仿宋_GBK" w:hAnsi="方正仿宋_GBK" w:eastAsia="方正仿宋_GBK" w:cs="方正仿宋_GBK"/>
          <w:color w:val="auto"/>
          <w:kern w:val="0"/>
          <w:sz w:val="32"/>
          <w:szCs w:val="32"/>
        </w:rPr>
      </w:pPr>
    </w:p>
    <w:p w14:paraId="544E0D21">
      <w:pPr>
        <w:spacing w:line="380" w:lineRule="exact"/>
        <w:rPr>
          <w:rFonts w:ascii="方正仿宋_GBK" w:hAnsi="方正仿宋_GBK" w:eastAsia="方正仿宋_GBK" w:cs="方正仿宋_GBK"/>
          <w:color w:val="auto"/>
          <w:kern w:val="0"/>
          <w:sz w:val="32"/>
          <w:szCs w:val="32"/>
        </w:rPr>
      </w:pPr>
      <w:r>
        <w:rPr>
          <w:rFonts w:ascii="方正仿宋_GBK" w:hAnsi="方正仿宋_GBK" w:eastAsia="方正仿宋_GBK" w:cs="方正仿宋_GBK"/>
          <w:color w:val="auto"/>
          <w:kern w:val="0"/>
          <w:sz w:val="32"/>
          <w:szCs w:val="32"/>
        </w:rPr>
        <w:br w:type="page"/>
      </w:r>
    </w:p>
    <w:p w14:paraId="2F2FE4B2">
      <w:pPr>
        <w:wordWrap w:val="0"/>
        <w:autoSpaceDE w:val="0"/>
        <w:autoSpaceDN w:val="0"/>
        <w:adjustRightInd w:val="0"/>
        <w:spacing w:line="560" w:lineRule="exact"/>
        <w:ind w:firstLine="422" w:firstLineChars="200"/>
        <w:rPr>
          <w:rFonts w:ascii="宋体" w:hAnsi="宋体" w:cs="方正仿宋_GBK"/>
          <w:b/>
          <w:bCs/>
          <w:color w:val="auto"/>
          <w:szCs w:val="21"/>
        </w:rPr>
      </w:pPr>
      <w:r>
        <w:rPr>
          <w:rFonts w:hint="eastAsia" w:ascii="宋体" w:hAnsi="宋体" w:cs="方正仿宋_GBK"/>
          <w:b/>
          <w:bCs/>
          <w:color w:val="auto"/>
          <w:szCs w:val="21"/>
        </w:rPr>
        <w:t>三、整体项目实施服务</w:t>
      </w:r>
    </w:p>
    <w:tbl>
      <w:tblPr>
        <w:tblStyle w:val="9"/>
        <w:tblW w:w="4906"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4"/>
        <w:gridCol w:w="627"/>
        <w:gridCol w:w="6524"/>
        <w:gridCol w:w="567"/>
      </w:tblGrid>
      <w:tr w14:paraId="1F296A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tcBorders>
              <w:top w:val="single" w:color="auto" w:sz="4" w:space="0"/>
              <w:left w:val="single" w:color="auto" w:sz="4" w:space="0"/>
              <w:right w:val="single" w:color="auto" w:sz="4" w:space="0"/>
            </w:tcBorders>
            <w:vAlign w:val="center"/>
          </w:tcPr>
          <w:p w14:paraId="7D7557A6">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项目名称</w:t>
            </w:r>
          </w:p>
        </w:tc>
        <w:tc>
          <w:tcPr>
            <w:tcW w:w="375" w:type="pct"/>
            <w:tcBorders>
              <w:left w:val="single" w:color="auto" w:sz="4" w:space="0"/>
              <w:bottom w:val="single" w:color="auto" w:sz="4" w:space="0"/>
              <w:right w:val="single" w:color="auto" w:sz="4" w:space="0"/>
            </w:tcBorders>
            <w:vAlign w:val="center"/>
          </w:tcPr>
          <w:p w14:paraId="34E9BC76">
            <w:pPr>
              <w:widowControl/>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内容</w:t>
            </w:r>
          </w:p>
        </w:tc>
        <w:tc>
          <w:tcPr>
            <w:tcW w:w="3901" w:type="pct"/>
            <w:tcBorders>
              <w:top w:val="single" w:color="auto" w:sz="4" w:space="0"/>
              <w:left w:val="single" w:color="auto" w:sz="4" w:space="0"/>
              <w:bottom w:val="single" w:color="auto" w:sz="4" w:space="0"/>
              <w:right w:val="single" w:color="auto" w:sz="4" w:space="0"/>
            </w:tcBorders>
            <w:vAlign w:val="center"/>
          </w:tcPr>
          <w:p w14:paraId="7D7C6E52">
            <w:pPr>
              <w:spacing w:line="440" w:lineRule="exact"/>
              <w:ind w:firstLine="420" w:firstLineChars="200"/>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技术参数</w:t>
            </w:r>
          </w:p>
        </w:tc>
        <w:tc>
          <w:tcPr>
            <w:tcW w:w="339" w:type="pct"/>
            <w:tcBorders>
              <w:top w:val="single" w:color="auto" w:sz="4" w:space="0"/>
              <w:left w:val="single" w:color="auto" w:sz="4" w:space="0"/>
              <w:bottom w:val="single" w:color="auto" w:sz="4" w:space="0"/>
              <w:right w:val="single" w:color="auto" w:sz="4" w:space="0"/>
            </w:tcBorders>
            <w:vAlign w:val="center"/>
          </w:tcPr>
          <w:p w14:paraId="6F08F751">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数量</w:t>
            </w:r>
          </w:p>
        </w:tc>
      </w:tr>
      <w:tr w14:paraId="71921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restart"/>
            <w:tcBorders>
              <w:top w:val="single" w:color="auto" w:sz="4" w:space="0"/>
              <w:left w:val="single" w:color="auto" w:sz="4" w:space="0"/>
              <w:right w:val="single" w:color="auto" w:sz="4" w:space="0"/>
            </w:tcBorders>
            <w:vAlign w:val="center"/>
          </w:tcPr>
          <w:p w14:paraId="33396352">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9、整体项目实施服务</w:t>
            </w:r>
          </w:p>
        </w:tc>
        <w:tc>
          <w:tcPr>
            <w:tcW w:w="375" w:type="pct"/>
            <w:tcBorders>
              <w:left w:val="single" w:color="auto" w:sz="4" w:space="0"/>
              <w:bottom w:val="single" w:color="auto" w:sz="4" w:space="0"/>
              <w:right w:val="single" w:color="auto" w:sz="4" w:space="0"/>
            </w:tcBorders>
            <w:vAlign w:val="center"/>
          </w:tcPr>
          <w:p w14:paraId="1048C6CB">
            <w:pPr>
              <w:widowControl/>
              <w:spacing w:line="440" w:lineRule="exact"/>
              <w:rPr>
                <w:rFonts w:cs="宋体" w:asciiTheme="majorEastAsia" w:hAnsiTheme="majorEastAsia" w:eastAsiaTheme="majorEastAsia"/>
                <w:color w:val="auto"/>
                <w:kern w:val="0"/>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.评级及接口要求</w:t>
            </w:r>
          </w:p>
        </w:tc>
        <w:tc>
          <w:tcPr>
            <w:tcW w:w="3901" w:type="pct"/>
            <w:tcBorders>
              <w:top w:val="single" w:color="auto" w:sz="4" w:space="0"/>
              <w:left w:val="single" w:color="auto" w:sz="4" w:space="0"/>
              <w:bottom w:val="single" w:color="auto" w:sz="4" w:space="0"/>
              <w:right w:val="single" w:color="auto" w:sz="4" w:space="0"/>
            </w:tcBorders>
            <w:vAlign w:val="center"/>
          </w:tcPr>
          <w:p w14:paraId="573BFEF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确保本项目系统均能满足电子病历系统功能应用水平分级评价5级以上相关要求、满足互联互通标准化成熟度四级甲等以上标准相关要求、满足医院智慧服务分级评估3级以上相关要求。</w:t>
            </w:r>
          </w:p>
          <w:p w14:paraId="3E22C07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提供本项目系统免费与医院相关系统无缝对接服务，包括但不限于：集成平台、数据中心、his系统、pacs系统、lis系统、病理系统、心电图系统、电子病历系统</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广西全民健康信息平台</w:t>
            </w:r>
            <w:r>
              <w:rPr>
                <w:rFonts w:asciiTheme="majorEastAsia" w:hAnsiTheme="majorEastAsia" w:eastAsiaTheme="majorEastAsia"/>
                <w:color w:val="auto"/>
                <w:szCs w:val="21"/>
              </w:rPr>
              <w:t>、患者签名接口，药品采购接口，病案签章接口，病案统计系统接口，病案示踪管理系统接口，住院静配系统接口，自助机接口，</w:t>
            </w:r>
            <w:r>
              <w:rPr>
                <w:rFonts w:hint="eastAsia" w:asciiTheme="majorEastAsia" w:hAnsiTheme="majorEastAsia" w:eastAsiaTheme="majorEastAsia"/>
                <w:color w:val="auto"/>
                <w:szCs w:val="21"/>
              </w:rPr>
              <w:t>广西居民健康信息平台</w:t>
            </w:r>
            <w:r>
              <w:rPr>
                <w:rFonts w:asciiTheme="majorEastAsia" w:hAnsiTheme="majorEastAsia" w:eastAsiaTheme="majorEastAsia"/>
                <w:color w:val="auto"/>
                <w:szCs w:val="21"/>
              </w:rPr>
              <w:t>接口，不良事件管理系统接口，HRP系统接口，市民健康卡接口，医护CA数字认证接口，采血排队系统接口，住院包药机接口，医技治疗文书接口，发热门诊上报接口，病理系统接口，合理用药系统接口，检验系统</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LIS</w:t>
            </w:r>
            <w:r>
              <w:rPr>
                <w:rFonts w:hint="eastAsia" w:asciiTheme="majorEastAsia" w:hAnsiTheme="majorEastAsia" w:eastAsiaTheme="majorEastAsia"/>
                <w:color w:val="auto"/>
                <w:szCs w:val="21"/>
              </w:rPr>
              <w:t>）</w:t>
            </w:r>
            <w:r>
              <w:rPr>
                <w:rFonts w:asciiTheme="majorEastAsia" w:hAnsiTheme="majorEastAsia" w:eastAsiaTheme="majorEastAsia"/>
                <w:color w:val="auto"/>
                <w:szCs w:val="21"/>
              </w:rPr>
              <w:t>接口，药房排队呼叫系统接口，血液透析系统接口，流感医疗服务监测系统接口，药师审方干预系统接口，医院企业app接口，社区双向转诊接口，DRG接口，处方点评系统接口，成本核算接口，短信推送接口，输血管理系统接口，重症监护系统接口，语音报价器接口，国家医保接口，</w:t>
            </w:r>
            <w:r>
              <w:rPr>
                <w:rFonts w:hint="eastAsia" w:asciiTheme="majorEastAsia" w:hAnsiTheme="majorEastAsia" w:eastAsiaTheme="majorEastAsia"/>
                <w:color w:val="auto"/>
                <w:szCs w:val="21"/>
              </w:rPr>
              <w:t>广西壮族自治区医保接口</w:t>
            </w:r>
            <w:r>
              <w:rPr>
                <w:rFonts w:asciiTheme="majorEastAsia" w:hAnsiTheme="majorEastAsia" w:eastAsiaTheme="majorEastAsia"/>
                <w:color w:val="auto"/>
                <w:szCs w:val="21"/>
              </w:rPr>
              <w:t>、电子健康卡接口，医保电子凭证接口，院感系统接口</w:t>
            </w:r>
            <w:r>
              <w:rPr>
                <w:rFonts w:hint="eastAsia" w:asciiTheme="majorEastAsia" w:hAnsiTheme="majorEastAsia" w:eastAsiaTheme="majorEastAsia"/>
                <w:color w:val="auto"/>
                <w:szCs w:val="21"/>
              </w:rPr>
              <w:t>等无缝对接，具体以医院实际需求为准。</w:t>
            </w:r>
          </w:p>
          <w:p w14:paraId="781B514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本项目所有软件</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系统和平台必须安装在院内运行</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且满足全院所有科室和人员使用</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不限点数</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且实现多院区和下级卫生医疗机构同步使用</w:t>
            </w:r>
            <w:r>
              <w:rPr>
                <w:rFonts w:asciiTheme="majorEastAsia" w:hAnsiTheme="majorEastAsia" w:eastAsiaTheme="majorEastAsia"/>
                <w:color w:val="auto"/>
                <w:szCs w:val="21"/>
              </w:rPr>
              <w:t>。</w:t>
            </w:r>
          </w:p>
          <w:p w14:paraId="748C082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以上提供本地化开发服务，功能或需求以医院实际需要为准。提供his系统和电子病历应用级系统源代码、所有系统的数据库权限、结构和相关技术文档</w:t>
            </w:r>
            <w:r>
              <w:rPr>
                <w:rFonts w:asciiTheme="majorEastAsia" w:hAnsiTheme="majorEastAsia" w:eastAsiaTheme="majorEastAsia"/>
                <w:color w:val="auto"/>
                <w:szCs w:val="21"/>
              </w:rPr>
              <w:t>。</w:t>
            </w:r>
          </w:p>
        </w:tc>
        <w:tc>
          <w:tcPr>
            <w:tcW w:w="339" w:type="pct"/>
            <w:tcBorders>
              <w:top w:val="single" w:color="auto" w:sz="4" w:space="0"/>
              <w:left w:val="single" w:color="auto" w:sz="4" w:space="0"/>
              <w:bottom w:val="single" w:color="auto" w:sz="4" w:space="0"/>
              <w:right w:val="single" w:color="auto" w:sz="4" w:space="0"/>
            </w:tcBorders>
            <w:vAlign w:val="center"/>
          </w:tcPr>
          <w:p w14:paraId="4583B88D">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6A15A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6E03D785">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09E8171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.项目实施要求</w:t>
            </w:r>
          </w:p>
        </w:tc>
        <w:tc>
          <w:tcPr>
            <w:tcW w:w="3901" w:type="pct"/>
            <w:tcBorders>
              <w:top w:val="single" w:color="auto" w:sz="4" w:space="0"/>
              <w:left w:val="single" w:color="auto" w:sz="4" w:space="0"/>
              <w:bottom w:val="single" w:color="auto" w:sz="4" w:space="0"/>
              <w:right w:val="single" w:color="auto" w:sz="4" w:space="0"/>
            </w:tcBorders>
            <w:vAlign w:val="center"/>
          </w:tcPr>
          <w:p w14:paraId="3B6F493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交货期：合同签订后一周内，</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应派实施人员和研发人员入场实施。合同签订日起</w:t>
            </w:r>
            <w:r>
              <w:rPr>
                <w:rFonts w:asciiTheme="majorEastAsia" w:hAnsiTheme="majorEastAsia" w:eastAsiaTheme="majorEastAsia"/>
                <w:color w:val="auto"/>
                <w:szCs w:val="21"/>
              </w:rPr>
              <w:t>3</w:t>
            </w:r>
            <w:r>
              <w:rPr>
                <w:rFonts w:hint="eastAsia" w:asciiTheme="majorEastAsia" w:hAnsiTheme="majorEastAsia" w:eastAsiaTheme="majorEastAsia"/>
                <w:color w:val="auto"/>
                <w:szCs w:val="21"/>
              </w:rPr>
              <w:t>个月内完成集成平台部署并完成现有系统的接口对接</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合同签订日起</w:t>
            </w:r>
            <w:r>
              <w:rPr>
                <w:rFonts w:asciiTheme="majorEastAsia" w:hAnsiTheme="majorEastAsia" w:eastAsiaTheme="majorEastAsia"/>
                <w:color w:val="auto"/>
                <w:szCs w:val="21"/>
              </w:rPr>
              <w:t>6</w:t>
            </w:r>
            <w:r>
              <w:rPr>
                <w:rFonts w:hint="eastAsia" w:asciiTheme="majorEastAsia" w:hAnsiTheme="majorEastAsia" w:eastAsiaTheme="majorEastAsia"/>
                <w:color w:val="auto"/>
                <w:szCs w:val="21"/>
              </w:rPr>
              <w:t>个月内完成电子病历系统</w:t>
            </w:r>
            <w:r>
              <w:rPr>
                <w:rFonts w:asciiTheme="majorEastAsia" w:hAnsiTheme="majorEastAsia" w:eastAsiaTheme="majorEastAsia"/>
                <w:color w:val="auto"/>
                <w:szCs w:val="21"/>
              </w:rPr>
              <w:t>、HIS</w:t>
            </w:r>
            <w:r>
              <w:rPr>
                <w:rFonts w:hint="eastAsia" w:asciiTheme="majorEastAsia" w:hAnsiTheme="majorEastAsia" w:eastAsiaTheme="majorEastAsia"/>
                <w:color w:val="auto"/>
                <w:szCs w:val="21"/>
              </w:rPr>
              <w:t>系统</w:t>
            </w:r>
            <w:r>
              <w:rPr>
                <w:rFonts w:asciiTheme="majorEastAsia" w:hAnsiTheme="majorEastAsia" w:eastAsiaTheme="majorEastAsia"/>
                <w:color w:val="auto"/>
                <w:szCs w:val="21"/>
              </w:rPr>
              <w:t>、LIS</w:t>
            </w:r>
            <w:r>
              <w:rPr>
                <w:rFonts w:hint="eastAsia" w:asciiTheme="majorEastAsia" w:hAnsiTheme="majorEastAsia" w:eastAsiaTheme="majorEastAsia"/>
                <w:color w:val="auto"/>
                <w:szCs w:val="21"/>
              </w:rPr>
              <w:t>系统验收上线</w:t>
            </w:r>
            <w:r>
              <w:rPr>
                <w:rFonts w:asciiTheme="majorEastAsia" w:hAnsiTheme="majorEastAsia" w:eastAsiaTheme="majorEastAsia"/>
                <w:color w:val="auto"/>
                <w:szCs w:val="21"/>
              </w:rPr>
              <w:t>，15</w:t>
            </w:r>
            <w:r>
              <w:rPr>
                <w:rFonts w:hint="eastAsia" w:asciiTheme="majorEastAsia" w:hAnsiTheme="majorEastAsia" w:eastAsiaTheme="majorEastAsia"/>
                <w:color w:val="auto"/>
                <w:szCs w:val="21"/>
              </w:rPr>
              <w:t>个月内完成本项目所有系统上线</w:t>
            </w:r>
            <w:r>
              <w:rPr>
                <w:rFonts w:asciiTheme="majorEastAsia" w:hAnsiTheme="majorEastAsia" w:eastAsiaTheme="majorEastAsia"/>
                <w:color w:val="auto"/>
                <w:szCs w:val="21"/>
              </w:rPr>
              <w:t>，3</w:t>
            </w:r>
            <w:r>
              <w:rPr>
                <w:rFonts w:hint="eastAsia" w:asciiTheme="majorEastAsia" w:hAnsiTheme="majorEastAsia" w:eastAsiaTheme="majorEastAsia"/>
                <w:color w:val="auto"/>
                <w:szCs w:val="21"/>
              </w:rPr>
              <w:t>年内完成本项目实施与交付</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完成相关评级工作。</w:t>
            </w:r>
          </w:p>
          <w:p w14:paraId="01998A8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交货地点：广西壮族自治区江滨医院</w:t>
            </w:r>
          </w:p>
          <w:p w14:paraId="40D98DE7">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实施团队的工作地点和工作内容由采购人安排并提供办公场地。项目组成员需严格遵守医院有关管理制度，包括考勤制度、着装要求等。</w:t>
            </w:r>
          </w:p>
          <w:p w14:paraId="3285C51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不得擅自变动团队成员，如遇特殊情况须变动须征得招标人同意。 </w:t>
            </w:r>
          </w:p>
          <w:p w14:paraId="4B50D56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提供电子病历五级测评技术支撑服务，要求提供以下咨询服务：项目差距调研分析评估、网上申报过程指导、实证材料准备与指导、现场测评支撑服务。</w:t>
            </w:r>
          </w:p>
          <w:p w14:paraId="0E58C38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提供互联互通四甲测评技术支撑服务，要求提供以下咨询服务：项目差距调研分析评估服务、申报材料整理的指导和准备、网上申报支撑、实验室测评支持、文审答辩支持、现场测评支持服务。</w:t>
            </w:r>
          </w:p>
          <w:p w14:paraId="555B23D7">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提供智慧服务</w:t>
            </w:r>
            <w:r>
              <w:rPr>
                <w:rFonts w:asciiTheme="majorEastAsia" w:hAnsiTheme="majorEastAsia" w:eastAsiaTheme="majorEastAsia"/>
                <w:color w:val="auto"/>
                <w:szCs w:val="21"/>
              </w:rPr>
              <w:t>3</w:t>
            </w:r>
            <w:r>
              <w:rPr>
                <w:rFonts w:hint="eastAsia" w:asciiTheme="majorEastAsia" w:hAnsiTheme="majorEastAsia" w:eastAsiaTheme="majorEastAsia"/>
                <w:color w:val="auto"/>
                <w:szCs w:val="21"/>
              </w:rPr>
              <w:t>级测评技术支撑服务，要求提供以下咨询服务：项目差距调研分析评估服务、申报材料整理的指导和准备、网上申报支撑、实验室测评支持、文审答辩支持、现场测评支持服务。</w:t>
            </w:r>
          </w:p>
          <w:p w14:paraId="622FFD7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必须确保在整个项目过程中遵守国家及行业相关法规、标准和规范，如果已有产品或工作模式在标准和规范方面存在缺陷，中标人必须在本项目实施过程中予以改正。</w:t>
            </w:r>
          </w:p>
          <w:p w14:paraId="369BF15B">
            <w:pPr>
              <w:spacing w:line="440" w:lineRule="exact"/>
              <w:ind w:firstLine="420" w:firstLineChars="20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中标人承诺本次提供软件产品为</w:t>
            </w:r>
            <w:r>
              <w:rPr>
                <w:rFonts w:hint="eastAsia" w:asciiTheme="majorEastAsia" w:hAnsiTheme="majorEastAsia" w:eastAsiaTheme="majorEastAsia"/>
                <w:color w:val="auto"/>
                <w:szCs w:val="21"/>
              </w:rPr>
              <w:t>软件提供厂家最新产品，实施阶段如有新版本产生，需免费帮升级到最新版本。承诺软件产品没有侵权问题</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如有</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中标人承担相应法律责任</w:t>
            </w:r>
            <w:r>
              <w:rPr>
                <w:rFonts w:asciiTheme="majorEastAsia" w:hAnsiTheme="majorEastAsia" w:eastAsiaTheme="majorEastAsia"/>
                <w:color w:val="auto"/>
                <w:szCs w:val="21"/>
              </w:rPr>
              <w:t>。</w:t>
            </w:r>
            <w:r>
              <w:rPr>
                <w:rFonts w:asciiTheme="majorEastAsia" w:hAnsiTheme="majorEastAsia" w:eastAsiaTheme="majorEastAsia"/>
                <w:color w:val="auto"/>
                <w:szCs w:val="21"/>
              </w:rPr>
              <w:br w:type="textWrapping"/>
            </w:r>
            <w:r>
              <w:rPr>
                <w:rFonts w:hint="eastAsia" w:asciiTheme="majorEastAsia" w:hAnsiTheme="majorEastAsia" w:eastAsiaTheme="majorEastAsia"/>
                <w:color w:val="auto"/>
                <w:szCs w:val="21"/>
              </w:rPr>
              <w:t>投标人在投标文件中，应针对项目制定合理的实施步骤，包含需求调研、客户化改造、测试、数据准备、培训考核等。</w:t>
            </w:r>
          </w:p>
          <w:p w14:paraId="75E0BA1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投标人在投标文件中应提供切实可行的实施工作进度保障方案及控制措施，以确保项目质量和进度。</w:t>
            </w:r>
          </w:p>
          <w:p w14:paraId="2CC3456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如在项目实施过程中需要调整内容、进度等，需经双方共同同意，按合同变更程序办理。</w:t>
            </w:r>
          </w:p>
          <w:p w14:paraId="6AE14B6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在项目实施过程中需提供相关系统的数据库支撑服务。</w:t>
            </w:r>
          </w:p>
        </w:tc>
        <w:tc>
          <w:tcPr>
            <w:tcW w:w="339" w:type="pct"/>
            <w:tcBorders>
              <w:top w:val="single" w:color="auto" w:sz="4" w:space="0"/>
              <w:left w:val="single" w:color="auto" w:sz="4" w:space="0"/>
              <w:bottom w:val="single" w:color="auto" w:sz="4" w:space="0"/>
              <w:right w:val="single" w:color="auto" w:sz="4" w:space="0"/>
            </w:tcBorders>
            <w:vAlign w:val="center"/>
          </w:tcPr>
          <w:p w14:paraId="313603EB">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0E31E1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48DE6EDE">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3889A385">
            <w:pPr>
              <w:widowControl/>
              <w:spacing w:line="440" w:lineRule="exact"/>
              <w:jc w:val="center"/>
              <w:rPr>
                <w:rFonts w:cs="宋体" w:asciiTheme="majorEastAsia" w:hAnsiTheme="majorEastAsia" w:eastAsiaTheme="majorEastAsia"/>
                <w:color w:val="auto"/>
                <w:kern w:val="0"/>
                <w:szCs w:val="21"/>
              </w:rPr>
            </w:pPr>
            <w:r>
              <w:rPr>
                <w:rFonts w:asciiTheme="majorEastAsia" w:hAnsiTheme="majorEastAsia" w:eastAsiaTheme="majorEastAsia"/>
                <w:color w:val="auto"/>
                <w:szCs w:val="21"/>
              </w:rPr>
              <w:t>3</w:t>
            </w:r>
            <w:r>
              <w:rPr>
                <w:rFonts w:hint="eastAsia" w:asciiTheme="majorEastAsia" w:hAnsiTheme="majorEastAsia" w:eastAsiaTheme="majorEastAsia"/>
                <w:color w:val="auto"/>
                <w:szCs w:val="21"/>
              </w:rPr>
              <w:t>.实施团队要求</w:t>
            </w:r>
          </w:p>
        </w:tc>
        <w:tc>
          <w:tcPr>
            <w:tcW w:w="3901" w:type="pct"/>
            <w:tcBorders>
              <w:top w:val="single" w:color="auto" w:sz="4" w:space="0"/>
              <w:left w:val="single" w:color="auto" w:sz="4" w:space="0"/>
              <w:bottom w:val="single" w:color="auto" w:sz="4" w:space="0"/>
              <w:right w:val="single" w:color="auto" w:sz="4" w:space="0"/>
            </w:tcBorders>
            <w:vAlign w:val="center"/>
          </w:tcPr>
          <w:p w14:paraId="27321B1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中标人应针对医院信息系统建设的项目组建现场驻场实施团队人员数最少16人，分别为实施人员10人（包括项目经理1人、具体实施人员人员8人、系统分析员1人），研发人员6人。驻场时间从启动项目到整体项目验收结束。成员具体要求如下：（提供相关成员的有效社保及资质证明）</w:t>
            </w:r>
          </w:p>
          <w:p w14:paraId="4C146D3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项目经理：全权代表中标人执行各项技术及管理工作；在中标人公司工作满5年以上。具有计算机技术与软件专业技术资格（水平）中“信息系统项目管理师”同等或以上资质。需明确一名后备项目经理，在项目经理失去工作能力或离职等情况下负责项目管理，该后备项目经理资质与工作经验不低于原项目经理。（后备项目经理原则上不得由具体实施人员兼任，如项目执行中遇特殊情况必须由具体实施人员兼任，需另补充一名资质与工作经验不低于前任的具体实施人员）</w:t>
            </w:r>
          </w:p>
          <w:p w14:paraId="7A62E6B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（2）具体实施人员：负责项目的现场实施工作，直至项目结束。在中标人公司工作满3年以上。具有计算机技术与软件专业技术资格（水平）中“软件设计师”同等或以上资质。</w:t>
            </w:r>
          </w:p>
          <w:p w14:paraId="551A212C">
            <w:pPr>
              <w:spacing w:line="440" w:lineRule="exact"/>
              <w:ind w:firstLine="630" w:firstLineChars="3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（3）系统分析员：负责系统的应用管理和分析；在中标人公司工作满3年以上。具有具有计算机技术与软件专业技术资格（水平）中“软件评测师”同等或以上资质，至少1人。</w:t>
            </w:r>
          </w:p>
          <w:p w14:paraId="77772E8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（4）研发人员：进行现场需求分析及研发，通过研发满足临床需求；在中标人公司工作满3年以上。</w:t>
            </w:r>
          </w:p>
          <w:p w14:paraId="03F9AD0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2、维护人员：项目验收后，长期驻守项目现场，负责售后服务。维护人员不少于2人。具有具有计算机技术与软件专业技术资格（水平）中“软件设计师”同等或以上资质。</w:t>
            </w:r>
          </w:p>
          <w:p w14:paraId="7144990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3、项目验收进入运维期后，中标人承诺成立南宁设立运维服务中心，服务中心人员均来自项目团队，其规模不少于10人，为本项目客户提供本地化的运维及优化服务。</w:t>
            </w:r>
          </w:p>
        </w:tc>
        <w:tc>
          <w:tcPr>
            <w:tcW w:w="339" w:type="pct"/>
            <w:tcBorders>
              <w:top w:val="single" w:color="auto" w:sz="4" w:space="0"/>
              <w:left w:val="single" w:color="auto" w:sz="4" w:space="0"/>
              <w:bottom w:val="single" w:color="auto" w:sz="4" w:space="0"/>
              <w:right w:val="single" w:color="auto" w:sz="4" w:space="0"/>
            </w:tcBorders>
            <w:vAlign w:val="center"/>
          </w:tcPr>
          <w:p w14:paraId="30038698">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0B6776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4AA4E4A2">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6E781F3D">
            <w:pPr>
              <w:widowControl/>
              <w:spacing w:line="440" w:lineRule="exact"/>
              <w:rPr>
                <w:rFonts w:cs="宋体" w:asciiTheme="majorEastAsia" w:hAnsiTheme="majorEastAsia" w:eastAsiaTheme="majorEastAsia"/>
                <w:color w:val="auto"/>
                <w:kern w:val="0"/>
                <w:szCs w:val="21"/>
              </w:rPr>
            </w:pPr>
            <w:r>
              <w:rPr>
                <w:rFonts w:asciiTheme="majorEastAsia" w:hAnsiTheme="majorEastAsia" w:eastAsiaTheme="majorEastAsia"/>
                <w:color w:val="auto"/>
                <w:szCs w:val="21"/>
              </w:rPr>
              <w:t>4</w:t>
            </w:r>
            <w:r>
              <w:rPr>
                <w:rFonts w:hint="eastAsia" w:asciiTheme="majorEastAsia" w:hAnsiTheme="majorEastAsia" w:eastAsiaTheme="majorEastAsia"/>
                <w:color w:val="auto"/>
                <w:szCs w:val="21"/>
              </w:rPr>
              <w:t>.售后服务要求</w:t>
            </w:r>
          </w:p>
        </w:tc>
        <w:tc>
          <w:tcPr>
            <w:tcW w:w="3901" w:type="pct"/>
            <w:tcBorders>
              <w:top w:val="single" w:color="auto" w:sz="4" w:space="0"/>
              <w:left w:val="single" w:color="auto" w:sz="4" w:space="0"/>
              <w:bottom w:val="single" w:color="auto" w:sz="4" w:space="0"/>
              <w:right w:val="single" w:color="auto" w:sz="4" w:space="0"/>
            </w:tcBorders>
            <w:vAlign w:val="center"/>
          </w:tcPr>
          <w:p w14:paraId="7C6D13C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1、中标人需为本项目提供免费运行维护期至少2年</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部分系统2年以上，具体在招标参数中作了说明。维护期从本项目整体验收之日算起。维护期内免费对接上级部门有关系统互联互通工作</w:t>
            </w:r>
            <w:r>
              <w:rPr>
                <w:rFonts w:asciiTheme="majorEastAsia" w:hAnsiTheme="majorEastAsia" w:eastAsiaTheme="majorEastAsia"/>
                <w:color w:val="auto"/>
                <w:szCs w:val="21"/>
              </w:rPr>
              <w:t>。</w:t>
            </w:r>
          </w:p>
          <w:p w14:paraId="6AC5876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应提供7×24小时热线电话和现场等服务方式。热线电话和远程网络应立即响应。</w:t>
            </w:r>
          </w:p>
          <w:p w14:paraId="39FD8409">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3、另外要求中标人在南宁市设立技术支持服务团队，能够为客户提供本地化的支持和及时的响应服务。</w:t>
            </w:r>
          </w:p>
          <w:p w14:paraId="623C65C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4、免费运行维护期结束后，</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需提供驻场技术支持服务，服务人员及服务费用需和甲方协商另行采购。</w:t>
            </w:r>
            <w:r>
              <w:rPr>
                <w:rFonts w:hint="eastAsia" w:asciiTheme="majorEastAsia" w:hAnsiTheme="majorEastAsia" w:eastAsiaTheme="majorEastAsia"/>
                <w:color w:val="auto"/>
                <w:szCs w:val="21"/>
              </w:rPr>
              <w:br w:type="textWrapping"/>
            </w:r>
            <w:r>
              <w:rPr>
                <w:rFonts w:asciiTheme="majorEastAsia" w:hAnsiTheme="majorEastAsia" w:eastAsiaTheme="majorEastAsia"/>
                <w:color w:val="auto"/>
                <w:szCs w:val="21"/>
              </w:rPr>
              <w:t xml:space="preserve">    5、</w:t>
            </w:r>
            <w:r>
              <w:rPr>
                <w:rFonts w:hint="eastAsia" w:asciiTheme="majorEastAsia" w:hAnsiTheme="majorEastAsia" w:eastAsiaTheme="majorEastAsia"/>
                <w:color w:val="auto"/>
                <w:szCs w:val="21"/>
              </w:rPr>
              <w:t>每套软件免费维护期满后</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每套软件按不高于中标价的</w:t>
            </w:r>
            <w:r>
              <w:rPr>
                <w:rFonts w:asciiTheme="majorEastAsia" w:hAnsiTheme="majorEastAsia" w:eastAsiaTheme="majorEastAsia"/>
                <w:color w:val="auto"/>
                <w:szCs w:val="21"/>
              </w:rPr>
              <w:t>5%</w:t>
            </w:r>
            <w:r>
              <w:rPr>
                <w:rFonts w:hint="eastAsia" w:asciiTheme="majorEastAsia" w:hAnsiTheme="majorEastAsia" w:eastAsiaTheme="majorEastAsia"/>
                <w:color w:val="auto"/>
                <w:szCs w:val="21"/>
              </w:rPr>
              <w:t>进行维保费磋商</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需要维保的软件由使用方根据工作需要确定</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进场实施前各软件厂家与使用单位签订维保补充协议</w:t>
            </w:r>
            <w:r>
              <w:rPr>
                <w:rFonts w:asciiTheme="majorEastAsia" w:hAnsiTheme="majorEastAsia" w:eastAsiaTheme="majorEastAsia"/>
                <w:color w:val="auto"/>
                <w:szCs w:val="21"/>
              </w:rPr>
              <w:t>。</w:t>
            </w:r>
          </w:p>
        </w:tc>
        <w:tc>
          <w:tcPr>
            <w:tcW w:w="339" w:type="pct"/>
            <w:tcBorders>
              <w:top w:val="single" w:color="auto" w:sz="4" w:space="0"/>
              <w:left w:val="single" w:color="auto" w:sz="4" w:space="0"/>
              <w:bottom w:val="single" w:color="auto" w:sz="4" w:space="0"/>
              <w:right w:val="single" w:color="auto" w:sz="4" w:space="0"/>
            </w:tcBorders>
            <w:vAlign w:val="center"/>
          </w:tcPr>
          <w:p w14:paraId="1A535B1E">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6BD906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1AF09649">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4A74C9F5">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5</w:t>
            </w:r>
            <w:r>
              <w:rPr>
                <w:rFonts w:hint="eastAsia" w:asciiTheme="majorEastAsia" w:hAnsiTheme="majorEastAsia" w:eastAsiaTheme="majorEastAsia"/>
                <w:color w:val="auto"/>
                <w:szCs w:val="21"/>
              </w:rPr>
              <w:t>.项目培训要求</w:t>
            </w:r>
          </w:p>
          <w:p w14:paraId="2D9400D2">
            <w:pPr>
              <w:widowControl/>
              <w:spacing w:line="440" w:lineRule="exact"/>
              <w:jc w:val="center"/>
              <w:rPr>
                <w:rFonts w:cs="宋体" w:asciiTheme="majorEastAsia" w:hAnsiTheme="majorEastAsia" w:eastAsiaTheme="majorEastAsia"/>
                <w:color w:val="auto"/>
                <w:kern w:val="0"/>
                <w:szCs w:val="21"/>
              </w:rPr>
            </w:pPr>
          </w:p>
        </w:tc>
        <w:tc>
          <w:tcPr>
            <w:tcW w:w="3901" w:type="pct"/>
            <w:tcBorders>
              <w:top w:val="single" w:color="auto" w:sz="4" w:space="0"/>
              <w:left w:val="single" w:color="auto" w:sz="4" w:space="0"/>
              <w:bottom w:val="single" w:color="auto" w:sz="4" w:space="0"/>
              <w:right w:val="single" w:color="auto" w:sz="4" w:space="0"/>
            </w:tcBorders>
            <w:vAlign w:val="center"/>
          </w:tcPr>
          <w:p w14:paraId="78C13FE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中标人必须根据系统软件的功能和特点，充分考虑到系统使用人员的实际水平，提出详细的系统培训方案。目标是通过系统培训以达到系统管理人员能够具备独立管理中标人所提供的系统软件和日常的维护处理能力，各级业务人员能够熟练使用系统软件，确保应用系统能够真正地用起来。</w:t>
            </w:r>
          </w:p>
          <w:p w14:paraId="4964385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需要准备一份完整的培训方案，对广西壮族自治区江滨医院各类人员进行相关的培训，明确培训的内容、次数和方式。</w:t>
            </w:r>
          </w:p>
          <w:p w14:paraId="02355DC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2、培训对象应分为普通业务操作员、系统管理员，中标人必须针对不同的对象制定不同的培训计划，并分别培训。所提供的培训课程表随投标文件一起提交。</w:t>
            </w:r>
          </w:p>
          <w:p w14:paraId="0DCC4EB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3、中标人应保证提供有经验的教员，使广西壮族自治区江滨医院相关人员在培训后能够独立地对系统进行管理、维护，而不需中标人的人员在场指导。</w:t>
            </w:r>
          </w:p>
          <w:p w14:paraId="30EF4EE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4、培训内容包括应用软件操作、操作系统、后台数据库管理等培训。</w:t>
            </w:r>
          </w:p>
          <w:p w14:paraId="3AD0D51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5、中标人必须为所有被培训人员进行现场培训。</w:t>
            </w:r>
          </w:p>
          <w:p w14:paraId="1CD6509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6、业务系统操作培训工作应在系统安装之前结束。</w:t>
            </w:r>
          </w:p>
          <w:p w14:paraId="4143346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7、广西壮族自治区江滨医院仅负责提供培训场地、培训电脑和培训人员的召集。</w:t>
            </w:r>
          </w:p>
          <w:p w14:paraId="12C3C21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8、</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负责培训环境的搭建、培训文档的准备、培训的实施、培训人员的考核等。</w:t>
            </w:r>
          </w:p>
          <w:p w14:paraId="3E3A949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9、与培训相关的费用，投标人应当一并计算在投标报价中。</w:t>
            </w:r>
          </w:p>
        </w:tc>
        <w:tc>
          <w:tcPr>
            <w:tcW w:w="339" w:type="pct"/>
            <w:tcBorders>
              <w:top w:val="single" w:color="auto" w:sz="4" w:space="0"/>
              <w:left w:val="single" w:color="auto" w:sz="4" w:space="0"/>
              <w:bottom w:val="single" w:color="auto" w:sz="4" w:space="0"/>
              <w:right w:val="single" w:color="auto" w:sz="4" w:space="0"/>
            </w:tcBorders>
            <w:vAlign w:val="center"/>
          </w:tcPr>
          <w:p w14:paraId="5510F4D2">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3D320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1" w:hRule="atLeast"/>
        </w:trPr>
        <w:tc>
          <w:tcPr>
            <w:tcW w:w="385" w:type="pct"/>
            <w:vMerge w:val="continue"/>
            <w:tcBorders>
              <w:left w:val="single" w:color="auto" w:sz="4" w:space="0"/>
              <w:right w:val="single" w:color="auto" w:sz="4" w:space="0"/>
            </w:tcBorders>
            <w:vAlign w:val="center"/>
          </w:tcPr>
          <w:p w14:paraId="06711A2D">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03D7B491">
            <w:pPr>
              <w:spacing w:line="440" w:lineRule="exact"/>
              <w:rPr>
                <w:rFonts w:asciiTheme="majorEastAsia" w:hAnsiTheme="majorEastAsia" w:eastAsiaTheme="majorEastAsia"/>
                <w:color w:val="auto"/>
                <w:szCs w:val="21"/>
              </w:rPr>
            </w:pPr>
            <w:r>
              <w:rPr>
                <w:rFonts w:asciiTheme="majorEastAsia" w:hAnsiTheme="majorEastAsia" w:eastAsiaTheme="majorEastAsia"/>
                <w:color w:val="auto"/>
                <w:szCs w:val="21"/>
              </w:rPr>
              <w:t>6</w:t>
            </w:r>
            <w:r>
              <w:rPr>
                <w:rFonts w:hint="eastAsia" w:asciiTheme="majorEastAsia" w:hAnsiTheme="majorEastAsia" w:eastAsiaTheme="majorEastAsia"/>
                <w:color w:val="auto"/>
                <w:szCs w:val="21"/>
              </w:rPr>
              <w:t>.新旧系统切换要求</w:t>
            </w:r>
          </w:p>
        </w:tc>
        <w:tc>
          <w:tcPr>
            <w:tcW w:w="3901" w:type="pct"/>
            <w:tcBorders>
              <w:top w:val="single" w:color="auto" w:sz="4" w:space="0"/>
              <w:left w:val="single" w:color="auto" w:sz="4" w:space="0"/>
              <w:bottom w:val="single" w:color="auto" w:sz="4" w:space="0"/>
              <w:right w:val="single" w:color="auto" w:sz="4" w:space="0"/>
            </w:tcBorders>
            <w:vAlign w:val="center"/>
          </w:tcPr>
          <w:p w14:paraId="7DC020A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1、新旧系统切换方案：在系统迁移过程中，必须保证原系统数据的完整性、准确性、安全性、一致性；对原有系统的数据在一段时间内进行保护，保证新旧系统的平稳过渡。</w:t>
            </w:r>
          </w:p>
          <w:p w14:paraId="10794ED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2、切换应急预案：为了保证系统在切换的过程中，一旦出现重大问题，导致新系统不能正常运行的情况下，就必须有紧急预案并有启停应急系统，以保证业务的正常进行。</w:t>
            </w:r>
          </w:p>
        </w:tc>
        <w:tc>
          <w:tcPr>
            <w:tcW w:w="339" w:type="pct"/>
            <w:tcBorders>
              <w:top w:val="single" w:color="auto" w:sz="4" w:space="0"/>
              <w:left w:val="single" w:color="auto" w:sz="4" w:space="0"/>
              <w:bottom w:val="single" w:color="auto" w:sz="4" w:space="0"/>
              <w:right w:val="single" w:color="auto" w:sz="4" w:space="0"/>
            </w:tcBorders>
            <w:vAlign w:val="center"/>
          </w:tcPr>
          <w:p w14:paraId="77266402">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33410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4C856E0A">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0A92040A">
            <w:pPr>
              <w:widowControl/>
              <w:spacing w:line="440" w:lineRule="exact"/>
              <w:rPr>
                <w:rFonts w:cs="宋体" w:asciiTheme="majorEastAsia" w:hAnsiTheme="majorEastAsia" w:eastAsiaTheme="majorEastAsia"/>
                <w:color w:val="auto"/>
                <w:kern w:val="0"/>
                <w:szCs w:val="21"/>
              </w:rPr>
            </w:pPr>
            <w:r>
              <w:rPr>
                <w:rFonts w:asciiTheme="majorEastAsia" w:hAnsiTheme="majorEastAsia" w:eastAsiaTheme="majorEastAsia"/>
                <w:color w:val="auto"/>
                <w:szCs w:val="21"/>
              </w:rPr>
              <w:t>7</w:t>
            </w:r>
            <w:r>
              <w:rPr>
                <w:rFonts w:hint="eastAsia" w:asciiTheme="majorEastAsia" w:hAnsiTheme="majorEastAsia" w:eastAsiaTheme="majorEastAsia"/>
                <w:color w:val="auto"/>
                <w:szCs w:val="21"/>
              </w:rPr>
              <w:t>.文档管理要求</w:t>
            </w:r>
          </w:p>
        </w:tc>
        <w:tc>
          <w:tcPr>
            <w:tcW w:w="3901" w:type="pct"/>
            <w:tcBorders>
              <w:top w:val="single" w:color="auto" w:sz="4" w:space="0"/>
              <w:left w:val="single" w:color="auto" w:sz="4" w:space="0"/>
              <w:bottom w:val="single" w:color="auto" w:sz="4" w:space="0"/>
              <w:right w:val="single" w:color="auto" w:sz="4" w:space="0"/>
            </w:tcBorders>
            <w:vAlign w:val="center"/>
          </w:tcPr>
          <w:p w14:paraId="2A7EA87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1、文档是保证项目的实施连贯性的重要保证，必须提供完善的文档，并对项目进行过程中的文档进行有效的管理，接受用户方对项目各阶段评估分析和监督管理。</w:t>
            </w:r>
          </w:p>
          <w:p w14:paraId="76B0AED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2、整个项目的过程包括后期修改维护贯穿ISO9001和CMM的规范，使用国家标准码，提供齐全的项目管理、设计和开发、操作说明等书面文档和电子版。</w:t>
            </w:r>
          </w:p>
        </w:tc>
        <w:tc>
          <w:tcPr>
            <w:tcW w:w="339" w:type="pct"/>
            <w:tcBorders>
              <w:top w:val="single" w:color="auto" w:sz="4" w:space="0"/>
              <w:left w:val="single" w:color="auto" w:sz="4" w:space="0"/>
              <w:bottom w:val="single" w:color="auto" w:sz="4" w:space="0"/>
              <w:right w:val="single" w:color="auto" w:sz="4" w:space="0"/>
            </w:tcBorders>
            <w:vAlign w:val="center"/>
          </w:tcPr>
          <w:p w14:paraId="19D27149">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3188D9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4DF02320">
            <w:pPr>
              <w:spacing w:line="440" w:lineRule="exact"/>
              <w:jc w:val="center"/>
              <w:rPr>
                <w:rFonts w:asciiTheme="majorEastAsia" w:hAnsiTheme="majorEastAsia" w:eastAsiaTheme="majorEastAsia"/>
                <w:color w:val="auto"/>
                <w:szCs w:val="21"/>
              </w:rPr>
            </w:pPr>
          </w:p>
        </w:tc>
        <w:tc>
          <w:tcPr>
            <w:tcW w:w="375" w:type="pct"/>
            <w:tcBorders>
              <w:left w:val="single" w:color="auto" w:sz="4" w:space="0"/>
              <w:bottom w:val="single" w:color="auto" w:sz="4" w:space="0"/>
              <w:right w:val="single" w:color="auto" w:sz="4" w:space="0"/>
            </w:tcBorders>
            <w:vAlign w:val="center"/>
          </w:tcPr>
          <w:p w14:paraId="1E4FE4AA">
            <w:pPr>
              <w:widowControl/>
              <w:spacing w:line="440" w:lineRule="exact"/>
              <w:rPr>
                <w:rFonts w:cs="宋体" w:asciiTheme="majorEastAsia" w:hAnsiTheme="majorEastAsia" w:eastAsiaTheme="majorEastAsia"/>
                <w:color w:val="auto"/>
                <w:kern w:val="0"/>
                <w:szCs w:val="21"/>
              </w:rPr>
            </w:pPr>
            <w:r>
              <w:rPr>
                <w:rFonts w:asciiTheme="majorEastAsia" w:hAnsiTheme="majorEastAsia" w:eastAsiaTheme="majorEastAsia"/>
                <w:color w:val="auto"/>
                <w:szCs w:val="21"/>
              </w:rPr>
              <w:t>8</w:t>
            </w:r>
            <w:r>
              <w:rPr>
                <w:rFonts w:hint="eastAsia" w:asciiTheme="majorEastAsia" w:hAnsiTheme="majorEastAsia" w:eastAsiaTheme="majorEastAsia"/>
                <w:color w:val="auto"/>
                <w:szCs w:val="21"/>
              </w:rPr>
              <w:t>.验收要求</w:t>
            </w:r>
          </w:p>
        </w:tc>
        <w:tc>
          <w:tcPr>
            <w:tcW w:w="3901" w:type="pct"/>
            <w:tcBorders>
              <w:top w:val="single" w:color="auto" w:sz="4" w:space="0"/>
              <w:left w:val="single" w:color="auto" w:sz="4" w:space="0"/>
              <w:bottom w:val="single" w:color="auto" w:sz="4" w:space="0"/>
              <w:right w:val="single" w:color="auto" w:sz="4" w:space="0"/>
            </w:tcBorders>
            <w:vAlign w:val="center"/>
          </w:tcPr>
          <w:p w14:paraId="28EEA50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1、验收标准：</w:t>
            </w:r>
          </w:p>
          <w:p w14:paraId="4949DB9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（1）功能性验收标准：软件系统应满足招标文件中规定的所有功能需求</w:t>
            </w:r>
          </w:p>
          <w:p w14:paraId="55B4CEB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（2）性能验收标准：软件系统应满足招标文件中规定的性能指标</w:t>
            </w:r>
          </w:p>
          <w:p w14:paraId="1209DBB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（3）安全性验收标准：软件系统应满足招标文件中规定的安全要求，包括但不限于（但不限于）以下方面：</w:t>
            </w:r>
          </w:p>
          <w:p w14:paraId="25CC246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1）数据安全：系统应实现数据的加密存储、传输，防止数据泄露、篡改；</w:t>
            </w:r>
          </w:p>
          <w:p w14:paraId="4A2B20A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2）访问控制：系统应实现用户权限的细粒度控制，防止未授权访问；</w:t>
            </w:r>
          </w:p>
          <w:p w14:paraId="3B7B8D8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3）审计功能：系统应实现操作日志的记录、查询、导出等功能，以便进行安全审计；</w:t>
            </w:r>
          </w:p>
          <w:p w14:paraId="23B16F6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2、验收程序：</w:t>
            </w:r>
          </w:p>
          <w:p w14:paraId="205D0D0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（1）提交验收申请：中标人在软件系统开发完成后，向招标人及广西壮族自治区江滨医院提交书面验收申请，并提供相关验收材料。</w:t>
            </w:r>
          </w:p>
          <w:p w14:paraId="4DC7A4C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（2）组织验收小组：招标人及广西壮族自治区江滨医院根据招标文件中的规定，组织验收小组，成员包括招标人及广西壮族自治区江滨医院代表或技术专家等。</w:t>
            </w:r>
          </w:p>
          <w:p w14:paraId="595D6EA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（3）开展验收工作：验收小组对软件系统进行现场验收，按照验收标准、验收方法进行测试，并填写验收报告。</w:t>
            </w:r>
          </w:p>
          <w:p w14:paraId="7EB98A5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（4）形成验收意见：验收小组根据验收结果，形成书面验收意见，并由招标人及广西壮族自治区江滨医院代表签字确认。</w:t>
            </w:r>
          </w:p>
          <w:p w14:paraId="6D77CE7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（5）签订验收报告：招标人及广西壮族自治区江滨医院与中标方根据验收意见，签订验收报告。</w:t>
            </w:r>
          </w:p>
          <w:p w14:paraId="260A605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3、验收方法</w:t>
            </w:r>
          </w:p>
          <w:p w14:paraId="763C4B8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（1）功能测试：验收小组对软件系统的各项功能进行测试，确保其满足招标文件中的功能需求。</w:t>
            </w:r>
          </w:p>
          <w:p w14:paraId="7C7FF27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（2）性能测试：验收小组对软件系统的性能进行测试，确保其满足招标文件中的性能指标。</w:t>
            </w:r>
          </w:p>
          <w:p w14:paraId="1129605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（3）安全测试：验收小组对软件系统的安全性进行测试，确保其满足招标文件中的安全要求。</w:t>
            </w:r>
          </w:p>
          <w:p w14:paraId="4F9A6F5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（4）用户体验测试：验收小组邀请部分用户参与软件系统的体验测试，收集用户反馈，评估系统的易用性、友好性等。</w:t>
            </w:r>
          </w:p>
          <w:p w14:paraId="16AD032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（5）文档审查：验收小组对软件系统的开发文档、用户手册等进行审查，确保其完整、规范。</w:t>
            </w:r>
          </w:p>
        </w:tc>
        <w:tc>
          <w:tcPr>
            <w:tcW w:w="339" w:type="pct"/>
            <w:tcBorders>
              <w:top w:val="single" w:color="auto" w:sz="4" w:space="0"/>
              <w:left w:val="single" w:color="auto" w:sz="4" w:space="0"/>
              <w:bottom w:val="single" w:color="auto" w:sz="4" w:space="0"/>
              <w:right w:val="single" w:color="auto" w:sz="4" w:space="0"/>
            </w:tcBorders>
            <w:vAlign w:val="center"/>
          </w:tcPr>
          <w:p w14:paraId="7D06AF83">
            <w:pPr>
              <w:spacing w:line="440" w:lineRule="exact"/>
              <w:jc w:val="center"/>
              <w:rPr>
                <w:rFonts w:asciiTheme="majorEastAsia" w:hAnsiTheme="majorEastAsia" w:eastAsiaTheme="majorEastAsia"/>
                <w:color w:val="auto"/>
                <w:szCs w:val="21"/>
              </w:rPr>
            </w:pPr>
            <w:r>
              <w:rPr>
                <w:rFonts w:asciiTheme="majorEastAsia" w:hAnsiTheme="majorEastAsia" w:eastAsiaTheme="majorEastAsia"/>
                <w:color w:val="auto"/>
                <w:szCs w:val="21"/>
              </w:rPr>
              <w:t>1</w:t>
            </w:r>
            <w:r>
              <w:rPr>
                <w:rFonts w:hint="eastAsia" w:asciiTheme="majorEastAsia" w:hAnsiTheme="majorEastAsia" w:eastAsiaTheme="majorEastAsia"/>
                <w:color w:val="auto"/>
                <w:szCs w:val="21"/>
              </w:rPr>
              <w:t>项</w:t>
            </w:r>
          </w:p>
        </w:tc>
      </w:tr>
      <w:tr w14:paraId="3C688A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3DA7F98C">
            <w:pPr>
              <w:spacing w:line="440" w:lineRule="exact"/>
              <w:jc w:val="center"/>
              <w:rPr>
                <w:rFonts w:asciiTheme="majorEastAsia" w:hAnsiTheme="majorEastAsia" w:eastAsiaTheme="majorEastAsia"/>
                <w:color w:val="auto"/>
                <w:szCs w:val="21"/>
              </w:rPr>
            </w:pPr>
          </w:p>
        </w:tc>
        <w:tc>
          <w:tcPr>
            <w:tcW w:w="375" w:type="pct"/>
            <w:tcBorders>
              <w:top w:val="single" w:color="auto" w:sz="4" w:space="0"/>
              <w:left w:val="single" w:color="auto" w:sz="4" w:space="0"/>
              <w:bottom w:val="single" w:color="auto" w:sz="4" w:space="0"/>
              <w:right w:val="single" w:color="auto" w:sz="4" w:space="0"/>
            </w:tcBorders>
            <w:vAlign w:val="center"/>
          </w:tcPr>
          <w:p w14:paraId="70045965">
            <w:pPr>
              <w:widowControl/>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9</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 xml:space="preserve"> 智慧服务评级  </w:t>
            </w:r>
          </w:p>
        </w:tc>
        <w:tc>
          <w:tcPr>
            <w:tcW w:w="3901" w:type="pct"/>
            <w:tcBorders>
              <w:top w:val="single" w:color="auto" w:sz="4" w:space="0"/>
              <w:left w:val="single" w:color="auto" w:sz="4" w:space="0"/>
              <w:bottom w:val="single" w:color="auto" w:sz="4" w:space="0"/>
              <w:right w:val="single" w:color="auto" w:sz="4" w:space="0"/>
            </w:tcBorders>
            <w:vAlign w:val="center"/>
          </w:tcPr>
          <w:p w14:paraId="1B9F7A3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智慧服务评级：</w:t>
            </w:r>
          </w:p>
          <w:p w14:paraId="0DE6AE4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以《医院智慧服务分级评估标准体系（试行）》中3级的相应评估标准要求，提供以下服务：</w:t>
            </w:r>
          </w:p>
          <w:p w14:paraId="6541008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 项目自评服务：根据《医院智慧服务分级评估标准体系（试行）》中3级的相应评估标准要求，进行项目自评。</w:t>
            </w:r>
          </w:p>
          <w:p w14:paraId="45E28FF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 项目建设完善：根据自评结果与3级要求的差异项，进行项目建设的完善工作。</w:t>
            </w:r>
          </w:p>
          <w:p w14:paraId="42922B0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 项目文审实证材料准备：准备项目文审实证材料。</w:t>
            </w:r>
          </w:p>
          <w:p w14:paraId="15C4D45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 报审相关工作：进行项目文审的报审工作。</w:t>
            </w:r>
          </w:p>
          <w:p w14:paraId="6ACAA2C9">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5. 差距调研分析评估服务：提供项目差距的调研分析评估服务。</w:t>
            </w:r>
          </w:p>
        </w:tc>
        <w:tc>
          <w:tcPr>
            <w:tcW w:w="339" w:type="pct"/>
            <w:tcBorders>
              <w:top w:val="single" w:color="auto" w:sz="4" w:space="0"/>
              <w:left w:val="single" w:color="auto" w:sz="4" w:space="0"/>
              <w:bottom w:val="single" w:color="auto" w:sz="4" w:space="0"/>
              <w:right w:val="single" w:color="auto" w:sz="4" w:space="0"/>
            </w:tcBorders>
            <w:vAlign w:val="center"/>
          </w:tcPr>
          <w:p w14:paraId="519A0A8A">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1项</w:t>
            </w:r>
          </w:p>
        </w:tc>
      </w:tr>
      <w:tr w14:paraId="71EBC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28EB184F">
            <w:pPr>
              <w:spacing w:line="440" w:lineRule="exact"/>
              <w:jc w:val="center"/>
              <w:rPr>
                <w:rFonts w:asciiTheme="majorEastAsia" w:hAnsiTheme="majorEastAsia" w:eastAsiaTheme="majorEastAsia"/>
                <w:color w:val="auto"/>
                <w:szCs w:val="21"/>
              </w:rPr>
            </w:pPr>
          </w:p>
        </w:tc>
        <w:tc>
          <w:tcPr>
            <w:tcW w:w="375" w:type="pct"/>
            <w:tcBorders>
              <w:top w:val="single" w:color="auto" w:sz="4" w:space="0"/>
              <w:left w:val="single" w:color="auto" w:sz="4" w:space="0"/>
              <w:bottom w:val="single" w:color="auto" w:sz="4" w:space="0"/>
              <w:right w:val="single" w:color="auto" w:sz="4" w:space="0"/>
            </w:tcBorders>
            <w:vAlign w:val="center"/>
          </w:tcPr>
          <w:p w14:paraId="243EDEF8">
            <w:pPr>
              <w:spacing w:line="440" w:lineRule="exact"/>
              <w:jc w:val="left"/>
              <w:rPr>
                <w:rFonts w:asciiTheme="majorEastAsia" w:hAnsiTheme="majorEastAsia" w:eastAsiaTheme="majorEastAsia"/>
                <w:color w:val="auto"/>
                <w:szCs w:val="21"/>
              </w:rPr>
            </w:pPr>
            <w:r>
              <w:rPr>
                <w:rFonts w:asciiTheme="majorEastAsia" w:hAnsiTheme="majorEastAsia" w:eastAsiaTheme="majorEastAsia"/>
                <w:color w:val="auto"/>
                <w:szCs w:val="21"/>
              </w:rPr>
              <w:t>10.</w:t>
            </w:r>
            <w:r>
              <w:rPr>
                <w:rFonts w:hint="eastAsia" w:asciiTheme="majorEastAsia" w:hAnsiTheme="majorEastAsia" w:eastAsiaTheme="majorEastAsia"/>
                <w:color w:val="auto"/>
                <w:szCs w:val="21"/>
              </w:rPr>
              <w:t xml:space="preserve">电子病历评级  </w:t>
            </w:r>
          </w:p>
        </w:tc>
        <w:tc>
          <w:tcPr>
            <w:tcW w:w="3901" w:type="pct"/>
            <w:tcBorders>
              <w:top w:val="single" w:color="auto" w:sz="4" w:space="0"/>
              <w:left w:val="single" w:color="auto" w:sz="4" w:space="0"/>
              <w:bottom w:val="single" w:color="auto" w:sz="4" w:space="0"/>
              <w:right w:val="single" w:color="auto" w:sz="4" w:space="0"/>
            </w:tcBorders>
            <w:vAlign w:val="center"/>
          </w:tcPr>
          <w:p w14:paraId="4AA52713">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电子病历评级：</w:t>
            </w:r>
          </w:p>
          <w:p w14:paraId="17539999">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一、提供数据质量工具</w:t>
            </w:r>
          </w:p>
          <w:p w14:paraId="67FF43E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根据《电子病历系统应用水平分级评价方法及标准（2018版）》的“数据质量”要求，通过数据质量管理工具对数据的标准化和符合度的一致性、各字段和内容的完整性、系统间关联的整合性、与医疗行为的逻辑合理性和符合度的准确性进行统一的管理。其中电子病历5级重点关注一致性、完整性、整合性三个方面。  </w:t>
            </w:r>
          </w:p>
          <w:p w14:paraId="7AB7AAE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通过数据质量工具，要求实现对上报数据质量的智能评估，以评估电子病历评级对数据质量的要求，数据质量评估包括数据一致性、数据完整性、数据整合性和数据及时性。</w:t>
            </w:r>
          </w:p>
          <w:p w14:paraId="77FBF14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1、要求支持数据源管理，通过可视化配置，要求实现对上报项目数据源的采集。</w:t>
            </w:r>
          </w:p>
          <w:p w14:paraId="59FBF95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2、要求支持配置管理数据质量报表任务模块；</w:t>
            </w:r>
          </w:p>
          <w:p w14:paraId="4C5F9D6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3、要求支持根据数据质量的评估要求，建立报表任务方案；</w:t>
            </w:r>
          </w:p>
          <w:p w14:paraId="35383CA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4、要求支持建立数据质量报表任务，要求提供报表任务的语法配置；</w:t>
            </w:r>
          </w:p>
          <w:p w14:paraId="72176657">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5、要求支持自动生成数据质量统计报表，要求支持报表生成后导出，可直接作为电子病历评级数据质量上报内容；</w:t>
            </w:r>
          </w:p>
          <w:p w14:paraId="50FC0CA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6、要求提供报表任务日志，可查询数据质量评估的执行详细信息。</w:t>
            </w:r>
          </w:p>
          <w:p w14:paraId="0ED6B73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二、电子病历四级评级过程支撑服务</w:t>
            </w:r>
          </w:p>
          <w:p w14:paraId="79AB8DB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以《电子病历系统功能应用水平分级评价方法及标准（2018版）》四级的相应测评等级要求，提供以下服务：</w:t>
            </w:r>
          </w:p>
          <w:p w14:paraId="72639B7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 项目自评服务：进行项目自评。</w:t>
            </w:r>
          </w:p>
          <w:p w14:paraId="4BBB2B4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 项目建设完善：根据自评结果与四级要求的差异项，进行项目建设的完善工作。</w:t>
            </w:r>
          </w:p>
          <w:p w14:paraId="2360267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 项目文审实证材料准备：准备项目文审实证材料。</w:t>
            </w:r>
          </w:p>
          <w:p w14:paraId="59876FA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 报审相关工作：进行项目文审的报审工作。</w:t>
            </w:r>
          </w:p>
          <w:p w14:paraId="0F7918D9">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5. 差距调研分析评估服务：提供项目差距的调研分析评估服务。</w:t>
            </w:r>
          </w:p>
          <w:p w14:paraId="77C93BB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6. 申报材料整理指导和准备：提供申报材料的整理指导和准备服务。</w:t>
            </w:r>
          </w:p>
          <w:p w14:paraId="5B485C6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7. 网上申报要求支持：提供网上申报的要求支持。</w:t>
            </w:r>
          </w:p>
          <w:p w14:paraId="5D77929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8. 文审答辩要求支持：提供文审答辩的要求支持。</w:t>
            </w:r>
          </w:p>
          <w:p w14:paraId="2D4881B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9. 现场测评要求支持：提供现场测评的要求支持。</w:t>
            </w:r>
          </w:p>
          <w:p w14:paraId="711DAFCA">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三、电子病历五级评级过程支撑服务</w:t>
            </w:r>
          </w:p>
          <w:p w14:paraId="0094F9C7">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以《电子病历系统功能应用水平分级评价方法及标准（2018版）》五级的相应测评等级要求，1. 项目自评服务：进行项目自评。</w:t>
            </w:r>
          </w:p>
          <w:p w14:paraId="1246585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 项目建设完善：根据自评结果与五级要求的差异项，进行项目建设的完善工作。</w:t>
            </w:r>
          </w:p>
          <w:p w14:paraId="0DF6092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 项目文审实证材料准备：准备项目文审实证材料。</w:t>
            </w:r>
          </w:p>
          <w:p w14:paraId="1FDA234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 报审相关工作：进行项目文审的报审工作。</w:t>
            </w:r>
          </w:p>
          <w:p w14:paraId="579E83A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5. 差距调研分析评估服务：提供项目差距的调研分析评估服务。</w:t>
            </w:r>
          </w:p>
          <w:p w14:paraId="3C09E517">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6. 申报材料整理指导和准备：提供申报材料的整理指导和准备服务。</w:t>
            </w:r>
          </w:p>
          <w:p w14:paraId="653246D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7. 网上申报要求支持：提供网上申报的要求支持。</w:t>
            </w:r>
          </w:p>
          <w:p w14:paraId="549731E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8. 文审答辩要求支持：提供文审答辩的要求支持。</w:t>
            </w:r>
          </w:p>
          <w:p w14:paraId="55F7840D">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9. 现场测评要求支持：提供现场测评的要求支持。</w:t>
            </w:r>
          </w:p>
        </w:tc>
        <w:tc>
          <w:tcPr>
            <w:tcW w:w="339" w:type="pct"/>
            <w:tcBorders>
              <w:top w:val="single" w:color="auto" w:sz="4" w:space="0"/>
              <w:left w:val="single" w:color="auto" w:sz="4" w:space="0"/>
              <w:bottom w:val="single" w:color="auto" w:sz="4" w:space="0"/>
              <w:right w:val="single" w:color="auto" w:sz="4" w:space="0"/>
            </w:tcBorders>
            <w:vAlign w:val="center"/>
          </w:tcPr>
          <w:p w14:paraId="4752BCBD">
            <w:pPr>
              <w:spacing w:line="440" w:lineRule="exact"/>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1项</w:t>
            </w:r>
          </w:p>
        </w:tc>
      </w:tr>
      <w:tr w14:paraId="4812E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5F55076B">
            <w:pPr>
              <w:spacing w:line="440" w:lineRule="exact"/>
              <w:jc w:val="center"/>
              <w:rPr>
                <w:rFonts w:asciiTheme="majorEastAsia" w:hAnsiTheme="majorEastAsia" w:eastAsiaTheme="majorEastAsia"/>
                <w:color w:val="auto"/>
                <w:szCs w:val="21"/>
              </w:rPr>
            </w:pPr>
          </w:p>
        </w:tc>
        <w:tc>
          <w:tcPr>
            <w:tcW w:w="375" w:type="pct"/>
            <w:tcBorders>
              <w:top w:val="single" w:color="auto" w:sz="4" w:space="0"/>
              <w:left w:val="single" w:color="auto" w:sz="4" w:space="0"/>
              <w:bottom w:val="single" w:color="auto" w:sz="4" w:space="0"/>
              <w:right w:val="single" w:color="auto" w:sz="4" w:space="0"/>
            </w:tcBorders>
            <w:vAlign w:val="center"/>
          </w:tcPr>
          <w:p w14:paraId="493B089B">
            <w:pPr>
              <w:widowControl/>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w:t>
            </w:r>
            <w:r>
              <w:rPr>
                <w:rFonts w:asciiTheme="majorEastAsia" w:hAnsiTheme="majorEastAsia" w:eastAsiaTheme="majorEastAsia"/>
                <w:color w:val="auto"/>
                <w:szCs w:val="21"/>
              </w:rPr>
              <w:t>1.</w:t>
            </w:r>
          </w:p>
          <w:p w14:paraId="3E3CDF62">
            <w:pPr>
              <w:kinsoku w:val="0"/>
              <w:overflowPunct w:val="0"/>
              <w:autoSpaceDE w:val="0"/>
              <w:autoSpaceDN w:val="0"/>
              <w:adjustRightInd w:val="0"/>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互联互通评级</w:t>
            </w:r>
          </w:p>
        </w:tc>
        <w:tc>
          <w:tcPr>
            <w:tcW w:w="3901" w:type="pct"/>
            <w:tcBorders>
              <w:top w:val="single" w:color="auto" w:sz="4" w:space="0"/>
              <w:left w:val="single" w:color="auto" w:sz="4" w:space="0"/>
              <w:bottom w:val="single" w:color="auto" w:sz="4" w:space="0"/>
              <w:right w:val="single" w:color="auto" w:sz="4" w:space="0"/>
            </w:tcBorders>
            <w:vAlign w:val="center"/>
          </w:tcPr>
          <w:p w14:paraId="09AB037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互联互通评级：</w:t>
            </w:r>
          </w:p>
          <w:p w14:paraId="2DCE5C6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一、互联互通自评估管理</w:t>
            </w:r>
          </w:p>
          <w:p w14:paraId="7A324BD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1.互联互通测评基础配置</w:t>
            </w:r>
          </w:p>
          <w:p w14:paraId="0504033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1.1数据元管理</w:t>
            </w:r>
          </w:p>
          <w:p w14:paraId="068E572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要求提供基于《电子病历基本数据集》标准的数据元展示、维护管理。要求提供数据元值的数据类型、表示格式、数据元允许值的管理维护功能，为后续的数据标准化校验提供相应的校验规则基础。</w:t>
            </w:r>
          </w:p>
          <w:p w14:paraId="73D838D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1.2标准字典管理</w:t>
            </w:r>
          </w:p>
          <w:p w14:paraId="35BBE10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将《电子病历基本数据集》中各数据元涉及的数据元允许值进行统一的汇总管理，要求支持对值代码、中文说明进行维护和更新，标准字典可批量导出；要求支持标准字典的版本管理，新版本的标准字典可批量导入。</w:t>
            </w:r>
          </w:p>
          <w:p w14:paraId="436BEEE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1.3业务字典管理</w:t>
            </w:r>
          </w:p>
          <w:p w14:paraId="18FDE15E">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对各业务系统在《电子病历基本数据集》中涉及的字典进行维护管理，要求提供业务字典的批量导入、导出、新增、删除等功能，对各业务系统的字典进行统一的汇总展示和管理。</w:t>
            </w:r>
          </w:p>
          <w:p w14:paraId="7510005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1.4字典映射管理</w:t>
            </w:r>
          </w:p>
          <w:p w14:paraId="0C1F78B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要求提供字典映射管理功能，要求实现业务字典与标准字典的可视化映射对照及取消映射操作。</w:t>
            </w:r>
          </w:p>
          <w:p w14:paraId="76C63F9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2.互联互通测试工具</w:t>
            </w:r>
          </w:p>
          <w:p w14:paraId="303E38E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2.1共享文档检验</w:t>
            </w:r>
          </w:p>
          <w:p w14:paraId="1E196BD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基于《电子病历共享文档规范》对共享文档进行校验，要求支持随机抽样校验及指定文档校验两种方式，共享文档的校验包含以下几个方面：</w:t>
            </w:r>
          </w:p>
          <w:p w14:paraId="770C169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1）共享文档的文档结构是否符合标准要求。</w:t>
            </w:r>
          </w:p>
          <w:p w14:paraId="1631951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2）共享文档的数据值域是否符合标准要求。（即是否采用了标准字典）</w:t>
            </w:r>
          </w:p>
          <w:p w14:paraId="69F66506">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3）共享文档的数据表示格式是否符合标准要求。（比如，某个数据元标准那边要求为数值类型，如果赋值非数字则不满足标准要求）</w:t>
            </w:r>
          </w:p>
          <w:p w14:paraId="7F7465B9">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4）共享文档的数据元是否满足必填项要求。</w:t>
            </w:r>
          </w:p>
          <w:p w14:paraId="2221DD9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2.2共享文档注册</w:t>
            </w:r>
          </w:p>
          <w:p w14:paraId="29BBB520">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基于标准数据集到共享文档的动态映射配置模板，将标准数据集的结构化数据组装成符合《电子病历共享文档规范》的共享文档，并将共享文档注册到电子病历共享文档库。</w:t>
            </w:r>
          </w:p>
          <w:p w14:paraId="0AA11722">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3.互联互通评分管理</w:t>
            </w:r>
          </w:p>
          <w:p w14:paraId="61C39C1C">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基于《医院信息互联互通标准化成熟度测评方案（2020年版）》的等级评定要求，展示互联互通各个等级的评分要求和评分规则，并能够结合医院现有信息化现状进行互联互通评分预估，为医院后续升级改造提供参考依据。</w:t>
            </w:r>
          </w:p>
          <w:p w14:paraId="421BB7FF">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二、数据集标准化管理</w:t>
            </w:r>
          </w:p>
          <w:p w14:paraId="1FA0C7E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针对医院项目信息化现状，依照互联互通标准化成熟度测评四甲的要求，通过对数据集的覆盖范围及数据元、数据元值域的符合情况，对集成平台数据集的符合情况进行对比分析，完成标准化数据集的构建。</w:t>
            </w:r>
          </w:p>
          <w:p w14:paraId="09E06085">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三、共享文档标准化管理</w:t>
            </w:r>
          </w:p>
          <w:p w14:paraId="5B38C724">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针对医院项目信息化现状，依照互联互通标准化成熟度测评四甲的要求，通过对共享文档的覆盖范围及数据、文档格式的符合情况，对集成平台共享文档的符合情况进行对比分析，构建标准的电子共享文档库。</w:t>
            </w:r>
          </w:p>
          <w:p w14:paraId="5693EAF1">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四、互联互通标准适配管理</w:t>
            </w:r>
          </w:p>
          <w:p w14:paraId="5A9A221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要求支持互联互通标准适配器，将普通的XML格式消息转换为满足《医院信息平台交互规范》的HL7 V3标准，帮助部分HL7 V3标准要求支持不足的系统能快速接入平台，并满足医院信息互联互通标准化成熟度测评的信息交互要求。</w:t>
            </w:r>
          </w:p>
          <w:p w14:paraId="63253008">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五、互联互通四甲评级过程要求支撑服务</w:t>
            </w:r>
          </w:p>
          <w:p w14:paraId="4DA157DB">
            <w:pPr>
              <w:spacing w:line="440" w:lineRule="exact"/>
              <w:ind w:firstLine="420" w:firstLineChars="200"/>
              <w:jc w:val="left"/>
              <w:rPr>
                <w:rFonts w:asciiTheme="majorEastAsia" w:hAnsiTheme="majorEastAsia" w:eastAsiaTheme="majorEastAsia"/>
                <w:color w:val="auto"/>
                <w:szCs w:val="21"/>
              </w:rPr>
            </w:pPr>
            <w:r>
              <w:rPr>
                <w:rFonts w:hint="eastAsia" w:asciiTheme="majorEastAsia" w:hAnsiTheme="majorEastAsia" w:eastAsiaTheme="majorEastAsia"/>
                <w:color w:val="auto"/>
                <w:szCs w:val="21"/>
              </w:rPr>
              <w:t>基于《医院信息互联互通标准化成熟度测评方案（2020年版）》四级甲等的相应测评等级要求，结合参评实际年度的标准，作为评审目标进行项目自评，然后根据自评结果与互联互通四级甲等测评等级要求的差异项进行项目建设完善工作，再进行项目文审实证材料准备和报审的相关工作，报审通过后进行专家组现场查验工作，在此期间医院各部门及各系统承建商应积极配合相关工作。包括项目差距调研分析评估服务、申报材料整理的指导和准备、网上申报要求支持、文审答辩要求支持、现场测评要求支持。</w:t>
            </w:r>
          </w:p>
        </w:tc>
        <w:tc>
          <w:tcPr>
            <w:tcW w:w="339" w:type="pct"/>
            <w:tcBorders>
              <w:top w:val="single" w:color="auto" w:sz="4" w:space="0"/>
              <w:left w:val="single" w:color="auto" w:sz="4" w:space="0"/>
              <w:bottom w:val="single" w:color="auto" w:sz="4" w:space="0"/>
              <w:right w:val="single" w:color="auto" w:sz="4" w:space="0"/>
            </w:tcBorders>
            <w:vAlign w:val="center"/>
          </w:tcPr>
          <w:p w14:paraId="6E74D9BB">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r w14:paraId="2AE39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85" w:type="pct"/>
            <w:vMerge w:val="continue"/>
            <w:tcBorders>
              <w:left w:val="single" w:color="auto" w:sz="4" w:space="0"/>
              <w:right w:val="single" w:color="auto" w:sz="4" w:space="0"/>
            </w:tcBorders>
            <w:vAlign w:val="center"/>
          </w:tcPr>
          <w:p w14:paraId="30F594B8">
            <w:pPr>
              <w:spacing w:line="440" w:lineRule="exact"/>
              <w:jc w:val="center"/>
              <w:rPr>
                <w:rFonts w:asciiTheme="majorEastAsia" w:hAnsiTheme="majorEastAsia" w:eastAsiaTheme="majorEastAsia"/>
                <w:color w:val="auto"/>
                <w:szCs w:val="21"/>
              </w:rPr>
            </w:pPr>
          </w:p>
        </w:tc>
        <w:tc>
          <w:tcPr>
            <w:tcW w:w="375" w:type="pct"/>
            <w:tcBorders>
              <w:top w:val="single" w:color="auto" w:sz="4" w:space="0"/>
              <w:left w:val="single" w:color="auto" w:sz="4" w:space="0"/>
              <w:bottom w:val="single" w:color="auto" w:sz="4" w:space="0"/>
              <w:right w:val="single" w:color="auto" w:sz="4" w:space="0"/>
            </w:tcBorders>
            <w:vAlign w:val="center"/>
          </w:tcPr>
          <w:p w14:paraId="1F3F34B6">
            <w:pPr>
              <w:widowControl/>
              <w:spacing w:line="440" w:lineRule="exact"/>
              <w:rPr>
                <w:rFonts w:asciiTheme="majorEastAsia" w:hAnsiTheme="majorEastAsia" w:eastAsiaTheme="majorEastAsia"/>
                <w:color w:val="auto"/>
                <w:szCs w:val="21"/>
              </w:rPr>
            </w:pPr>
            <w:r>
              <w:rPr>
                <w:rFonts w:hint="eastAsia" w:asciiTheme="majorEastAsia" w:hAnsiTheme="majorEastAsia" w:eastAsiaTheme="majorEastAsia"/>
                <w:color w:val="auto"/>
                <w:szCs w:val="21"/>
              </w:rPr>
              <w:t>1</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 xml:space="preserve"> 软件系统合规性要求</w:t>
            </w:r>
          </w:p>
        </w:tc>
        <w:tc>
          <w:tcPr>
            <w:tcW w:w="3901" w:type="pct"/>
            <w:tcBorders>
              <w:top w:val="single" w:color="auto" w:sz="4" w:space="0"/>
              <w:left w:val="single" w:color="auto" w:sz="4" w:space="0"/>
              <w:bottom w:val="single" w:color="auto" w:sz="4" w:space="0"/>
              <w:right w:val="single" w:color="auto" w:sz="4" w:space="0"/>
            </w:tcBorders>
            <w:vAlign w:val="center"/>
          </w:tcPr>
          <w:p w14:paraId="41D4951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1、医疗卫生信息政策法规</w:t>
            </w:r>
          </w:p>
          <w:p w14:paraId="1C0CD35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《医院信息系统基本功能规范》</w:t>
            </w:r>
          </w:p>
          <w:p w14:paraId="6945A31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《病历书写基本规范》</w:t>
            </w:r>
          </w:p>
          <w:p w14:paraId="45C9139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《电子病历基本规范（试行）》</w:t>
            </w:r>
          </w:p>
          <w:p w14:paraId="262498A6">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《中医电子病历基本规范（试行）》</w:t>
            </w:r>
          </w:p>
          <w:p w14:paraId="0E57258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《卫生系统电子认证服务规范》</w:t>
            </w:r>
          </w:p>
          <w:p w14:paraId="58B551C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《临床检验结果共享系统互操作行规范》</w:t>
            </w:r>
          </w:p>
          <w:p w14:paraId="6AD2764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《基于电子病历的医院信息平台建设技术解决方案》</w:t>
            </w:r>
          </w:p>
          <w:p w14:paraId="6E281428">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《医院会计制度》</w:t>
            </w:r>
          </w:p>
          <w:p w14:paraId="7619D8E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《三级综合医院评审标准》</w:t>
            </w:r>
            <w:bookmarkStart w:id="177" w:name="_Toc59449340"/>
            <w:bookmarkStart w:id="178" w:name="_Toc482731717"/>
          </w:p>
          <w:p w14:paraId="79FE8C0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2、中国卫生信息数据标准</w:t>
            </w:r>
            <w:bookmarkEnd w:id="177"/>
            <w:bookmarkEnd w:id="178"/>
          </w:p>
          <w:p w14:paraId="4EDF2B3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《国家卫生信息化标准基础框架》</w:t>
            </w:r>
          </w:p>
          <w:p w14:paraId="21F543F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《中国卫生信息标准基础数据集》</w:t>
            </w:r>
          </w:p>
          <w:p w14:paraId="6773EEA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《中国医院信息基本数据集标准》</w:t>
            </w:r>
          </w:p>
          <w:p w14:paraId="7729094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《卫生信息数据规范指南》</w:t>
            </w:r>
          </w:p>
          <w:p w14:paraId="01C19FE5">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《电子病历基本架构与数据标准》</w:t>
            </w:r>
          </w:p>
          <w:p w14:paraId="308D4A94">
            <w:pPr>
              <w:spacing w:line="440" w:lineRule="exact"/>
              <w:jc w:val="left"/>
              <w:rPr>
                <w:rFonts w:cs="宋体" w:asciiTheme="majorEastAsia" w:hAnsiTheme="majorEastAsia" w:eastAsiaTheme="majorEastAsia"/>
                <w:color w:val="auto"/>
                <w:szCs w:val="21"/>
              </w:rPr>
            </w:pPr>
            <w:bookmarkStart w:id="179" w:name="_Toc482731718"/>
            <w:bookmarkStart w:id="180" w:name="_Toc59449341"/>
            <w:r>
              <w:rPr>
                <w:rFonts w:hint="eastAsia" w:cs="宋体" w:asciiTheme="majorEastAsia" w:hAnsiTheme="majorEastAsia" w:eastAsiaTheme="majorEastAsia"/>
                <w:color w:val="auto"/>
                <w:szCs w:val="21"/>
              </w:rPr>
              <w:t>3、国际医疗卫生数据标准</w:t>
            </w:r>
            <w:bookmarkEnd w:id="179"/>
            <w:bookmarkEnd w:id="180"/>
          </w:p>
          <w:p w14:paraId="03F1AB7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国际疾病分类ICD-9</w:t>
            </w:r>
            <w:r>
              <w:rPr>
                <w:rFonts w:cs="宋体" w:asciiTheme="majorEastAsia" w:hAnsiTheme="majorEastAsia" w:eastAsiaTheme="majorEastAsia"/>
                <w:color w:val="auto"/>
                <w:szCs w:val="21"/>
              </w:rPr>
              <w:t>、</w:t>
            </w:r>
            <w:r>
              <w:rPr>
                <w:rFonts w:hint="eastAsia" w:cs="宋体" w:asciiTheme="majorEastAsia" w:hAnsiTheme="majorEastAsia" w:eastAsiaTheme="majorEastAsia"/>
                <w:color w:val="auto"/>
                <w:szCs w:val="21"/>
              </w:rPr>
              <w:t>ICD-10和</w:t>
            </w:r>
            <w:r>
              <w:rPr>
                <w:rFonts w:cs="宋体" w:asciiTheme="majorEastAsia" w:hAnsiTheme="majorEastAsia" w:eastAsiaTheme="majorEastAsia"/>
                <w:color w:val="auto"/>
                <w:szCs w:val="21"/>
              </w:rPr>
              <w:t>ICD11</w:t>
            </w:r>
          </w:p>
          <w:p w14:paraId="39D388C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医学数字化影像通讯标准 DICOM3</w:t>
            </w:r>
          </w:p>
          <w:p w14:paraId="5C7BF566">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系统化医学名称—临床术语标准SNOMED CT</w:t>
            </w:r>
          </w:p>
          <w:p w14:paraId="34CA8DC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观测指标标识符逻辑命名和编码标准LOINC</w:t>
            </w:r>
          </w:p>
          <w:p w14:paraId="67C0E7F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临床文档架构CDA R2</w:t>
            </w:r>
          </w:p>
          <w:p w14:paraId="65EFC2F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医疗健康信息集成规范IHE</w:t>
            </w:r>
          </w:p>
          <w:p w14:paraId="23B72E27">
            <w:pPr>
              <w:spacing w:line="440" w:lineRule="exact"/>
              <w:jc w:val="left"/>
              <w:rPr>
                <w:rFonts w:cs="宋体" w:asciiTheme="majorEastAsia" w:hAnsiTheme="majorEastAsia" w:eastAsiaTheme="majorEastAsia"/>
                <w:color w:val="auto"/>
                <w:szCs w:val="21"/>
              </w:rPr>
            </w:pPr>
            <w:bookmarkStart w:id="181" w:name="_Toc482731719"/>
            <w:bookmarkStart w:id="182" w:name="_Toc59449342"/>
            <w:r>
              <w:rPr>
                <w:rFonts w:hint="eastAsia" w:cs="宋体" w:asciiTheme="majorEastAsia" w:hAnsiTheme="majorEastAsia" w:eastAsiaTheme="majorEastAsia"/>
                <w:color w:val="auto"/>
                <w:szCs w:val="21"/>
              </w:rPr>
              <w:t>4、医院信息平台标准规范</w:t>
            </w:r>
            <w:bookmarkEnd w:id="181"/>
            <w:bookmarkEnd w:id="182"/>
          </w:p>
          <w:p w14:paraId="51EFBB3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基础类</w:t>
            </w:r>
          </w:p>
          <w:p w14:paraId="31CD304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《GB/T 30107-2013 健康信息学HL7 V3 参考信息模型》</w:t>
            </w:r>
          </w:p>
          <w:p w14:paraId="1F96B03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系统医学命名法—临床术语（SNOMED CT）</w:t>
            </w:r>
          </w:p>
          <w:p w14:paraId="6328A39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观测指标标识符逻辑命名和编码（LOINC）</w:t>
            </w:r>
          </w:p>
          <w:p w14:paraId="705DC6D5">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数据类</w:t>
            </w:r>
          </w:p>
          <w:p w14:paraId="5CF5F99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《电子病历基本架构与数据标准（试行）》</w:t>
            </w:r>
          </w:p>
          <w:p w14:paraId="13D20C9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《WS 445.X-2014 电子病历基本数据集》</w:t>
            </w:r>
          </w:p>
          <w:p w14:paraId="0016861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《WS/T 500X-2016 电子病历共享文档规范》</w:t>
            </w:r>
          </w:p>
          <w:p w14:paraId="4379825B">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国际疾病分类（ICD）</w:t>
            </w:r>
          </w:p>
          <w:p w14:paraId="469C9ED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HL7临床文档架构CDA、持续医疗记录CCD</w:t>
            </w:r>
          </w:p>
          <w:p w14:paraId="6639375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技术类</w:t>
            </w:r>
          </w:p>
          <w:p w14:paraId="129D181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《WS/T 447-2014 基于电子病历的医院信息平台技术规范》</w:t>
            </w:r>
          </w:p>
          <w:p w14:paraId="7C7B7BD0">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《基于电子病历的医院信息平台建设技术解决方案（第一版）》</w:t>
            </w:r>
          </w:p>
          <w:p w14:paraId="41639AB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《医院信息平台应用功能指引》</w:t>
            </w:r>
          </w:p>
          <w:p w14:paraId="2764C2E7">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医疗卫生领域信息交换标准 HL7 V2</w:t>
            </w:r>
          </w:p>
          <w:p w14:paraId="7289E4B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医疗卫生领域信息交换标准 HL7 V3</w:t>
            </w:r>
          </w:p>
          <w:p w14:paraId="3087159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医学数字影像和通讯标准DICOM 3.0</w:t>
            </w:r>
          </w:p>
          <w:p w14:paraId="7FA383A9">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医疗健康信息集成规范IHE</w:t>
            </w:r>
          </w:p>
          <w:p w14:paraId="3F5D752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安全与隐私类</w:t>
            </w:r>
          </w:p>
          <w:p w14:paraId="31F9D96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《信息安全等级保护管理办法》</w:t>
            </w:r>
          </w:p>
          <w:p w14:paraId="552CFAF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《卫生行业信息安全等级保护工作的指导意见》</w:t>
            </w:r>
          </w:p>
          <w:p w14:paraId="4E469A6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《卫生系统电子病历认证服务管理办法（试行）》</w:t>
            </w:r>
          </w:p>
          <w:p w14:paraId="6A34801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《人口健康信息管理办法（试行）》</w:t>
            </w:r>
          </w:p>
          <w:p w14:paraId="7D019EBB">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《电子病历应用管理规范（试行）》</w:t>
            </w:r>
          </w:p>
          <w:p w14:paraId="2C2FC98A">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管理类</w:t>
            </w:r>
          </w:p>
          <w:p w14:paraId="298BC112">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《WS/T 501-2016 电子病历与医院信息平台标准符合性测试规范》</w:t>
            </w:r>
          </w:p>
          <w:p w14:paraId="0F6D9863">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《医院信息互联互通标准化成熟度测评方案（试行）》</w:t>
            </w:r>
          </w:p>
          <w:p w14:paraId="71F8EA0B">
            <w:pPr>
              <w:spacing w:line="440" w:lineRule="exact"/>
              <w:jc w:val="left"/>
              <w:rPr>
                <w:rFonts w:cs="宋体" w:asciiTheme="majorEastAsia" w:hAnsiTheme="majorEastAsia" w:eastAsiaTheme="majorEastAsia"/>
                <w:color w:val="auto"/>
                <w:szCs w:val="21"/>
              </w:rPr>
            </w:pPr>
            <w:bookmarkStart w:id="183" w:name="_Toc482731720"/>
            <w:bookmarkStart w:id="184" w:name="_Toc59449343"/>
            <w:r>
              <w:rPr>
                <w:rFonts w:hint="eastAsia" w:cs="宋体" w:asciiTheme="majorEastAsia" w:hAnsiTheme="majorEastAsia" w:eastAsiaTheme="majorEastAsia"/>
                <w:color w:val="auto"/>
                <w:szCs w:val="21"/>
              </w:rPr>
              <w:t>5、信息安全规范</w:t>
            </w:r>
            <w:bookmarkEnd w:id="183"/>
            <w:bookmarkEnd w:id="184"/>
          </w:p>
          <w:p w14:paraId="0A65BF5F">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《计算机信息系统安全保护等级划分准则》GB17859-1999</w:t>
            </w:r>
          </w:p>
          <w:p w14:paraId="7E52ABA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6、信创兼容性需求</w:t>
            </w:r>
          </w:p>
          <w:p w14:paraId="2EF30196">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基本要求：</w:t>
            </w:r>
          </w:p>
          <w:p w14:paraId="50A56E4D">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软件产品需全面支持国家信息技术应用创新（信创）战略，确保与信创生态中的关键组件（包括但不限于国产CPU、操作系统、数据库、中间件等）实现良好的兼容性和互操作性。</w:t>
            </w:r>
          </w:p>
          <w:p w14:paraId="30C6D78C">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技术架构：</w:t>
            </w:r>
          </w:p>
          <w:p w14:paraId="03EEDE64">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软件产品的技术架构需设计灵活，能够无缝集成信创环境下的各类基础设施和平台，包括但不限于但不限于国产操作系统（如麒麟、统信UOS等）、数据库（如达梦、金仓等）、中间件（如东方通、中创等）以及安全产品。</w:t>
            </w:r>
          </w:p>
          <w:p w14:paraId="6DCCC9CE">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持续支持：</w:t>
            </w:r>
          </w:p>
          <w:p w14:paraId="5EA38561">
            <w:pPr>
              <w:spacing w:line="440" w:lineRule="exact"/>
              <w:jc w:val="left"/>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供应商需承诺在软件产品的整个生命周期内，持续提供对信创环境的支持，包括但不限于软件更新、补丁发布、技术支持等，以确保软件始终与信创生态保持同步。</w:t>
            </w:r>
          </w:p>
          <w:p w14:paraId="4640AC0B">
            <w:pPr>
              <w:spacing w:line="440" w:lineRule="exact"/>
              <w:jc w:val="left"/>
              <w:rPr>
                <w:rFonts w:cs="宋体" w:asciiTheme="majorEastAsia" w:hAnsiTheme="majorEastAsia" w:eastAsiaTheme="majorEastAsia"/>
                <w:color w:val="auto"/>
                <w:szCs w:val="21"/>
              </w:rPr>
            </w:pPr>
          </w:p>
        </w:tc>
        <w:tc>
          <w:tcPr>
            <w:tcW w:w="339" w:type="pct"/>
            <w:tcBorders>
              <w:top w:val="single" w:color="auto" w:sz="4" w:space="0"/>
              <w:left w:val="single" w:color="auto" w:sz="4" w:space="0"/>
              <w:bottom w:val="single" w:color="auto" w:sz="4" w:space="0"/>
              <w:right w:val="single" w:color="auto" w:sz="4" w:space="0"/>
            </w:tcBorders>
            <w:vAlign w:val="center"/>
          </w:tcPr>
          <w:p w14:paraId="09C1DD8B">
            <w:pPr>
              <w:spacing w:line="440" w:lineRule="exact"/>
              <w:jc w:val="cente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1项</w:t>
            </w:r>
          </w:p>
        </w:tc>
      </w:tr>
    </w:tbl>
    <w:p w14:paraId="1043C105">
      <w:pPr>
        <w:spacing w:line="380" w:lineRule="exact"/>
        <w:rPr>
          <w:rFonts w:ascii="方正仿宋_GBK" w:hAnsi="方正仿宋_GBK" w:eastAsia="方正仿宋_GBK" w:cs="方正仿宋_GBK"/>
          <w:color w:val="auto"/>
          <w:kern w:val="0"/>
          <w:sz w:val="32"/>
          <w:szCs w:val="32"/>
        </w:rPr>
      </w:pPr>
    </w:p>
    <w:p w14:paraId="6D3F4B93">
      <w:pPr>
        <w:wordWrap w:val="0"/>
        <w:autoSpaceDE w:val="0"/>
        <w:autoSpaceDN w:val="0"/>
        <w:adjustRightInd w:val="0"/>
        <w:spacing w:line="560" w:lineRule="exact"/>
        <w:ind w:firstLine="422" w:firstLineChars="200"/>
        <w:rPr>
          <w:rFonts w:ascii="宋体" w:hAnsi="宋体" w:cs="方正仿宋_GBK"/>
          <w:b/>
          <w:bCs/>
          <w:color w:val="auto"/>
          <w:szCs w:val="21"/>
        </w:rPr>
      </w:pPr>
      <w:r>
        <w:rPr>
          <w:rFonts w:hint="eastAsia" w:ascii="宋体" w:hAnsi="宋体" w:cs="方正仿宋_GBK"/>
          <w:b/>
          <w:bCs/>
          <w:color w:val="auto"/>
          <w:szCs w:val="21"/>
        </w:rPr>
        <w:t>四、商务要求：</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A96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5000" w:type="pct"/>
            <w:noWrap/>
            <w:vAlign w:val="center"/>
          </w:tcPr>
          <w:p w14:paraId="3244320F">
            <w:pPr>
              <w:autoSpaceDE w:val="0"/>
              <w:autoSpaceDN w:val="0"/>
              <w:adjustRightInd w:val="0"/>
              <w:spacing w:line="440" w:lineRule="exact"/>
              <w:ind w:firstLine="422" w:firstLineChars="20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（一）服务时间：</w:t>
            </w:r>
          </w:p>
          <w:p w14:paraId="5CC21E1C">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服务开始时间：合同签订后一周内，中标人应派实施人员和研发人员入场实施。合同签订日起3个月内完成集成平台部署并完成现有系统的接口对接；合同签订日起6个月内完成电子病历系统、HIS系统、LIS系统验收上线，15个月内完成本项目所有系统上线，5年内完成本项目实施与交付，完成相关评级工作。质保期以每个系统板块要求为准。</w:t>
            </w:r>
          </w:p>
          <w:p w14:paraId="5ECBAC83">
            <w:pPr>
              <w:autoSpaceDE w:val="0"/>
              <w:autoSpaceDN w:val="0"/>
              <w:adjustRightInd w:val="0"/>
              <w:spacing w:line="440" w:lineRule="exact"/>
              <w:ind w:firstLine="422"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b/>
                <w:bCs/>
                <w:color w:val="auto"/>
                <w:szCs w:val="21"/>
              </w:rPr>
              <w:t>（二）服务地点：</w:t>
            </w:r>
            <w:r>
              <w:rPr>
                <w:rFonts w:hint="eastAsia" w:asciiTheme="majorEastAsia" w:hAnsiTheme="majorEastAsia" w:eastAsiaTheme="majorEastAsia" w:cstheme="minorEastAsia"/>
                <w:color w:val="auto"/>
                <w:szCs w:val="21"/>
              </w:rPr>
              <w:t>广西壮族自治区江滨医院</w:t>
            </w:r>
          </w:p>
          <w:p w14:paraId="60DFF40F">
            <w:pPr>
              <w:spacing w:line="440" w:lineRule="exact"/>
              <w:ind w:firstLine="422" w:firstLineChars="20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（三）服务人员：</w:t>
            </w:r>
          </w:p>
          <w:p w14:paraId="577C31CE">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中标人应针对医院信息系统建设的项目组建现场驻场实施团队人员数最少16人，分别为实施人员10人（包括项目经理1人、具体实施人员人员8人、系统分析员1人），研发人员6人。驻场时间从启动项目到整体项目验收结束。成员具体要求如下：（提供相关成员的有效社保及资质证明）</w:t>
            </w:r>
          </w:p>
          <w:p w14:paraId="1C164EA7">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项目经理：全权代表中标人执行各项技术及管理工作；在中标人公司工作满5年以上。具有计算机技术与软件专业技术资格（水平）中“信息系统项目管理师”同等或以上资质。需明确一名后备项目经理，在项目经理失去工作能力或离职等情况下负责项目管理，该后备项目经理资质与工作经验不低于原项目经理。（后备项目经理原则上不得由具体实施人员兼任，如项目执行中遇特殊情况必须由具体实施人员兼任，需另补充一名资质与工作经验不低于前任的具体实施人员）</w:t>
            </w:r>
          </w:p>
          <w:p w14:paraId="0DB5D433">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（2）具体实施人员：负责项目的现场实施工作，直至项目结束。在中标人公司工作满3年以上。具有计算机技术与软件专业技术资格（水平）中“软件设计师”同等或以上资质。</w:t>
            </w:r>
          </w:p>
          <w:p w14:paraId="5065D596">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（3）系统分析员：负责系统的应用管理和分析；在中标人公司工作满3年以上。具有具有计算机技术与软件专业技术资格（水平）中“软件评测师”同等或以上资质，至少1人。</w:t>
            </w:r>
          </w:p>
          <w:p w14:paraId="1060A71B">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（4）研发人员：进行现场需求分析及研发，通过研发满足临床需求；在中标人公司工作满3年以上。</w:t>
            </w:r>
          </w:p>
          <w:p w14:paraId="4A1B9AF0">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2、维护人员：项目验收后，长期驻守项目现场，负责售后服务。维护人员不少于2人。具有具有计算机技术与软件专业技术资格（水平）中“软件设计师”同等或以上资质。</w:t>
            </w:r>
          </w:p>
          <w:p w14:paraId="53F8397A">
            <w:pPr>
              <w:numPr>
                <w:ilvl w:val="0"/>
                <w:numId w:val="60"/>
              </w:numPr>
              <w:spacing w:line="440" w:lineRule="exact"/>
              <w:ind w:left="840" w:hanging="42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项目验收进入运维期后，中标人承诺成立南宁设立运维服务中心，服务中心人员均来自项目团队，其规模不少于10人，为本项目客户提供本地化的运维及优化服务。</w:t>
            </w:r>
          </w:p>
          <w:p w14:paraId="5EFB10BA">
            <w:pPr>
              <w:spacing w:line="440" w:lineRule="exact"/>
              <w:ind w:left="42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（四）服务培训要求：</w:t>
            </w:r>
          </w:p>
          <w:p w14:paraId="65A120B8">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中标人必须根据系统软件的功能和特点，充分考虑到系统使用人员的实际水平，提出详细的系统培训方案。目标是通过系统培训以达到系统管理人员能够具备独立管理中标人所提供的系统软件和日常的维护处理能力，各级业务人员能够熟练使用系统软件，确保应用系统能够真正地用起来。</w:t>
            </w:r>
          </w:p>
          <w:p w14:paraId="3CF1006F">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1、中标人需要准备一份完整的培训方案，对甲方各类人员进行相关的培训，明确培训的内容、次数和方式。</w:t>
            </w:r>
          </w:p>
          <w:p w14:paraId="1BFF9A9A">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2、培训对象应分为普通业务操作员、系统管理员，中标人必须针对不同的对象制定不同的培训计划，并分别培训。所提供的培训课程表随投标文件一起提交。</w:t>
            </w:r>
          </w:p>
          <w:p w14:paraId="46EBE3C3">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3、中标人应保证提供有经验的教员，使甲方相关人员在培训后能够独立地对系统进行管理、维护，而不需中标人的人员在场指导。</w:t>
            </w:r>
          </w:p>
          <w:p w14:paraId="65138184">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4、培训内容包括应用软件操作、操作系统、后台数据库管理等培训。</w:t>
            </w:r>
          </w:p>
          <w:p w14:paraId="58F3AA18">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5、中标人必须为所有被培训人员进行现场培训。</w:t>
            </w:r>
          </w:p>
          <w:p w14:paraId="64C57990">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6、业务系统操作培训工作应在系统安装之前结束。</w:t>
            </w:r>
          </w:p>
          <w:p w14:paraId="658ED281">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7、医院仅负责提供培训场地、培训电脑和培训人员的召集。</w:t>
            </w:r>
          </w:p>
          <w:p w14:paraId="6379012A">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8、中标人负责培训环境的搭建、培训文档的准备、培训的实施、培训人员的考核等。</w:t>
            </w:r>
          </w:p>
          <w:p w14:paraId="223443E3">
            <w:pPr>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9、与培训相关的费用，投标人应当一并计算在投标报价中。</w:t>
            </w:r>
          </w:p>
          <w:p w14:paraId="70207B11">
            <w:pPr>
              <w:autoSpaceDE w:val="0"/>
              <w:autoSpaceDN w:val="0"/>
              <w:adjustRightInd w:val="0"/>
              <w:spacing w:line="440" w:lineRule="exact"/>
              <w:ind w:firstLine="422" w:firstLineChars="20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（五）付款及履约要求：</w:t>
            </w:r>
          </w:p>
          <w:p w14:paraId="62F24751">
            <w:pPr>
              <w:spacing w:line="440" w:lineRule="exact"/>
              <w:ind w:firstLine="210" w:firstLineChars="100"/>
              <w:rPr>
                <w:rFonts w:asciiTheme="majorEastAsia" w:hAnsiTheme="majorEastAsia" w:eastAsiaTheme="majorEastAsia" w:cstheme="minorEastAsia"/>
                <w:color w:val="auto"/>
                <w:kern w:val="0"/>
                <w:szCs w:val="21"/>
              </w:rPr>
            </w:pPr>
            <w:r>
              <w:rPr>
                <w:rFonts w:hint="eastAsia" w:asciiTheme="majorEastAsia" w:hAnsiTheme="majorEastAsia" w:eastAsiaTheme="majorEastAsia" w:cstheme="minorEastAsia"/>
                <w:color w:val="auto"/>
                <w:kern w:val="0"/>
                <w:szCs w:val="21"/>
              </w:rPr>
              <w:t>1、付款要求</w:t>
            </w:r>
          </w:p>
          <w:p w14:paraId="53238989">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(1）实施款项占总额（含税）70% ；</w:t>
            </w:r>
          </w:p>
          <w:p w14:paraId="259409B5">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软件产品首款：合同签订后，乙实施团队全员到达招标人实施现场后，招标人收到中标人合法有效发票，招标人于一个月内支付款项总额（含税）的20%；</w:t>
            </w:r>
          </w:p>
          <w:p w14:paraId="705C0678">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软件产品上线款：HIS、EMR、集成平台、临床决策支持系统（CDSS）、统一支付对账平台、统一预约服务平台、核心系统信息安全等级保护三级测评以及现有系统接口改造通过实施完成上线且稳定一个月后，招标人收到中标人合法有效发票，招标人于一个月内支付款项总额（含税）的约15%；</w:t>
            </w:r>
          </w:p>
          <w:p w14:paraId="7525D62E">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完成智慧病房、检验信息管理系统（lis系统）和自助机项目实施完成验收上线且稳定一个月后，招标人收到中标人合法有效发票，招标人于一个月内支付款项总额（含税）的约10%；</w:t>
            </w:r>
          </w:p>
          <w:p w14:paraId="4211FB37">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完成互联网医院、无纸化病案管理验收上线且稳定一个月后，招标人收到中标人合法有效发票，招标人于一个月内支付款项总额（含税）的约10%；</w:t>
            </w:r>
          </w:p>
          <w:p w14:paraId="53379695">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完成血液透析智能管理系统、医院消毒供应室追溯管理系统、医疗急诊医学临床信息系统（ECIS）、医院DRG精细化管理平台、远程会诊系统验收上线且稳定一个月后，招标人收到中标人合法有效发票，招标人于一个月内支付款项总额（含税）的约10%；</w:t>
            </w:r>
          </w:p>
          <w:p w14:paraId="368C0800">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剩余5%的实施款项，质保期满后支付。</w:t>
            </w:r>
          </w:p>
          <w:p w14:paraId="28F2A4DB">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(2）评级服务部分：占总额（含税）30%；</w:t>
            </w:r>
          </w:p>
          <w:p w14:paraId="1865EA00">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互联互通四级甲等：通过医院信息互联互通标准化成熟度测评四级甲等评测（以国家卫健委或相关部门颁牌或官方网站公布的结果为准），收到中标人合法有效发票，招标人于一个月内支付款项总额（含税）的10%。</w:t>
            </w:r>
          </w:p>
          <w:p w14:paraId="679256C1">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2）医院通过电子病历系统功能应用水平分级评价五级（以国家卫健委或相关部门颁牌或官方网站公布的结果为准），收到中标人合法有效发票，招标人于一个月内支付款项总额（含税）的10%。</w:t>
            </w:r>
          </w:p>
          <w:p w14:paraId="7A208E40">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3）医院通过智慧服务三级：通过医院信息智慧服务三级评测（以国家卫健委或相关部门颁牌或官方网站公布的结果为准），收到中标人合法有效发票，招标人于一个月内支付款项总额（含税）的10%。</w:t>
            </w:r>
          </w:p>
          <w:p w14:paraId="091E19EA">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2、履约保证金</w:t>
            </w:r>
          </w:p>
          <w:p w14:paraId="1E057E2E">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(1）中标人须按“投标人须知前附表” 的规定提交履约保证金；中标人未按规定提交履约保证金的，视为拒绝与采购人签订合同，采购人可以按照评标报告推荐的中标候选人名单排序，确定下一候选人为中标人，也可以重新开展政府采购活动。</w:t>
            </w:r>
          </w:p>
          <w:p w14:paraId="10EC3060">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(2）履约保证金的退还</w:t>
            </w:r>
          </w:p>
          <w:p w14:paraId="7651019A">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 xml:space="preserve">中标人的履约保证金自售后承诺服务期满之日起5个工作日内退还。 </w:t>
            </w:r>
          </w:p>
          <w:p w14:paraId="778823B2">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(3）除逾期退还履约保证金和终止招标的情形以外，履约保证金不计息。</w:t>
            </w:r>
          </w:p>
          <w:p w14:paraId="6964DCD7">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(4) 签订合同后，如中标人不按双方签订的合同规定履约，则没收其全部履约保证金，履约保证金不足以赔偿损失的，按实际损失赔偿。</w:t>
            </w:r>
          </w:p>
          <w:p w14:paraId="6F487993">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(5）在履约保证金退还日期前，若中标人的开户名称、开户银行、账号有变动的，请以书面形式通知履约保证金收取单位，否则由此产生的后果由中标人自行承担。</w:t>
            </w:r>
          </w:p>
          <w:p w14:paraId="570176B8">
            <w:pPr>
              <w:widowControl/>
              <w:snapToGrid w:val="0"/>
              <w:spacing w:line="440" w:lineRule="exact"/>
              <w:ind w:firstLine="422" w:firstLineChars="20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（六）新旧系统切换要求：</w:t>
            </w:r>
          </w:p>
          <w:p w14:paraId="241075E3">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1、新旧系统切换方案：在系统迁移过程中，必须保证原系统数据的完整性、准确性、安全性、一致性；对原有系统的数据在一段时间内进行保护，保证新旧系统的平稳过渡。</w:t>
            </w:r>
          </w:p>
          <w:p w14:paraId="7FA4CD8D">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2、切换应急预案：为了保证系统在切换的过程中，一旦出现重大问题，导致新系统不能正常运行的情况下，就必须有紧急预案并有启停应急系统，以保证业务的正常进行。</w:t>
            </w:r>
          </w:p>
          <w:p w14:paraId="531F61C4">
            <w:pPr>
              <w:widowControl/>
              <w:snapToGrid w:val="0"/>
              <w:spacing w:line="440" w:lineRule="exact"/>
              <w:ind w:firstLine="422" w:firstLineChars="200"/>
              <w:rPr>
                <w:rFonts w:asciiTheme="majorEastAsia" w:hAnsiTheme="majorEastAsia" w:eastAsiaTheme="majorEastAsia" w:cstheme="minorEastAsia"/>
                <w:b/>
                <w:bCs/>
                <w:color w:val="auto"/>
                <w:szCs w:val="21"/>
              </w:rPr>
            </w:pPr>
            <w:r>
              <w:rPr>
                <w:rFonts w:hint="eastAsia" w:asciiTheme="majorEastAsia" w:hAnsiTheme="majorEastAsia" w:eastAsiaTheme="majorEastAsia" w:cstheme="minorEastAsia"/>
                <w:b/>
                <w:bCs/>
                <w:color w:val="auto"/>
                <w:szCs w:val="21"/>
              </w:rPr>
              <w:t>（七）文档管理要求：</w:t>
            </w:r>
          </w:p>
          <w:p w14:paraId="6EB3FB40">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1、文档是保证项目的实施连贯性的重要保证，必须提供完善的文档，并对项目进行过程中的文档进行有效的管理，接受用户方对项目各阶段评估分析和监督管理。</w:t>
            </w:r>
          </w:p>
          <w:p w14:paraId="4C0C09DA">
            <w:pPr>
              <w:autoSpaceDE w:val="0"/>
              <w:autoSpaceDN w:val="0"/>
              <w:adjustRightInd w:val="0"/>
              <w:spacing w:line="440" w:lineRule="exact"/>
              <w:ind w:firstLine="420" w:firstLineChars="200"/>
              <w:rPr>
                <w:rFonts w:asciiTheme="majorEastAsia" w:hAnsiTheme="majorEastAsia" w:eastAsiaTheme="majorEastAsia" w:cstheme="minorEastAsia"/>
                <w:color w:val="auto"/>
                <w:szCs w:val="21"/>
              </w:rPr>
            </w:pPr>
            <w:r>
              <w:rPr>
                <w:rFonts w:hint="eastAsia" w:asciiTheme="majorEastAsia" w:hAnsiTheme="majorEastAsia" w:eastAsiaTheme="majorEastAsia" w:cstheme="minorEastAsia"/>
                <w:color w:val="auto"/>
                <w:szCs w:val="21"/>
              </w:rPr>
              <w:t>2、整个项目的过程包括后期修改维护贯穿ISO9001和CMM的规范，使用国家标准码，提供齐全的项目管理、设计和开发、操作说明等书面文档和电子版。</w:t>
            </w:r>
          </w:p>
          <w:p w14:paraId="2E84FC35">
            <w:pPr>
              <w:spacing w:line="440" w:lineRule="exact"/>
              <w:ind w:firstLine="632" w:firstLineChars="300"/>
              <w:rPr>
                <w:rFonts w:asciiTheme="majorEastAsia" w:hAnsiTheme="majorEastAsia" w:eastAsiaTheme="majorEastAsia"/>
                <w:color w:val="auto"/>
                <w:szCs w:val="21"/>
              </w:rPr>
            </w:pPr>
            <w:r>
              <w:rPr>
                <w:rFonts w:hint="eastAsia" w:cs="方正仿宋_GBK" w:asciiTheme="majorEastAsia" w:hAnsiTheme="majorEastAsia" w:eastAsiaTheme="majorEastAsia"/>
                <w:b/>
                <w:color w:val="auto"/>
                <w:szCs w:val="21"/>
              </w:rPr>
              <w:t>（九）其他：</w:t>
            </w:r>
          </w:p>
          <w:p w14:paraId="2ACE6B5B">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必须确保提供的系统满足电子病历系统功能应用水平分级评价5级以上相关要求、系统满足互联互通标准化成熟度四级甲等以上标准相关要求、系统满足医院智慧服务分级评估3级以上相关要求</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并辅助医院通过以上评级</w:t>
            </w:r>
            <w:r>
              <w:rPr>
                <w:rFonts w:asciiTheme="majorEastAsia" w:hAnsiTheme="majorEastAsia" w:eastAsiaTheme="majorEastAsia"/>
                <w:color w:val="auto"/>
                <w:szCs w:val="21"/>
              </w:rPr>
              <w:t>。</w:t>
            </w:r>
          </w:p>
          <w:p w14:paraId="373C3A86">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必须确保提供的系统免费与医院相关系统无缝对接，实现信息互联共享</w:t>
            </w:r>
            <w:r>
              <w:rPr>
                <w:rFonts w:asciiTheme="majorEastAsia" w:hAnsiTheme="majorEastAsia" w:eastAsiaTheme="majorEastAsia"/>
                <w:color w:val="auto"/>
                <w:szCs w:val="21"/>
              </w:rPr>
              <w:t>。</w:t>
            </w:r>
          </w:p>
          <w:p w14:paraId="5B97064F">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必须在应标的时候明确那些系统是自己公司产品</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那些是集成其他公司的产品</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属其他公司的软件必须获得该公司出具的售后承诺书</w:t>
            </w:r>
            <w:r>
              <w:rPr>
                <w:rFonts w:asciiTheme="majorEastAsia" w:hAnsiTheme="majorEastAsia" w:eastAsiaTheme="majorEastAsia"/>
                <w:color w:val="auto"/>
                <w:szCs w:val="21"/>
              </w:rPr>
              <w:t>。</w:t>
            </w:r>
          </w:p>
          <w:p w14:paraId="4D956712">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必须</w:t>
            </w:r>
            <w:r>
              <w:rPr>
                <w:rFonts w:asciiTheme="majorEastAsia" w:hAnsiTheme="majorEastAsia" w:eastAsiaTheme="majorEastAsia"/>
                <w:color w:val="auto"/>
                <w:szCs w:val="21"/>
              </w:rPr>
              <w:t>根据电子病历五级建设要求、信息互联互通四级甲等要求</w:t>
            </w:r>
            <w:r>
              <w:rPr>
                <w:rFonts w:hint="eastAsia" w:asciiTheme="majorEastAsia" w:hAnsiTheme="majorEastAsia" w:eastAsiaTheme="majorEastAsia"/>
                <w:color w:val="auto"/>
                <w:szCs w:val="21"/>
              </w:rPr>
              <w:t>和医院智慧服务评估三级要求</w:t>
            </w:r>
            <w:r>
              <w:rPr>
                <w:rFonts w:asciiTheme="majorEastAsia" w:hAnsiTheme="majorEastAsia" w:eastAsiaTheme="majorEastAsia"/>
                <w:color w:val="auto"/>
                <w:szCs w:val="21"/>
              </w:rPr>
              <w:t>对</w:t>
            </w:r>
            <w:r>
              <w:rPr>
                <w:rFonts w:hint="eastAsia" w:asciiTheme="majorEastAsia" w:hAnsiTheme="majorEastAsia" w:eastAsiaTheme="majorEastAsia"/>
                <w:color w:val="auto"/>
                <w:szCs w:val="21"/>
              </w:rPr>
              <w:t>包含但不限于</w:t>
            </w:r>
            <w:r>
              <w:rPr>
                <w:rFonts w:asciiTheme="majorEastAsia" w:hAnsiTheme="majorEastAsia" w:eastAsiaTheme="majorEastAsia"/>
                <w:b/>
                <w:bCs/>
                <w:color w:val="auto"/>
                <w:szCs w:val="21"/>
              </w:rPr>
              <w:t>27</w:t>
            </w:r>
            <w:r>
              <w:rPr>
                <w:rFonts w:hint="eastAsia" w:asciiTheme="majorEastAsia" w:hAnsiTheme="majorEastAsia" w:eastAsiaTheme="majorEastAsia"/>
                <w:b/>
                <w:bCs/>
                <w:color w:val="auto"/>
                <w:szCs w:val="21"/>
              </w:rPr>
              <w:t>个医院已有系统</w:t>
            </w:r>
            <w:r>
              <w:rPr>
                <w:rFonts w:asciiTheme="majorEastAsia" w:hAnsiTheme="majorEastAsia" w:eastAsiaTheme="majorEastAsia"/>
                <w:b/>
                <w:bCs/>
                <w:color w:val="auto"/>
                <w:szCs w:val="21"/>
              </w:rPr>
              <w:t>进行升级改造</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必要时</w:t>
            </w:r>
            <w:r>
              <w:rPr>
                <w:rFonts w:hint="eastAsia" w:asciiTheme="majorEastAsia" w:hAnsiTheme="majorEastAsia" w:eastAsiaTheme="majorEastAsia"/>
                <w:b/>
                <w:bCs/>
                <w:color w:val="auto"/>
                <w:szCs w:val="21"/>
              </w:rPr>
              <w:t>向原厂家购买接口改造和升级服务，费用包含在本次成交价中</w:t>
            </w:r>
            <w:r>
              <w:rPr>
                <w:rFonts w:asciiTheme="majorEastAsia" w:hAnsiTheme="majorEastAsia" w:eastAsiaTheme="majorEastAsia"/>
                <w:color w:val="auto"/>
                <w:szCs w:val="21"/>
              </w:rPr>
              <w:t>。</w:t>
            </w:r>
          </w:p>
          <w:p w14:paraId="5BA4CA5E">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承诺本项目所有软件</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系统和平台必须</w:t>
            </w:r>
            <w:r>
              <w:rPr>
                <w:rFonts w:hint="eastAsia" w:asciiTheme="majorEastAsia" w:hAnsiTheme="majorEastAsia" w:eastAsiaTheme="majorEastAsia"/>
                <w:b/>
                <w:bCs/>
                <w:color w:val="auto"/>
                <w:szCs w:val="21"/>
              </w:rPr>
              <w:t>安装在广西壮族自治区江滨医院运行</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不能运行在未经医院允许的第三方平台</w:t>
            </w: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对提供的软件</w:t>
            </w:r>
            <w:r>
              <w:rPr>
                <w:rFonts w:hint="eastAsia" w:asciiTheme="majorEastAsia" w:hAnsiTheme="majorEastAsia" w:eastAsiaTheme="majorEastAsia"/>
                <w:b/>
                <w:bCs/>
                <w:color w:val="auto"/>
                <w:szCs w:val="21"/>
              </w:rPr>
              <w:t>提供本地化开发服务</w:t>
            </w:r>
            <w:r>
              <w:rPr>
                <w:rFonts w:hint="eastAsia" w:asciiTheme="majorEastAsia" w:hAnsiTheme="majorEastAsia" w:eastAsiaTheme="majorEastAsia"/>
                <w:color w:val="auto"/>
                <w:szCs w:val="21"/>
              </w:rPr>
              <w:t>，功能或需求以医院实际需要为准。并且提供his系统和电子病历系统应用类源代码和数据库权限</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以及相关技术文档</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比如系统增加个菜单</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界面增加个按钮</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文本框</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选择框</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等等</w:t>
            </w:r>
            <w:r>
              <w:rPr>
                <w:rFonts w:asciiTheme="majorEastAsia" w:hAnsiTheme="majorEastAsia" w:eastAsiaTheme="majorEastAsia"/>
                <w:color w:val="auto"/>
                <w:szCs w:val="21"/>
              </w:rPr>
              <w:t>。</w:t>
            </w:r>
          </w:p>
          <w:p w14:paraId="227CF4FF">
            <w:pPr>
              <w:numPr>
                <w:ilvl w:val="0"/>
                <w:numId w:val="65"/>
              </w:numPr>
              <w:spacing w:line="440" w:lineRule="exact"/>
              <w:ind w:firstLine="360"/>
              <w:jc w:val="left"/>
              <w:rPr>
                <w:rFonts w:asciiTheme="majorEastAsia" w:hAnsiTheme="majorEastAsia" w:eastAsiaTheme="majorEastAsia"/>
                <w:color w:val="auto"/>
                <w:szCs w:val="21"/>
              </w:rPr>
            </w:pPr>
            <w:r>
              <w:rPr>
                <w:rFonts w:asciiTheme="majorEastAsia" w:hAnsiTheme="majorEastAsia" w:eastAsiaTheme="majorEastAsia"/>
                <w:color w:val="auto"/>
                <w:szCs w:val="21"/>
              </w:rPr>
              <w:t>中标人</w:t>
            </w:r>
            <w:r>
              <w:rPr>
                <w:rFonts w:hint="eastAsia" w:asciiTheme="majorEastAsia" w:hAnsiTheme="majorEastAsia" w:eastAsiaTheme="majorEastAsia"/>
                <w:color w:val="auto"/>
                <w:szCs w:val="21"/>
              </w:rPr>
              <w:t>提供从系统验收合格之日起</w:t>
            </w:r>
            <w:r>
              <w:rPr>
                <w:rFonts w:hint="eastAsia" w:asciiTheme="majorEastAsia" w:hAnsiTheme="majorEastAsia" w:eastAsiaTheme="majorEastAsia"/>
                <w:b/>
                <w:bCs/>
                <w:color w:val="auto"/>
                <w:szCs w:val="21"/>
              </w:rPr>
              <w:t>软件系统原厂</w:t>
            </w:r>
            <w:r>
              <w:rPr>
                <w:rFonts w:asciiTheme="majorEastAsia" w:hAnsiTheme="majorEastAsia" w:eastAsiaTheme="majorEastAsia"/>
                <w:b/>
                <w:bCs/>
                <w:color w:val="auto"/>
                <w:szCs w:val="21"/>
              </w:rPr>
              <w:t>2</w:t>
            </w:r>
            <w:r>
              <w:rPr>
                <w:rFonts w:hint="eastAsia" w:asciiTheme="majorEastAsia" w:hAnsiTheme="majorEastAsia" w:eastAsiaTheme="majorEastAsia"/>
                <w:b/>
                <w:bCs/>
                <w:color w:val="auto"/>
                <w:szCs w:val="21"/>
              </w:rPr>
              <w:t>年的免费质保服务</w:t>
            </w:r>
            <w:r>
              <w:rPr>
                <w:rFonts w:hint="eastAsia" w:asciiTheme="majorEastAsia" w:hAnsiTheme="majorEastAsia" w:eastAsiaTheme="majorEastAsia"/>
                <w:color w:val="auto"/>
                <w:szCs w:val="21"/>
              </w:rPr>
              <w:t>。部分系统软件</w:t>
            </w:r>
            <w:r>
              <w:rPr>
                <w:rFonts w:asciiTheme="majorEastAsia" w:hAnsiTheme="majorEastAsia" w:eastAsiaTheme="majorEastAsia"/>
                <w:color w:val="auto"/>
                <w:szCs w:val="21"/>
              </w:rPr>
              <w:t>2</w:t>
            </w:r>
            <w:r>
              <w:rPr>
                <w:rFonts w:hint="eastAsia" w:asciiTheme="majorEastAsia" w:hAnsiTheme="majorEastAsia" w:eastAsiaTheme="majorEastAsia"/>
                <w:color w:val="auto"/>
                <w:szCs w:val="21"/>
              </w:rPr>
              <w:t>年以上</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具体在招标参数中作了说明</w:t>
            </w:r>
            <w:r>
              <w:rPr>
                <w:rFonts w:asciiTheme="majorEastAsia" w:hAnsiTheme="majorEastAsia" w:eastAsiaTheme="majorEastAsia"/>
                <w:color w:val="auto"/>
                <w:szCs w:val="21"/>
              </w:rPr>
              <w:t>。</w:t>
            </w:r>
          </w:p>
          <w:p w14:paraId="74C5C003">
            <w:pPr>
              <w:numPr>
                <w:ilvl w:val="0"/>
                <w:numId w:val="65"/>
              </w:numPr>
              <w:spacing w:line="440" w:lineRule="exact"/>
              <w:ind w:firstLine="360"/>
              <w:jc w:val="left"/>
              <w:rPr>
                <w:rFonts w:cs="宋体" w:asciiTheme="majorEastAsia" w:hAnsiTheme="majorEastAsia" w:eastAsiaTheme="majorEastAsia"/>
                <w:b/>
                <w:color w:val="auto"/>
                <w:kern w:val="0"/>
                <w:szCs w:val="21"/>
              </w:rPr>
            </w:pPr>
            <w:r>
              <w:rPr>
                <w:rFonts w:hint="eastAsia" w:asciiTheme="majorEastAsia" w:hAnsiTheme="majorEastAsia" w:eastAsiaTheme="majorEastAsia"/>
                <w:color w:val="auto"/>
                <w:szCs w:val="21"/>
              </w:rPr>
              <w:t>中标人承诺本次提供软件产品为软件提供厂家</w:t>
            </w:r>
            <w:r>
              <w:rPr>
                <w:rFonts w:hint="eastAsia" w:asciiTheme="majorEastAsia" w:hAnsiTheme="majorEastAsia" w:eastAsiaTheme="majorEastAsia"/>
                <w:b/>
                <w:bCs/>
                <w:color w:val="auto"/>
                <w:szCs w:val="21"/>
              </w:rPr>
              <w:t>最新产品</w:t>
            </w:r>
            <w:r>
              <w:rPr>
                <w:rFonts w:hint="eastAsia" w:asciiTheme="majorEastAsia" w:hAnsiTheme="majorEastAsia" w:eastAsiaTheme="majorEastAsia"/>
                <w:color w:val="auto"/>
                <w:szCs w:val="21"/>
              </w:rPr>
              <w:t>，实施阶段如有新版本产生，需免费帮升级到最新版本。承诺软件产品没有侵权问题</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如有</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中标人承担所有法律责任</w:t>
            </w:r>
            <w:r>
              <w:rPr>
                <w:rFonts w:asciiTheme="majorEastAsia" w:hAnsiTheme="majorEastAsia" w:eastAsiaTheme="majorEastAsia"/>
                <w:color w:val="auto"/>
                <w:szCs w:val="21"/>
              </w:rPr>
              <w:t>。</w:t>
            </w:r>
          </w:p>
        </w:tc>
      </w:tr>
      <w:bookmarkEnd w:id="0"/>
    </w:tbl>
    <w:p w14:paraId="5956B0F9">
      <w:pPr>
        <w:spacing w:beforeLines="25" w:afterLines="25" w:line="520" w:lineRule="exact"/>
        <w:rPr>
          <w:color w:val="auto"/>
        </w:rPr>
      </w:pPr>
    </w:p>
    <w:p w14:paraId="3CC61C79">
      <w:pPr>
        <w:spacing w:before="60" w:beforeLines="25" w:after="60" w:afterLines="25" w:line="520" w:lineRule="exact"/>
        <w:rPr>
          <w:color w:val="auto"/>
          <w:highlight w:val="none"/>
        </w:rPr>
      </w:pPr>
    </w:p>
    <w:bookmarkEnd w:id="18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Arial Unicode MS"/>
    <w:panose1 w:val="02000000000000000000"/>
    <w:charset w:val="86"/>
    <w:family w:val="auto"/>
    <w:pitch w:val="default"/>
    <w:sig w:usb0="00000000" w:usb1="00000000" w:usb2="00082016" w:usb3="00000000" w:csb0="00040001" w:csb1="00000000"/>
  </w:font>
  <w:font w:name="pingfang sc">
    <w:altName w:val="宋体"/>
    <w:panose1 w:val="020B0400000000000000"/>
    <w:charset w:val="86"/>
    <w:family w:val="auto"/>
    <w:pitch w:val="default"/>
    <w:sig w:usb0="00000000" w:usb1="00000000" w:usb2="00000017"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金山简隶书">
    <w:altName w:val="隶书"/>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金山简隶书">
    <w:altName w:val="隶书"/>
    <w:panose1 w:val="00000000000000000000"/>
    <w:charset w:val="00"/>
    <w:family w:val="modern"/>
    <w:pitch w:val="default"/>
    <w:sig w:usb0="00000000" w:usb1="00000000" w:usb2="0000001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FAA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88EE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E88EE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5B30B"/>
    <w:multiLevelType w:val="singleLevel"/>
    <w:tmpl w:val="98B5B30B"/>
    <w:lvl w:ilvl="0" w:tentative="0">
      <w:start w:val="10"/>
      <w:numFmt w:val="decimal"/>
      <w:lvlText w:val="%1."/>
      <w:lvlJc w:val="left"/>
      <w:pPr>
        <w:tabs>
          <w:tab w:val="left" w:pos="312"/>
        </w:tabs>
      </w:pPr>
    </w:lvl>
  </w:abstractNum>
  <w:abstractNum w:abstractNumId="1">
    <w:nsid w:val="9FF7F953"/>
    <w:multiLevelType w:val="singleLevel"/>
    <w:tmpl w:val="9FF7F953"/>
    <w:lvl w:ilvl="0" w:tentative="0">
      <w:start w:val="1"/>
      <w:numFmt w:val="decimal"/>
      <w:lvlText w:val="(%1)"/>
      <w:lvlJc w:val="left"/>
      <w:pPr>
        <w:ind w:left="425" w:hanging="425"/>
      </w:pPr>
      <w:rPr>
        <w:rFonts w:hint="default"/>
      </w:rPr>
    </w:lvl>
  </w:abstractNum>
  <w:abstractNum w:abstractNumId="2">
    <w:nsid w:val="A61F77B0"/>
    <w:multiLevelType w:val="singleLevel"/>
    <w:tmpl w:val="A61F77B0"/>
    <w:lvl w:ilvl="0" w:tentative="0">
      <w:start w:val="3"/>
      <w:numFmt w:val="decimal"/>
      <w:suff w:val="space"/>
      <w:lvlText w:val="%1."/>
      <w:lvlJc w:val="left"/>
    </w:lvl>
  </w:abstractNum>
  <w:abstractNum w:abstractNumId="3">
    <w:nsid w:val="AA5DFB60"/>
    <w:multiLevelType w:val="singleLevel"/>
    <w:tmpl w:val="AA5DFB60"/>
    <w:lvl w:ilvl="0" w:tentative="0">
      <w:start w:val="1"/>
      <w:numFmt w:val="decimal"/>
      <w:lvlText w:val="(%1)"/>
      <w:lvlJc w:val="left"/>
      <w:pPr>
        <w:ind w:left="425" w:hanging="425"/>
      </w:pPr>
    </w:lvl>
  </w:abstractNum>
  <w:abstractNum w:abstractNumId="4">
    <w:nsid w:val="B372C5E4"/>
    <w:multiLevelType w:val="singleLevel"/>
    <w:tmpl w:val="B372C5E4"/>
    <w:lvl w:ilvl="0" w:tentative="0">
      <w:start w:val="1"/>
      <w:numFmt w:val="decimal"/>
      <w:suff w:val="nothing"/>
      <w:lvlText w:val="%1、"/>
      <w:lvlJc w:val="left"/>
      <w:pPr>
        <w:ind w:left="60"/>
      </w:pPr>
    </w:lvl>
  </w:abstractNum>
  <w:abstractNum w:abstractNumId="5">
    <w:nsid w:val="B3739D39"/>
    <w:multiLevelType w:val="singleLevel"/>
    <w:tmpl w:val="B3739D39"/>
    <w:lvl w:ilvl="0" w:tentative="0">
      <w:start w:val="1"/>
      <w:numFmt w:val="decimal"/>
      <w:lvlText w:val="(%1)"/>
      <w:lvlJc w:val="left"/>
      <w:pPr>
        <w:ind w:left="425" w:hanging="425"/>
      </w:pPr>
      <w:rPr>
        <w:rFonts w:hint="default"/>
      </w:rPr>
    </w:lvl>
  </w:abstractNum>
  <w:abstractNum w:abstractNumId="6">
    <w:nsid w:val="B5589B9E"/>
    <w:multiLevelType w:val="singleLevel"/>
    <w:tmpl w:val="B5589B9E"/>
    <w:lvl w:ilvl="0" w:tentative="0">
      <w:start w:val="1"/>
      <w:numFmt w:val="decimal"/>
      <w:lvlText w:val="(%1)"/>
      <w:lvlJc w:val="left"/>
      <w:pPr>
        <w:ind w:left="425" w:hanging="425"/>
      </w:pPr>
      <w:rPr>
        <w:rFonts w:hint="default"/>
      </w:rPr>
    </w:lvl>
  </w:abstractNum>
  <w:abstractNum w:abstractNumId="7">
    <w:nsid w:val="B57F78B2"/>
    <w:multiLevelType w:val="singleLevel"/>
    <w:tmpl w:val="B57F78B2"/>
    <w:lvl w:ilvl="0" w:tentative="0">
      <w:start w:val="1"/>
      <w:numFmt w:val="decimal"/>
      <w:lvlText w:val="(%1)"/>
      <w:lvlJc w:val="left"/>
      <w:pPr>
        <w:ind w:left="425" w:hanging="425"/>
      </w:pPr>
      <w:rPr>
        <w:rFonts w:hint="default"/>
      </w:rPr>
    </w:lvl>
  </w:abstractNum>
  <w:abstractNum w:abstractNumId="8">
    <w:nsid w:val="B6D7EF6B"/>
    <w:multiLevelType w:val="singleLevel"/>
    <w:tmpl w:val="B6D7EF6B"/>
    <w:lvl w:ilvl="0" w:tentative="0">
      <w:start w:val="1"/>
      <w:numFmt w:val="decimal"/>
      <w:lvlText w:val="(%1)"/>
      <w:lvlJc w:val="left"/>
      <w:pPr>
        <w:ind w:left="425" w:hanging="425"/>
      </w:pPr>
      <w:rPr>
        <w:rFonts w:hint="default"/>
      </w:rPr>
    </w:lvl>
  </w:abstractNum>
  <w:abstractNum w:abstractNumId="9">
    <w:nsid w:val="B6EC3EFB"/>
    <w:multiLevelType w:val="singleLevel"/>
    <w:tmpl w:val="B6EC3EFB"/>
    <w:lvl w:ilvl="0" w:tentative="0">
      <w:start w:val="1"/>
      <w:numFmt w:val="decimal"/>
      <w:lvlText w:val="(%1)"/>
      <w:lvlJc w:val="left"/>
      <w:pPr>
        <w:ind w:left="425" w:hanging="425"/>
      </w:pPr>
      <w:rPr>
        <w:rFonts w:hint="default"/>
      </w:rPr>
    </w:lvl>
  </w:abstractNum>
  <w:abstractNum w:abstractNumId="10">
    <w:nsid w:val="BDEA89A9"/>
    <w:multiLevelType w:val="singleLevel"/>
    <w:tmpl w:val="BDEA89A9"/>
    <w:lvl w:ilvl="0" w:tentative="0">
      <w:start w:val="1"/>
      <w:numFmt w:val="decimal"/>
      <w:lvlText w:val="(%1)"/>
      <w:lvlJc w:val="left"/>
      <w:pPr>
        <w:ind w:left="425" w:hanging="425"/>
      </w:pPr>
      <w:rPr>
        <w:rFonts w:hint="default"/>
      </w:rPr>
    </w:lvl>
  </w:abstractNum>
  <w:abstractNum w:abstractNumId="11">
    <w:nsid w:val="BDFFC6E3"/>
    <w:multiLevelType w:val="singleLevel"/>
    <w:tmpl w:val="BDFFC6E3"/>
    <w:lvl w:ilvl="0" w:tentative="0">
      <w:start w:val="1"/>
      <w:numFmt w:val="decimal"/>
      <w:lvlText w:val="%1、"/>
      <w:lvlJc w:val="left"/>
    </w:lvl>
  </w:abstractNum>
  <w:abstractNum w:abstractNumId="12">
    <w:nsid w:val="BF5A9B35"/>
    <w:multiLevelType w:val="singleLevel"/>
    <w:tmpl w:val="BF5A9B35"/>
    <w:lvl w:ilvl="0" w:tentative="0">
      <w:start w:val="1"/>
      <w:numFmt w:val="decimal"/>
      <w:lvlText w:val="(%1)"/>
      <w:lvlJc w:val="left"/>
      <w:pPr>
        <w:ind w:left="425" w:hanging="425"/>
      </w:pPr>
      <w:rPr>
        <w:rFonts w:hint="default"/>
      </w:rPr>
    </w:lvl>
  </w:abstractNum>
  <w:abstractNum w:abstractNumId="13">
    <w:nsid w:val="BF9B71C5"/>
    <w:multiLevelType w:val="singleLevel"/>
    <w:tmpl w:val="BF9B71C5"/>
    <w:lvl w:ilvl="0" w:tentative="0">
      <w:start w:val="1"/>
      <w:numFmt w:val="decimal"/>
      <w:lvlText w:val="(%1)"/>
      <w:lvlJc w:val="left"/>
      <w:pPr>
        <w:ind w:left="425" w:hanging="425"/>
      </w:pPr>
      <w:rPr>
        <w:rFonts w:hint="default"/>
      </w:rPr>
    </w:lvl>
  </w:abstractNum>
  <w:abstractNum w:abstractNumId="14">
    <w:nsid w:val="BFFD2BD8"/>
    <w:multiLevelType w:val="singleLevel"/>
    <w:tmpl w:val="BFFD2BD8"/>
    <w:lvl w:ilvl="0" w:tentative="0">
      <w:start w:val="1"/>
      <w:numFmt w:val="decimal"/>
      <w:lvlText w:val="(%1)"/>
      <w:lvlJc w:val="left"/>
      <w:pPr>
        <w:ind w:left="425" w:hanging="425"/>
      </w:pPr>
      <w:rPr>
        <w:rFonts w:hint="default"/>
      </w:rPr>
    </w:lvl>
  </w:abstractNum>
  <w:abstractNum w:abstractNumId="15">
    <w:nsid w:val="C7FEE876"/>
    <w:multiLevelType w:val="singleLevel"/>
    <w:tmpl w:val="C7FEE876"/>
    <w:lvl w:ilvl="0" w:tentative="0">
      <w:start w:val="1"/>
      <w:numFmt w:val="decimal"/>
      <w:lvlText w:val="(%1)"/>
      <w:lvlJc w:val="left"/>
      <w:pPr>
        <w:ind w:left="425" w:hanging="425"/>
      </w:pPr>
      <w:rPr>
        <w:rFonts w:hint="default"/>
      </w:rPr>
    </w:lvl>
  </w:abstractNum>
  <w:abstractNum w:abstractNumId="16">
    <w:nsid w:val="CACA5954"/>
    <w:multiLevelType w:val="singleLevel"/>
    <w:tmpl w:val="CACA5954"/>
    <w:lvl w:ilvl="0" w:tentative="0">
      <w:start w:val="1"/>
      <w:numFmt w:val="decimal"/>
      <w:lvlText w:val="(%1)"/>
      <w:lvlJc w:val="left"/>
      <w:pPr>
        <w:ind w:left="425" w:hanging="425"/>
      </w:pPr>
      <w:rPr>
        <w:rFonts w:hint="default"/>
      </w:rPr>
    </w:lvl>
  </w:abstractNum>
  <w:abstractNum w:abstractNumId="17">
    <w:nsid w:val="CBEFB976"/>
    <w:multiLevelType w:val="singleLevel"/>
    <w:tmpl w:val="CBEFB976"/>
    <w:lvl w:ilvl="0" w:tentative="0">
      <w:start w:val="1"/>
      <w:numFmt w:val="decimal"/>
      <w:lvlText w:val="(%1)"/>
      <w:lvlJc w:val="left"/>
      <w:pPr>
        <w:ind w:left="425" w:hanging="425"/>
      </w:pPr>
      <w:rPr>
        <w:rFonts w:hint="default"/>
      </w:rPr>
    </w:lvl>
  </w:abstractNum>
  <w:abstractNum w:abstractNumId="18">
    <w:nsid w:val="CFC996EF"/>
    <w:multiLevelType w:val="singleLevel"/>
    <w:tmpl w:val="CFC996EF"/>
    <w:lvl w:ilvl="0" w:tentative="0">
      <w:start w:val="7"/>
      <w:numFmt w:val="decimal"/>
      <w:suff w:val="nothing"/>
      <w:lvlText w:val="（%1）"/>
      <w:lvlJc w:val="left"/>
    </w:lvl>
  </w:abstractNum>
  <w:abstractNum w:abstractNumId="19">
    <w:nsid w:val="D5AAA2D1"/>
    <w:multiLevelType w:val="singleLevel"/>
    <w:tmpl w:val="D5AAA2D1"/>
    <w:lvl w:ilvl="0" w:tentative="0">
      <w:start w:val="1"/>
      <w:numFmt w:val="decimal"/>
      <w:lvlText w:val="(%1)"/>
      <w:lvlJc w:val="left"/>
      <w:pPr>
        <w:ind w:left="425" w:hanging="425"/>
      </w:pPr>
      <w:rPr>
        <w:rFonts w:hint="default"/>
      </w:rPr>
    </w:lvl>
  </w:abstractNum>
  <w:abstractNum w:abstractNumId="20">
    <w:nsid w:val="DAEF0E82"/>
    <w:multiLevelType w:val="singleLevel"/>
    <w:tmpl w:val="DAEF0E82"/>
    <w:lvl w:ilvl="0" w:tentative="0">
      <w:start w:val="1"/>
      <w:numFmt w:val="decimal"/>
      <w:lvlText w:val="(%1)"/>
      <w:lvlJc w:val="left"/>
      <w:pPr>
        <w:ind w:left="425" w:hanging="425"/>
      </w:pPr>
      <w:rPr>
        <w:rFonts w:hint="default"/>
      </w:rPr>
    </w:lvl>
  </w:abstractNum>
  <w:abstractNum w:abstractNumId="21">
    <w:nsid w:val="DDBC24FA"/>
    <w:multiLevelType w:val="singleLevel"/>
    <w:tmpl w:val="DDBC24FA"/>
    <w:lvl w:ilvl="0" w:tentative="0">
      <w:start w:val="1"/>
      <w:numFmt w:val="decimal"/>
      <w:lvlText w:val="(%1)"/>
      <w:lvlJc w:val="left"/>
      <w:pPr>
        <w:ind w:left="425" w:hanging="425"/>
      </w:pPr>
      <w:rPr>
        <w:rFonts w:hint="default"/>
      </w:rPr>
    </w:lvl>
  </w:abstractNum>
  <w:abstractNum w:abstractNumId="22">
    <w:nsid w:val="DDE20335"/>
    <w:multiLevelType w:val="singleLevel"/>
    <w:tmpl w:val="DDE20335"/>
    <w:lvl w:ilvl="0" w:tentative="0">
      <w:start w:val="1"/>
      <w:numFmt w:val="decimal"/>
      <w:lvlText w:val="(%1)"/>
      <w:lvlJc w:val="left"/>
      <w:pPr>
        <w:ind w:left="425" w:hanging="425"/>
      </w:pPr>
      <w:rPr>
        <w:rFonts w:hint="default"/>
      </w:rPr>
    </w:lvl>
  </w:abstractNum>
  <w:abstractNum w:abstractNumId="23">
    <w:nsid w:val="DF7CD37F"/>
    <w:multiLevelType w:val="singleLevel"/>
    <w:tmpl w:val="DF7CD37F"/>
    <w:lvl w:ilvl="0" w:tentative="0">
      <w:start w:val="1"/>
      <w:numFmt w:val="decimal"/>
      <w:lvlText w:val="(%1)"/>
      <w:lvlJc w:val="left"/>
      <w:pPr>
        <w:ind w:left="425" w:hanging="425"/>
      </w:pPr>
      <w:rPr>
        <w:rFonts w:hint="default"/>
      </w:rPr>
    </w:lvl>
  </w:abstractNum>
  <w:abstractNum w:abstractNumId="24">
    <w:nsid w:val="E56BD6C2"/>
    <w:multiLevelType w:val="singleLevel"/>
    <w:tmpl w:val="E56BD6C2"/>
    <w:lvl w:ilvl="0" w:tentative="0">
      <w:start w:val="1"/>
      <w:numFmt w:val="decimal"/>
      <w:lvlText w:val="(%1)"/>
      <w:lvlJc w:val="left"/>
      <w:pPr>
        <w:ind w:left="425" w:hanging="425"/>
      </w:pPr>
      <w:rPr>
        <w:rFonts w:hint="default"/>
      </w:rPr>
    </w:lvl>
  </w:abstractNum>
  <w:abstractNum w:abstractNumId="25">
    <w:nsid w:val="E6EE3146"/>
    <w:multiLevelType w:val="singleLevel"/>
    <w:tmpl w:val="E6EE3146"/>
    <w:lvl w:ilvl="0" w:tentative="0">
      <w:start w:val="1"/>
      <w:numFmt w:val="decimal"/>
      <w:lvlText w:val="(%1)"/>
      <w:lvlJc w:val="left"/>
      <w:pPr>
        <w:ind w:left="425" w:hanging="425"/>
      </w:pPr>
      <w:rPr>
        <w:rFonts w:hint="default"/>
      </w:rPr>
    </w:lvl>
  </w:abstractNum>
  <w:abstractNum w:abstractNumId="26">
    <w:nsid w:val="E9F862BA"/>
    <w:multiLevelType w:val="singleLevel"/>
    <w:tmpl w:val="E9F862BA"/>
    <w:lvl w:ilvl="0" w:tentative="0">
      <w:start w:val="1"/>
      <w:numFmt w:val="decimal"/>
      <w:lvlText w:val="(%1)"/>
      <w:lvlJc w:val="left"/>
      <w:pPr>
        <w:ind w:left="425" w:hanging="425"/>
      </w:pPr>
      <w:rPr>
        <w:rFonts w:hint="default"/>
      </w:rPr>
    </w:lvl>
  </w:abstractNum>
  <w:abstractNum w:abstractNumId="27">
    <w:nsid w:val="EAFEF829"/>
    <w:multiLevelType w:val="singleLevel"/>
    <w:tmpl w:val="EAFEF829"/>
    <w:lvl w:ilvl="0" w:tentative="0">
      <w:start w:val="1"/>
      <w:numFmt w:val="decimal"/>
      <w:lvlText w:val="(%1)"/>
      <w:lvlJc w:val="left"/>
      <w:pPr>
        <w:ind w:left="425" w:hanging="425"/>
      </w:pPr>
      <w:rPr>
        <w:rFonts w:hint="default"/>
      </w:rPr>
    </w:lvl>
  </w:abstractNum>
  <w:abstractNum w:abstractNumId="28">
    <w:nsid w:val="EBBF367A"/>
    <w:multiLevelType w:val="singleLevel"/>
    <w:tmpl w:val="EBBF367A"/>
    <w:lvl w:ilvl="0" w:tentative="0">
      <w:start w:val="9"/>
      <w:numFmt w:val="decimal"/>
      <w:suff w:val="nothing"/>
      <w:lvlText w:val="%1、"/>
      <w:lvlJc w:val="left"/>
    </w:lvl>
  </w:abstractNum>
  <w:abstractNum w:abstractNumId="29">
    <w:nsid w:val="ED1A4DAB"/>
    <w:multiLevelType w:val="singleLevel"/>
    <w:tmpl w:val="ED1A4DAB"/>
    <w:lvl w:ilvl="0" w:tentative="0">
      <w:start w:val="1"/>
      <w:numFmt w:val="decimal"/>
      <w:lvlText w:val="(%1)"/>
      <w:lvlJc w:val="left"/>
      <w:pPr>
        <w:ind w:left="425" w:hanging="425"/>
      </w:pPr>
      <w:rPr>
        <w:rFonts w:hint="default"/>
      </w:rPr>
    </w:lvl>
  </w:abstractNum>
  <w:abstractNum w:abstractNumId="30">
    <w:nsid w:val="EF64E8B2"/>
    <w:multiLevelType w:val="singleLevel"/>
    <w:tmpl w:val="EF64E8B2"/>
    <w:lvl w:ilvl="0" w:tentative="0">
      <w:start w:val="1"/>
      <w:numFmt w:val="decimal"/>
      <w:lvlText w:val="(%1)"/>
      <w:lvlJc w:val="left"/>
      <w:pPr>
        <w:ind w:left="425" w:hanging="425"/>
      </w:pPr>
      <w:rPr>
        <w:rFonts w:hint="default"/>
      </w:rPr>
    </w:lvl>
  </w:abstractNum>
  <w:abstractNum w:abstractNumId="31">
    <w:nsid w:val="EF9ACA51"/>
    <w:multiLevelType w:val="singleLevel"/>
    <w:tmpl w:val="EF9ACA51"/>
    <w:lvl w:ilvl="0" w:tentative="0">
      <w:start w:val="1"/>
      <w:numFmt w:val="decimal"/>
      <w:lvlText w:val="(%1)"/>
      <w:lvlJc w:val="left"/>
      <w:pPr>
        <w:ind w:left="425" w:hanging="425"/>
      </w:pPr>
      <w:rPr>
        <w:rFonts w:hint="default"/>
      </w:rPr>
    </w:lvl>
  </w:abstractNum>
  <w:abstractNum w:abstractNumId="32">
    <w:nsid w:val="F5EB3624"/>
    <w:multiLevelType w:val="singleLevel"/>
    <w:tmpl w:val="F5EB3624"/>
    <w:lvl w:ilvl="0" w:tentative="0">
      <w:start w:val="1"/>
      <w:numFmt w:val="decimal"/>
      <w:lvlText w:val="(%1)"/>
      <w:lvlJc w:val="left"/>
      <w:pPr>
        <w:ind w:left="425" w:hanging="425"/>
      </w:pPr>
      <w:rPr>
        <w:rFonts w:hint="default"/>
      </w:rPr>
    </w:lvl>
  </w:abstractNum>
  <w:abstractNum w:abstractNumId="33">
    <w:nsid w:val="F77DDE19"/>
    <w:multiLevelType w:val="singleLevel"/>
    <w:tmpl w:val="F77DDE19"/>
    <w:lvl w:ilvl="0" w:tentative="0">
      <w:start w:val="1"/>
      <w:numFmt w:val="decimal"/>
      <w:lvlText w:val="(%1)"/>
      <w:lvlJc w:val="left"/>
      <w:pPr>
        <w:ind w:left="425" w:hanging="425"/>
      </w:pPr>
      <w:rPr>
        <w:rFonts w:hint="default"/>
      </w:rPr>
    </w:lvl>
  </w:abstractNum>
  <w:abstractNum w:abstractNumId="34">
    <w:nsid w:val="F7B7152B"/>
    <w:multiLevelType w:val="singleLevel"/>
    <w:tmpl w:val="F7B7152B"/>
    <w:lvl w:ilvl="0" w:tentative="0">
      <w:start w:val="1"/>
      <w:numFmt w:val="decimal"/>
      <w:lvlText w:val="(%1)"/>
      <w:lvlJc w:val="left"/>
      <w:pPr>
        <w:ind w:left="425" w:hanging="425"/>
      </w:pPr>
      <w:rPr>
        <w:rFonts w:hint="default"/>
      </w:rPr>
    </w:lvl>
  </w:abstractNum>
  <w:abstractNum w:abstractNumId="35">
    <w:nsid w:val="F7DDC874"/>
    <w:multiLevelType w:val="singleLevel"/>
    <w:tmpl w:val="F7DDC874"/>
    <w:lvl w:ilvl="0" w:tentative="0">
      <w:start w:val="1"/>
      <w:numFmt w:val="decimal"/>
      <w:lvlText w:val="(%1)"/>
      <w:lvlJc w:val="left"/>
      <w:pPr>
        <w:ind w:left="425" w:hanging="425"/>
      </w:pPr>
      <w:rPr>
        <w:rFonts w:hint="default"/>
      </w:rPr>
    </w:lvl>
  </w:abstractNum>
  <w:abstractNum w:abstractNumId="36">
    <w:nsid w:val="FCDDD6C7"/>
    <w:multiLevelType w:val="singleLevel"/>
    <w:tmpl w:val="FCDDD6C7"/>
    <w:lvl w:ilvl="0" w:tentative="0">
      <w:start w:val="1"/>
      <w:numFmt w:val="decimal"/>
      <w:suff w:val="nothing"/>
      <w:lvlText w:val="（%1）"/>
      <w:lvlJc w:val="left"/>
    </w:lvl>
  </w:abstractNum>
  <w:abstractNum w:abstractNumId="37">
    <w:nsid w:val="FD5BBB0C"/>
    <w:multiLevelType w:val="singleLevel"/>
    <w:tmpl w:val="FD5BBB0C"/>
    <w:lvl w:ilvl="0" w:tentative="0">
      <w:start w:val="1"/>
      <w:numFmt w:val="decimal"/>
      <w:lvlText w:val="(%1)"/>
      <w:lvlJc w:val="left"/>
      <w:pPr>
        <w:ind w:left="425" w:hanging="425"/>
      </w:pPr>
      <w:rPr>
        <w:rFonts w:hint="default"/>
      </w:rPr>
    </w:lvl>
  </w:abstractNum>
  <w:abstractNum w:abstractNumId="38">
    <w:nsid w:val="FE8E622A"/>
    <w:multiLevelType w:val="singleLevel"/>
    <w:tmpl w:val="FE8E622A"/>
    <w:lvl w:ilvl="0" w:tentative="0">
      <w:start w:val="1"/>
      <w:numFmt w:val="decimal"/>
      <w:lvlText w:val="(%1)"/>
      <w:lvlJc w:val="left"/>
      <w:pPr>
        <w:ind w:left="425" w:hanging="425"/>
      </w:pPr>
    </w:lvl>
  </w:abstractNum>
  <w:abstractNum w:abstractNumId="39">
    <w:nsid w:val="FEFB93C3"/>
    <w:multiLevelType w:val="singleLevel"/>
    <w:tmpl w:val="FEFB93C3"/>
    <w:lvl w:ilvl="0" w:tentative="0">
      <w:start w:val="1"/>
      <w:numFmt w:val="decimal"/>
      <w:lvlText w:val="(%1)"/>
      <w:lvlJc w:val="left"/>
      <w:pPr>
        <w:ind w:left="425" w:hanging="425"/>
      </w:pPr>
      <w:rPr>
        <w:rFonts w:hint="default"/>
      </w:rPr>
    </w:lvl>
  </w:abstractNum>
  <w:abstractNum w:abstractNumId="40">
    <w:nsid w:val="FEFEAE94"/>
    <w:multiLevelType w:val="singleLevel"/>
    <w:tmpl w:val="FEFEAE94"/>
    <w:lvl w:ilvl="0" w:tentative="0">
      <w:start w:val="1"/>
      <w:numFmt w:val="decimal"/>
      <w:lvlText w:val="(%1)"/>
      <w:lvlJc w:val="left"/>
      <w:pPr>
        <w:ind w:left="425" w:hanging="425"/>
      </w:pPr>
      <w:rPr>
        <w:rFonts w:hint="default"/>
      </w:rPr>
    </w:lvl>
  </w:abstractNum>
  <w:abstractNum w:abstractNumId="41">
    <w:nsid w:val="FF3636B9"/>
    <w:multiLevelType w:val="singleLevel"/>
    <w:tmpl w:val="FF3636B9"/>
    <w:lvl w:ilvl="0" w:tentative="0">
      <w:start w:val="1"/>
      <w:numFmt w:val="decimal"/>
      <w:lvlText w:val="(%1)"/>
      <w:lvlJc w:val="left"/>
      <w:pPr>
        <w:ind w:left="425" w:hanging="425"/>
      </w:pPr>
      <w:rPr>
        <w:rFonts w:hint="default"/>
      </w:rPr>
    </w:lvl>
  </w:abstractNum>
  <w:abstractNum w:abstractNumId="42">
    <w:nsid w:val="FF5E5EAF"/>
    <w:multiLevelType w:val="singleLevel"/>
    <w:tmpl w:val="FF5E5EAF"/>
    <w:lvl w:ilvl="0" w:tentative="0">
      <w:start w:val="1"/>
      <w:numFmt w:val="decimal"/>
      <w:lvlText w:val="(%1)"/>
      <w:lvlJc w:val="left"/>
      <w:pPr>
        <w:ind w:left="425" w:hanging="425"/>
      </w:pPr>
      <w:rPr>
        <w:rFonts w:hint="default"/>
      </w:rPr>
    </w:lvl>
  </w:abstractNum>
  <w:abstractNum w:abstractNumId="43">
    <w:nsid w:val="FF62E04F"/>
    <w:multiLevelType w:val="singleLevel"/>
    <w:tmpl w:val="FF62E04F"/>
    <w:lvl w:ilvl="0" w:tentative="0">
      <w:start w:val="1"/>
      <w:numFmt w:val="decimal"/>
      <w:lvlText w:val="%1、"/>
      <w:lvlJc w:val="left"/>
    </w:lvl>
  </w:abstractNum>
  <w:abstractNum w:abstractNumId="44">
    <w:nsid w:val="FF6F2FC2"/>
    <w:multiLevelType w:val="singleLevel"/>
    <w:tmpl w:val="FF6F2FC2"/>
    <w:lvl w:ilvl="0" w:tentative="0">
      <w:start w:val="1"/>
      <w:numFmt w:val="decimal"/>
      <w:lvlText w:val="(%1)"/>
      <w:lvlJc w:val="left"/>
      <w:pPr>
        <w:ind w:left="425" w:hanging="425"/>
      </w:pPr>
      <w:rPr>
        <w:rFonts w:hint="default"/>
      </w:rPr>
    </w:lvl>
  </w:abstractNum>
  <w:abstractNum w:abstractNumId="45">
    <w:nsid w:val="FFA80887"/>
    <w:multiLevelType w:val="singleLevel"/>
    <w:tmpl w:val="FFA80887"/>
    <w:lvl w:ilvl="0" w:tentative="0">
      <w:start w:val="1"/>
      <w:numFmt w:val="decimal"/>
      <w:lvlText w:val="(%1)"/>
      <w:lvlJc w:val="left"/>
      <w:pPr>
        <w:ind w:left="425" w:hanging="425"/>
      </w:pPr>
      <w:rPr>
        <w:rFonts w:hint="default"/>
      </w:rPr>
    </w:lvl>
  </w:abstractNum>
  <w:abstractNum w:abstractNumId="46">
    <w:nsid w:val="FFBDE1FF"/>
    <w:multiLevelType w:val="singleLevel"/>
    <w:tmpl w:val="FFBDE1FF"/>
    <w:lvl w:ilvl="0" w:tentative="0">
      <w:start w:val="1"/>
      <w:numFmt w:val="decimal"/>
      <w:lvlText w:val="(%1)"/>
      <w:lvlJc w:val="left"/>
      <w:pPr>
        <w:ind w:left="425" w:hanging="425"/>
      </w:pPr>
      <w:rPr>
        <w:rFonts w:hint="default"/>
      </w:rPr>
    </w:lvl>
  </w:abstractNum>
  <w:abstractNum w:abstractNumId="47">
    <w:nsid w:val="FFDF9D82"/>
    <w:multiLevelType w:val="singleLevel"/>
    <w:tmpl w:val="FFDF9D82"/>
    <w:lvl w:ilvl="0" w:tentative="0">
      <w:start w:val="1"/>
      <w:numFmt w:val="decimal"/>
      <w:lvlText w:val="%1."/>
      <w:lvlJc w:val="left"/>
      <w:pPr>
        <w:ind w:left="425" w:hanging="425"/>
      </w:pPr>
      <w:rPr>
        <w:rFonts w:hint="default"/>
      </w:rPr>
    </w:lvl>
  </w:abstractNum>
  <w:abstractNum w:abstractNumId="48">
    <w:nsid w:val="FFF7EF2F"/>
    <w:multiLevelType w:val="singleLevel"/>
    <w:tmpl w:val="FFF7EF2F"/>
    <w:lvl w:ilvl="0" w:tentative="0">
      <w:start w:val="1"/>
      <w:numFmt w:val="decimal"/>
      <w:lvlText w:val="(%1)"/>
      <w:lvlJc w:val="left"/>
      <w:pPr>
        <w:ind w:left="425" w:hanging="425"/>
      </w:pPr>
      <w:rPr>
        <w:rFonts w:hint="default"/>
      </w:rPr>
    </w:lvl>
  </w:abstractNum>
  <w:abstractNum w:abstractNumId="49">
    <w:nsid w:val="002B0F61"/>
    <w:multiLevelType w:val="multilevel"/>
    <w:tmpl w:val="002B0F61"/>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1B84403E"/>
    <w:multiLevelType w:val="multilevel"/>
    <w:tmpl w:val="1B84403E"/>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2BBA3C05"/>
    <w:multiLevelType w:val="multilevel"/>
    <w:tmpl w:val="2BBA3C05"/>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2">
    <w:nsid w:val="3FFA696A"/>
    <w:multiLevelType w:val="singleLevel"/>
    <w:tmpl w:val="3FFA696A"/>
    <w:lvl w:ilvl="0" w:tentative="0">
      <w:start w:val="1"/>
      <w:numFmt w:val="decimal"/>
      <w:lvlText w:val="(%1)"/>
      <w:lvlJc w:val="left"/>
      <w:pPr>
        <w:ind w:left="425" w:hanging="425"/>
      </w:pPr>
      <w:rPr>
        <w:rFonts w:hint="default"/>
      </w:rPr>
    </w:lvl>
  </w:abstractNum>
  <w:abstractNum w:abstractNumId="53">
    <w:nsid w:val="44EF4237"/>
    <w:multiLevelType w:val="multilevel"/>
    <w:tmpl w:val="44EF4237"/>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4">
    <w:nsid w:val="52317B8C"/>
    <w:multiLevelType w:val="multilevel"/>
    <w:tmpl w:val="52317B8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5BFFF5BD"/>
    <w:multiLevelType w:val="singleLevel"/>
    <w:tmpl w:val="5BFFF5BD"/>
    <w:lvl w:ilvl="0" w:tentative="0">
      <w:start w:val="1"/>
      <w:numFmt w:val="decimal"/>
      <w:lvlText w:val="(%1)"/>
      <w:lvlJc w:val="left"/>
      <w:pPr>
        <w:ind w:left="425" w:hanging="425"/>
      </w:pPr>
      <w:rPr>
        <w:rFonts w:hint="default"/>
      </w:rPr>
    </w:lvl>
  </w:abstractNum>
  <w:abstractNum w:abstractNumId="56">
    <w:nsid w:val="5C086554"/>
    <w:multiLevelType w:val="multilevel"/>
    <w:tmpl w:val="5C086554"/>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7">
    <w:nsid w:val="6CFF2D1D"/>
    <w:multiLevelType w:val="singleLevel"/>
    <w:tmpl w:val="6CFF2D1D"/>
    <w:lvl w:ilvl="0" w:tentative="0">
      <w:start w:val="1"/>
      <w:numFmt w:val="lowerLetter"/>
      <w:lvlText w:val="%1."/>
      <w:lvlJc w:val="left"/>
      <w:pPr>
        <w:ind w:left="425" w:hanging="425"/>
      </w:pPr>
      <w:rPr>
        <w:rFonts w:hint="default"/>
      </w:rPr>
    </w:lvl>
  </w:abstractNum>
  <w:abstractNum w:abstractNumId="58">
    <w:nsid w:val="7049AA7A"/>
    <w:multiLevelType w:val="singleLevel"/>
    <w:tmpl w:val="7049AA7A"/>
    <w:lvl w:ilvl="0" w:tentative="0">
      <w:start w:val="1"/>
      <w:numFmt w:val="decimal"/>
      <w:lvlText w:val="(%1)"/>
      <w:lvlJc w:val="left"/>
      <w:pPr>
        <w:ind w:left="425" w:hanging="425"/>
      </w:pPr>
    </w:lvl>
  </w:abstractNum>
  <w:abstractNum w:abstractNumId="59">
    <w:nsid w:val="76DF8FE3"/>
    <w:multiLevelType w:val="singleLevel"/>
    <w:tmpl w:val="76DF8FE3"/>
    <w:lvl w:ilvl="0" w:tentative="0">
      <w:start w:val="1"/>
      <w:numFmt w:val="decimal"/>
      <w:lvlText w:val="(%1)"/>
      <w:lvlJc w:val="left"/>
      <w:pPr>
        <w:ind w:left="425" w:hanging="425"/>
      </w:pPr>
      <w:rPr>
        <w:rFonts w:hint="default"/>
      </w:rPr>
    </w:lvl>
  </w:abstractNum>
  <w:abstractNum w:abstractNumId="60">
    <w:nsid w:val="7CFE70C8"/>
    <w:multiLevelType w:val="singleLevel"/>
    <w:tmpl w:val="7CFE70C8"/>
    <w:lvl w:ilvl="0" w:tentative="0">
      <w:start w:val="1"/>
      <w:numFmt w:val="decimal"/>
      <w:lvlText w:val="(%1)"/>
      <w:lvlJc w:val="left"/>
      <w:pPr>
        <w:ind w:left="425" w:hanging="425"/>
      </w:pPr>
      <w:rPr>
        <w:rFonts w:hint="default"/>
      </w:rPr>
    </w:lvl>
  </w:abstractNum>
  <w:abstractNum w:abstractNumId="61">
    <w:nsid w:val="7EFF4269"/>
    <w:multiLevelType w:val="singleLevel"/>
    <w:tmpl w:val="7EFF4269"/>
    <w:lvl w:ilvl="0" w:tentative="0">
      <w:start w:val="1"/>
      <w:numFmt w:val="decimal"/>
      <w:lvlText w:val="(%1)"/>
      <w:lvlJc w:val="left"/>
      <w:pPr>
        <w:ind w:left="425" w:hanging="425"/>
      </w:pPr>
      <w:rPr>
        <w:rFonts w:hint="default"/>
      </w:rPr>
    </w:lvl>
  </w:abstractNum>
  <w:abstractNum w:abstractNumId="62">
    <w:nsid w:val="7FB593D7"/>
    <w:multiLevelType w:val="singleLevel"/>
    <w:tmpl w:val="7FB593D7"/>
    <w:lvl w:ilvl="0" w:tentative="0">
      <w:start w:val="1"/>
      <w:numFmt w:val="decimal"/>
      <w:lvlText w:val="(%1)"/>
      <w:lvlJc w:val="left"/>
      <w:pPr>
        <w:ind w:left="425" w:hanging="425"/>
      </w:pPr>
      <w:rPr>
        <w:rFonts w:hint="default"/>
      </w:rPr>
    </w:lvl>
  </w:abstractNum>
  <w:abstractNum w:abstractNumId="63">
    <w:nsid w:val="7FBA33D5"/>
    <w:multiLevelType w:val="singleLevel"/>
    <w:tmpl w:val="7FBA33D5"/>
    <w:lvl w:ilvl="0" w:tentative="0">
      <w:start w:val="1"/>
      <w:numFmt w:val="decimal"/>
      <w:lvlText w:val="(%1)"/>
      <w:lvlJc w:val="left"/>
      <w:pPr>
        <w:ind w:left="425" w:hanging="425"/>
      </w:pPr>
      <w:rPr>
        <w:rFonts w:hint="default"/>
      </w:rPr>
    </w:lvl>
  </w:abstractNum>
  <w:abstractNum w:abstractNumId="64">
    <w:nsid w:val="7FF6C13D"/>
    <w:multiLevelType w:val="singleLevel"/>
    <w:tmpl w:val="7FF6C13D"/>
    <w:lvl w:ilvl="0" w:tentative="0">
      <w:start w:val="1"/>
      <w:numFmt w:val="decimal"/>
      <w:lvlText w:val="(%1)"/>
      <w:lvlJc w:val="left"/>
      <w:pPr>
        <w:ind w:left="425" w:hanging="425"/>
      </w:pPr>
      <w:rPr>
        <w:rFonts w:hint="default"/>
      </w:rPr>
    </w:lvl>
  </w:abstractNum>
  <w:num w:numId="1">
    <w:abstractNumId w:val="27"/>
  </w:num>
  <w:num w:numId="2">
    <w:abstractNumId w:val="36"/>
  </w:num>
  <w:num w:numId="3">
    <w:abstractNumId w:val="29"/>
  </w:num>
  <w:num w:numId="4">
    <w:abstractNumId w:val="28"/>
  </w:num>
  <w:num w:numId="5">
    <w:abstractNumId w:val="57"/>
  </w:num>
  <w:num w:numId="6">
    <w:abstractNumId w:val="2"/>
  </w:num>
  <w:num w:numId="7">
    <w:abstractNumId w:val="50"/>
  </w:num>
  <w:num w:numId="8">
    <w:abstractNumId w:val="35"/>
  </w:num>
  <w:num w:numId="9">
    <w:abstractNumId w:val="46"/>
  </w:num>
  <w:num w:numId="10">
    <w:abstractNumId w:val="19"/>
  </w:num>
  <w:num w:numId="11">
    <w:abstractNumId w:val="41"/>
  </w:num>
  <w:num w:numId="12">
    <w:abstractNumId w:val="63"/>
  </w:num>
  <w:num w:numId="13">
    <w:abstractNumId w:val="59"/>
  </w:num>
  <w:num w:numId="14">
    <w:abstractNumId w:val="5"/>
  </w:num>
  <w:num w:numId="15">
    <w:abstractNumId w:val="24"/>
  </w:num>
  <w:num w:numId="16">
    <w:abstractNumId w:val="45"/>
  </w:num>
  <w:num w:numId="17">
    <w:abstractNumId w:val="31"/>
  </w:num>
  <w:num w:numId="18">
    <w:abstractNumId w:val="30"/>
  </w:num>
  <w:num w:numId="19">
    <w:abstractNumId w:val="44"/>
  </w:num>
  <w:num w:numId="20">
    <w:abstractNumId w:val="17"/>
  </w:num>
  <w:num w:numId="21">
    <w:abstractNumId w:val="37"/>
  </w:num>
  <w:num w:numId="22">
    <w:abstractNumId w:val="7"/>
  </w:num>
  <w:num w:numId="23">
    <w:abstractNumId w:val="8"/>
  </w:num>
  <w:num w:numId="24">
    <w:abstractNumId w:val="23"/>
  </w:num>
  <w:num w:numId="25">
    <w:abstractNumId w:val="12"/>
  </w:num>
  <w:num w:numId="26">
    <w:abstractNumId w:val="21"/>
  </w:num>
  <w:num w:numId="27">
    <w:abstractNumId w:val="22"/>
  </w:num>
  <w:num w:numId="28">
    <w:abstractNumId w:val="26"/>
  </w:num>
  <w:num w:numId="29">
    <w:abstractNumId w:val="32"/>
  </w:num>
  <w:num w:numId="30">
    <w:abstractNumId w:val="6"/>
  </w:num>
  <w:num w:numId="31">
    <w:abstractNumId w:val="40"/>
  </w:num>
  <w:num w:numId="32">
    <w:abstractNumId w:val="34"/>
  </w:num>
  <w:num w:numId="33">
    <w:abstractNumId w:val="60"/>
  </w:num>
  <w:num w:numId="34">
    <w:abstractNumId w:val="39"/>
  </w:num>
  <w:num w:numId="35">
    <w:abstractNumId w:val="9"/>
  </w:num>
  <w:num w:numId="36">
    <w:abstractNumId w:val="15"/>
  </w:num>
  <w:num w:numId="37">
    <w:abstractNumId w:val="61"/>
  </w:num>
  <w:num w:numId="38">
    <w:abstractNumId w:val="33"/>
  </w:num>
  <w:num w:numId="39">
    <w:abstractNumId w:val="64"/>
  </w:num>
  <w:num w:numId="40">
    <w:abstractNumId w:val="14"/>
  </w:num>
  <w:num w:numId="41">
    <w:abstractNumId w:val="48"/>
  </w:num>
  <w:num w:numId="42">
    <w:abstractNumId w:val="1"/>
  </w:num>
  <w:num w:numId="43">
    <w:abstractNumId w:val="10"/>
  </w:num>
  <w:num w:numId="44">
    <w:abstractNumId w:val="25"/>
  </w:num>
  <w:num w:numId="45">
    <w:abstractNumId w:val="13"/>
  </w:num>
  <w:num w:numId="46">
    <w:abstractNumId w:val="55"/>
  </w:num>
  <w:num w:numId="47">
    <w:abstractNumId w:val="16"/>
  </w:num>
  <w:num w:numId="48">
    <w:abstractNumId w:val="62"/>
  </w:num>
  <w:num w:numId="49">
    <w:abstractNumId w:val="20"/>
  </w:num>
  <w:num w:numId="50">
    <w:abstractNumId w:val="52"/>
  </w:num>
  <w:num w:numId="51">
    <w:abstractNumId w:val="42"/>
  </w:num>
  <w:num w:numId="52">
    <w:abstractNumId w:val="47"/>
  </w:num>
  <w:num w:numId="53">
    <w:abstractNumId w:val="49"/>
  </w:num>
  <w:num w:numId="54">
    <w:abstractNumId w:val="54"/>
  </w:num>
  <w:num w:numId="55">
    <w:abstractNumId w:val="53"/>
  </w:num>
  <w:num w:numId="56">
    <w:abstractNumId w:val="56"/>
  </w:num>
  <w:num w:numId="57">
    <w:abstractNumId w:val="51"/>
  </w:num>
  <w:num w:numId="58">
    <w:abstractNumId w:val="18"/>
  </w:num>
  <w:num w:numId="59">
    <w:abstractNumId w:val="11"/>
  </w:num>
  <w:num w:numId="60">
    <w:abstractNumId w:val="43"/>
  </w:num>
  <w:num w:numId="61">
    <w:abstractNumId w:val="3"/>
    <w:lvlOverride w:ilvl="0">
      <w:startOverride w:val="1"/>
    </w:lvlOverride>
  </w:num>
  <w:num w:numId="62">
    <w:abstractNumId w:val="38"/>
    <w:lvlOverride w:ilvl="0">
      <w:startOverride w:val="1"/>
    </w:lvlOverride>
  </w:num>
  <w:num w:numId="63">
    <w:abstractNumId w:val="58"/>
    <w:lvlOverride w:ilvl="0">
      <w:startOverride w:val="1"/>
    </w:lvlOverride>
  </w:num>
  <w:num w:numId="64">
    <w:abstractNumId w:val="0"/>
  </w:num>
  <w:num w:numId="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2NGUwMTdmZTMxYmExYzc5NzM4OGUxYzUyMjljNzIifQ=="/>
  </w:docVars>
  <w:rsids>
    <w:rsidRoot w:val="7EFF4FED"/>
    <w:rsid w:val="03145F46"/>
    <w:rsid w:val="09B0403F"/>
    <w:rsid w:val="0B5F701F"/>
    <w:rsid w:val="0B7E0BF9"/>
    <w:rsid w:val="0BCD5F25"/>
    <w:rsid w:val="0D3DF89D"/>
    <w:rsid w:val="0D4F32B5"/>
    <w:rsid w:val="17DE73CB"/>
    <w:rsid w:val="1D7FFF49"/>
    <w:rsid w:val="1EF7F210"/>
    <w:rsid w:val="1FABD493"/>
    <w:rsid w:val="1FFE98B3"/>
    <w:rsid w:val="26DAE4FF"/>
    <w:rsid w:val="2E3F8FA7"/>
    <w:rsid w:val="2EFB3175"/>
    <w:rsid w:val="2FFFBE3F"/>
    <w:rsid w:val="35ECBEA4"/>
    <w:rsid w:val="36BDB706"/>
    <w:rsid w:val="379FD99A"/>
    <w:rsid w:val="37E7B05F"/>
    <w:rsid w:val="37FD5849"/>
    <w:rsid w:val="3969DBDB"/>
    <w:rsid w:val="3BD6C152"/>
    <w:rsid w:val="3BFF34A8"/>
    <w:rsid w:val="3D1A117A"/>
    <w:rsid w:val="3D63EEB7"/>
    <w:rsid w:val="3DEEE740"/>
    <w:rsid w:val="3EF3F0FF"/>
    <w:rsid w:val="3F2DF4BB"/>
    <w:rsid w:val="3F3F5D44"/>
    <w:rsid w:val="3FBF7236"/>
    <w:rsid w:val="3FD7609A"/>
    <w:rsid w:val="3FDBB2AC"/>
    <w:rsid w:val="3FDF41F4"/>
    <w:rsid w:val="3FEEDFC9"/>
    <w:rsid w:val="3FFE1B50"/>
    <w:rsid w:val="3FFFCA21"/>
    <w:rsid w:val="4DF58C1F"/>
    <w:rsid w:val="4DF784CB"/>
    <w:rsid w:val="4FDD9CAC"/>
    <w:rsid w:val="4FF69EA7"/>
    <w:rsid w:val="55A06068"/>
    <w:rsid w:val="55EF6383"/>
    <w:rsid w:val="56CF5564"/>
    <w:rsid w:val="576E4BE7"/>
    <w:rsid w:val="57DEADA0"/>
    <w:rsid w:val="57FB46A6"/>
    <w:rsid w:val="59FDB17C"/>
    <w:rsid w:val="5A3FA434"/>
    <w:rsid w:val="5C702606"/>
    <w:rsid w:val="5CBCB4D6"/>
    <w:rsid w:val="5D3E2B80"/>
    <w:rsid w:val="5DFBDEFA"/>
    <w:rsid w:val="5EDF9800"/>
    <w:rsid w:val="5EEB77B2"/>
    <w:rsid w:val="5EFF3994"/>
    <w:rsid w:val="5F1FDB19"/>
    <w:rsid w:val="5F24A113"/>
    <w:rsid w:val="5F3DC541"/>
    <w:rsid w:val="5F6502AB"/>
    <w:rsid w:val="5F8B4F5C"/>
    <w:rsid w:val="5F9F15A6"/>
    <w:rsid w:val="5FAEF967"/>
    <w:rsid w:val="5FBA6805"/>
    <w:rsid w:val="5FBBB280"/>
    <w:rsid w:val="5FFFAC08"/>
    <w:rsid w:val="63FF4DED"/>
    <w:rsid w:val="655BDEE6"/>
    <w:rsid w:val="69FFA734"/>
    <w:rsid w:val="6B3F3DB8"/>
    <w:rsid w:val="6B7A34AD"/>
    <w:rsid w:val="6BCFB440"/>
    <w:rsid w:val="6BF677B6"/>
    <w:rsid w:val="6CAFBC41"/>
    <w:rsid w:val="6D7F5EC7"/>
    <w:rsid w:val="6DF9AC32"/>
    <w:rsid w:val="6EA1ACB0"/>
    <w:rsid w:val="6F8FC6D6"/>
    <w:rsid w:val="6FAA559E"/>
    <w:rsid w:val="6FDFE7C1"/>
    <w:rsid w:val="6FFDDCBD"/>
    <w:rsid w:val="6FFE8C78"/>
    <w:rsid w:val="72E9BC77"/>
    <w:rsid w:val="731ABFAE"/>
    <w:rsid w:val="737B4C64"/>
    <w:rsid w:val="74FFE3CA"/>
    <w:rsid w:val="7533FA03"/>
    <w:rsid w:val="75FCB924"/>
    <w:rsid w:val="76E67B69"/>
    <w:rsid w:val="76FB226A"/>
    <w:rsid w:val="773FB3E0"/>
    <w:rsid w:val="77A844B6"/>
    <w:rsid w:val="77AF6B37"/>
    <w:rsid w:val="77B3B3FC"/>
    <w:rsid w:val="77BB4BFA"/>
    <w:rsid w:val="790A110C"/>
    <w:rsid w:val="7B670640"/>
    <w:rsid w:val="7BEF217C"/>
    <w:rsid w:val="7BF7196C"/>
    <w:rsid w:val="7BF727AE"/>
    <w:rsid w:val="7BFFBA3A"/>
    <w:rsid w:val="7CBA4940"/>
    <w:rsid w:val="7DB793D3"/>
    <w:rsid w:val="7DBE8512"/>
    <w:rsid w:val="7DDF4C2E"/>
    <w:rsid w:val="7DED9C14"/>
    <w:rsid w:val="7DF7C09C"/>
    <w:rsid w:val="7E6BBD51"/>
    <w:rsid w:val="7E7D13B3"/>
    <w:rsid w:val="7EBF1C46"/>
    <w:rsid w:val="7EBF31A5"/>
    <w:rsid w:val="7EF92CA2"/>
    <w:rsid w:val="7EFC55DD"/>
    <w:rsid w:val="7EFE2EF7"/>
    <w:rsid w:val="7EFF4FED"/>
    <w:rsid w:val="7F2191BA"/>
    <w:rsid w:val="7F3D2BB4"/>
    <w:rsid w:val="7F5DEA5C"/>
    <w:rsid w:val="7F5DFD20"/>
    <w:rsid w:val="7F67BA27"/>
    <w:rsid w:val="7F72D735"/>
    <w:rsid w:val="7F7CB2E2"/>
    <w:rsid w:val="7FD76843"/>
    <w:rsid w:val="7FE307F9"/>
    <w:rsid w:val="7FEF22FA"/>
    <w:rsid w:val="7FF7F7B7"/>
    <w:rsid w:val="7FFE5D99"/>
    <w:rsid w:val="7FFFB26A"/>
    <w:rsid w:val="7FFFBBEB"/>
    <w:rsid w:val="7FFFED54"/>
    <w:rsid w:val="7FFFF237"/>
    <w:rsid w:val="8D1E2238"/>
    <w:rsid w:val="8EF655C7"/>
    <w:rsid w:val="8FB249DE"/>
    <w:rsid w:val="8FDDAC57"/>
    <w:rsid w:val="97BFA70E"/>
    <w:rsid w:val="99DB926E"/>
    <w:rsid w:val="9F6E3D03"/>
    <w:rsid w:val="9FBB49BB"/>
    <w:rsid w:val="9FBD382B"/>
    <w:rsid w:val="9FF34013"/>
    <w:rsid w:val="9FF6FDE4"/>
    <w:rsid w:val="A3F7A464"/>
    <w:rsid w:val="A6977912"/>
    <w:rsid w:val="ADDF791E"/>
    <w:rsid w:val="AEDFB779"/>
    <w:rsid w:val="AFFCB2F0"/>
    <w:rsid w:val="AFFD4718"/>
    <w:rsid w:val="B1BFBF00"/>
    <w:rsid w:val="B1DAD8AE"/>
    <w:rsid w:val="B5F96E88"/>
    <w:rsid w:val="B6B78E98"/>
    <w:rsid w:val="B6DFA6D8"/>
    <w:rsid w:val="B76746E9"/>
    <w:rsid w:val="B8BF7C9B"/>
    <w:rsid w:val="BB6CCD84"/>
    <w:rsid w:val="BBFE3C9E"/>
    <w:rsid w:val="BCFFF401"/>
    <w:rsid w:val="BD76E7F1"/>
    <w:rsid w:val="BDFE0D66"/>
    <w:rsid w:val="BDFF94B0"/>
    <w:rsid w:val="BE7F7FED"/>
    <w:rsid w:val="BF77948C"/>
    <w:rsid w:val="BF7B650F"/>
    <w:rsid w:val="BFAE3D65"/>
    <w:rsid w:val="BFDF9F42"/>
    <w:rsid w:val="BFE3A71A"/>
    <w:rsid w:val="BFF738E2"/>
    <w:rsid w:val="BFFBEDBB"/>
    <w:rsid w:val="BFFFA48F"/>
    <w:rsid w:val="C1BF790B"/>
    <w:rsid w:val="C4FB2680"/>
    <w:rsid w:val="C6BD0E12"/>
    <w:rsid w:val="C7B979A7"/>
    <w:rsid w:val="CADB2390"/>
    <w:rsid w:val="CBFE4004"/>
    <w:rsid w:val="CD9BD754"/>
    <w:rsid w:val="CF5FA3C4"/>
    <w:rsid w:val="CF9FEEC1"/>
    <w:rsid w:val="CFF73E30"/>
    <w:rsid w:val="D129C8B7"/>
    <w:rsid w:val="D7BD7C6F"/>
    <w:rsid w:val="D7C4A04B"/>
    <w:rsid w:val="D7FF7B10"/>
    <w:rsid w:val="DBBB7168"/>
    <w:rsid w:val="DCFC8199"/>
    <w:rsid w:val="DDD3998B"/>
    <w:rsid w:val="DF77D8A2"/>
    <w:rsid w:val="DFCF2A43"/>
    <w:rsid w:val="DFF3ABDA"/>
    <w:rsid w:val="DFF63D07"/>
    <w:rsid w:val="DFFFC73A"/>
    <w:rsid w:val="DFFFE877"/>
    <w:rsid w:val="E35F2AA1"/>
    <w:rsid w:val="E36E3BBB"/>
    <w:rsid w:val="E3F7D7FC"/>
    <w:rsid w:val="E7072A9A"/>
    <w:rsid w:val="E73B6D0E"/>
    <w:rsid w:val="E79F3561"/>
    <w:rsid w:val="EA5B0E48"/>
    <w:rsid w:val="EBD7C6C9"/>
    <w:rsid w:val="ED6F3503"/>
    <w:rsid w:val="EDDDD037"/>
    <w:rsid w:val="EE4F1BF6"/>
    <w:rsid w:val="EEBBD4B5"/>
    <w:rsid w:val="EF3F4A21"/>
    <w:rsid w:val="EFB5C862"/>
    <w:rsid w:val="EFB70E58"/>
    <w:rsid w:val="EFCF89EF"/>
    <w:rsid w:val="EFDF7A49"/>
    <w:rsid w:val="EFEF519F"/>
    <w:rsid w:val="F13DE04D"/>
    <w:rsid w:val="F39FA579"/>
    <w:rsid w:val="F3AF641A"/>
    <w:rsid w:val="F3FDAD7C"/>
    <w:rsid w:val="F3FF2EB3"/>
    <w:rsid w:val="F4F7ABB7"/>
    <w:rsid w:val="F57D8DE8"/>
    <w:rsid w:val="F5FFAA3D"/>
    <w:rsid w:val="F6B750FC"/>
    <w:rsid w:val="F6B9829C"/>
    <w:rsid w:val="F6BF6738"/>
    <w:rsid w:val="F6F7C3B2"/>
    <w:rsid w:val="F7ED768B"/>
    <w:rsid w:val="F7FB42E8"/>
    <w:rsid w:val="F7FE23F4"/>
    <w:rsid w:val="F8FF3518"/>
    <w:rsid w:val="F95EB880"/>
    <w:rsid w:val="F9F5EE87"/>
    <w:rsid w:val="FAE99C69"/>
    <w:rsid w:val="FAF7262B"/>
    <w:rsid w:val="FB5FF6B1"/>
    <w:rsid w:val="FB7C2D6F"/>
    <w:rsid w:val="FB866C08"/>
    <w:rsid w:val="FBC65B4C"/>
    <w:rsid w:val="FBEE6033"/>
    <w:rsid w:val="FBF35B0A"/>
    <w:rsid w:val="FCA49E60"/>
    <w:rsid w:val="FCDBD1E4"/>
    <w:rsid w:val="FD0E1419"/>
    <w:rsid w:val="FD7A1803"/>
    <w:rsid w:val="FDB73B86"/>
    <w:rsid w:val="FDED01DF"/>
    <w:rsid w:val="FE77A170"/>
    <w:rsid w:val="FE77DB64"/>
    <w:rsid w:val="FE7FA6CC"/>
    <w:rsid w:val="FE8486F2"/>
    <w:rsid w:val="FEFFADD9"/>
    <w:rsid w:val="FF37263B"/>
    <w:rsid w:val="FF9F61CC"/>
    <w:rsid w:val="FFA9A316"/>
    <w:rsid w:val="FFB3263B"/>
    <w:rsid w:val="FFBE8CDC"/>
    <w:rsid w:val="FFBEAD5D"/>
    <w:rsid w:val="FFBF6F29"/>
    <w:rsid w:val="FFCEEA3A"/>
    <w:rsid w:val="FFDB103A"/>
    <w:rsid w:val="FFEF9111"/>
    <w:rsid w:val="FFF3A04E"/>
    <w:rsid w:val="FFF7008E"/>
    <w:rsid w:val="FFFBD1A1"/>
    <w:rsid w:val="FFFBD65E"/>
    <w:rsid w:val="FFFBF8E6"/>
    <w:rsid w:val="FFFD0A81"/>
    <w:rsid w:val="FFFF406C"/>
    <w:rsid w:val="FFFF6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rFonts w:ascii="Calibri" w:hAnsi="Calibri"/>
      <w:szCs w:val="20"/>
    </w:rPr>
  </w:style>
  <w:style w:type="paragraph" w:styleId="4">
    <w:name w:val="Body Text"/>
    <w:basedOn w:val="1"/>
    <w:next w:val="5"/>
    <w:qFormat/>
    <w:uiPriority w:val="0"/>
    <w:pPr>
      <w:spacing w:line="380" w:lineRule="exact"/>
    </w:pPr>
    <w:rPr>
      <w:kern w:val="0"/>
      <w:sz w:val="24"/>
    </w:rPr>
  </w:style>
  <w:style w:type="paragraph" w:styleId="5">
    <w:name w:val="Body Text 2"/>
    <w:basedOn w:val="1"/>
    <w:qFormat/>
    <w:uiPriority w:val="0"/>
    <w:pPr>
      <w:spacing w:after="120" w:line="480" w:lineRule="auto"/>
    </w:pPr>
    <w:rPr>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243</Pages>
  <Words>152470</Words>
  <Characters>155500</Characters>
  <Lines>0</Lines>
  <Paragraphs>0</Paragraphs>
  <TotalTime>0</TotalTime>
  <ScaleCrop>false</ScaleCrop>
  <LinksUpToDate>false</LinksUpToDate>
  <CharactersWithSpaces>156286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2024-05-09T08:57:00Z</dcterms:created>
  <dc:creator>钟军</dc:creator>
  <cp:lastModifiedBy>Administrator</cp:lastModifiedBy>
  <cp:lastPrinted>2024-05-28T09:03:00Z</cp:lastPrinted>
  <dcterms:modified xsi:type="dcterms:W3CDTF">2024-07-26T06:58:10Z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163B64F4334E572D7C9B3866CE62AEB5_41</vt:lpwstr>
  </property>
</Properties>
</file>