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tabs>
          <w:tab w:val="left" w:pos="0"/>
        </w:tabs>
        <w:autoSpaceDE w:val="0"/>
        <w:autoSpaceDN w:val="0"/>
        <w:adjustRightInd w:val="0"/>
        <w:spacing w:before="0" w:after="0" w:line="360" w:lineRule="auto"/>
        <w:jc w:val="center"/>
        <w:rPr>
          <w:rFonts w:hint="eastAsia" w:ascii="宋体" w:hAnsi="宋体" w:eastAsia="宋体" w:cs="宋体"/>
          <w:b/>
          <w:bCs w:val="0"/>
          <w:i w:val="0"/>
          <w:iCs/>
          <w:color w:val="auto"/>
          <w:spacing w:val="0"/>
          <w:sz w:val="32"/>
          <w:szCs w:val="32"/>
          <w:highlight w:val="none"/>
          <w:lang w:eastAsia="zh-CN"/>
        </w:rPr>
      </w:pPr>
      <w:bookmarkStart w:id="0" w:name="_Toc35393813"/>
      <w:r>
        <w:rPr>
          <w:rFonts w:hint="eastAsia" w:ascii="宋体" w:hAnsi="宋体" w:eastAsia="宋体" w:cs="宋体"/>
          <w:b/>
          <w:bCs w:val="0"/>
          <w:i w:val="0"/>
          <w:iCs/>
          <w:color w:val="auto"/>
          <w:spacing w:val="0"/>
          <w:sz w:val="32"/>
          <w:szCs w:val="32"/>
          <w:highlight w:val="none"/>
        </w:rPr>
        <w:t>广西科文招标有限公司右江民族医学院附属医院医疗设备采购(KWLDA2J2023228）更正公告</w:t>
      </w:r>
      <w:bookmarkEnd w:id="0"/>
      <w:r>
        <w:rPr>
          <w:rFonts w:hint="eastAsia" w:ascii="宋体" w:hAnsi="宋体" w:cs="宋体"/>
          <w:b/>
          <w:bCs w:val="0"/>
          <w:i w:val="0"/>
          <w:iCs/>
          <w:color w:val="auto"/>
          <w:spacing w:val="0"/>
          <w:sz w:val="32"/>
          <w:szCs w:val="32"/>
          <w:highlight w:val="none"/>
          <w:lang w:eastAsia="zh-CN"/>
        </w:rPr>
        <w:t>一</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eastAsia" w:ascii="宋体" w:hAnsi="宋体" w:eastAsia="宋体" w:cs="宋体"/>
          <w:i w:val="0"/>
          <w:caps w:val="0"/>
          <w:color w:val="auto"/>
          <w:spacing w:val="0"/>
          <w:sz w:val="21"/>
          <w:szCs w:val="21"/>
          <w:highlight w:val="none"/>
        </w:rPr>
      </w:pPr>
      <w:r>
        <w:rPr>
          <w:rStyle w:val="12"/>
          <w:rFonts w:hint="eastAsia" w:ascii="宋体" w:hAnsi="宋体" w:eastAsia="宋体" w:cs="宋体"/>
          <w:i w:val="0"/>
          <w:caps w:val="0"/>
          <w:color w:val="auto"/>
          <w:spacing w:val="0"/>
          <w:sz w:val="21"/>
          <w:szCs w:val="21"/>
          <w:highlight w:val="none"/>
        </w:rPr>
        <w:t>一、项目基本情况</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i w:val="0"/>
          <w:caps w:val="0"/>
          <w:color w:val="auto"/>
          <w:spacing w:val="0"/>
          <w:sz w:val="21"/>
          <w:szCs w:val="21"/>
          <w:highlight w:val="none"/>
        </w:rPr>
        <w:t>   原公告的</w:t>
      </w:r>
      <w:r>
        <w:rPr>
          <w:rFonts w:hint="eastAsia" w:ascii="宋体" w:hAnsi="宋体" w:eastAsia="宋体" w:cs="宋体"/>
          <w:i w:val="0"/>
          <w:caps w:val="0"/>
          <w:color w:val="auto"/>
          <w:spacing w:val="0"/>
          <w:sz w:val="21"/>
          <w:szCs w:val="21"/>
          <w:highlight w:val="none"/>
          <w:lang w:eastAsia="zh-CN"/>
        </w:rPr>
        <w:t>招标</w:t>
      </w:r>
      <w:r>
        <w:rPr>
          <w:rFonts w:hint="eastAsia" w:ascii="宋体" w:hAnsi="宋体" w:eastAsia="宋体" w:cs="宋体"/>
          <w:i w:val="0"/>
          <w:caps w:val="0"/>
          <w:color w:val="auto"/>
          <w:spacing w:val="0"/>
          <w:sz w:val="21"/>
          <w:szCs w:val="21"/>
          <w:highlight w:val="none"/>
        </w:rPr>
        <w:t>项目编号：KWLDA2J2023228 　　　　　　　　　　　</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i w:val="0"/>
          <w:caps w:val="0"/>
          <w:color w:val="auto"/>
          <w:spacing w:val="0"/>
          <w:sz w:val="21"/>
          <w:szCs w:val="21"/>
          <w:highlight w:val="none"/>
        </w:rPr>
        <w:t>   原公告的</w:t>
      </w:r>
      <w:r>
        <w:rPr>
          <w:rFonts w:hint="eastAsia" w:ascii="宋体" w:hAnsi="宋体" w:eastAsia="宋体" w:cs="宋体"/>
          <w:i w:val="0"/>
          <w:caps w:val="0"/>
          <w:color w:val="auto"/>
          <w:spacing w:val="0"/>
          <w:sz w:val="21"/>
          <w:szCs w:val="21"/>
          <w:highlight w:val="none"/>
          <w:lang w:eastAsia="zh-CN"/>
        </w:rPr>
        <w:t>招标</w:t>
      </w:r>
      <w:r>
        <w:rPr>
          <w:rFonts w:hint="eastAsia" w:ascii="宋体" w:hAnsi="宋体" w:eastAsia="宋体" w:cs="宋体"/>
          <w:i w:val="0"/>
          <w:caps w:val="0"/>
          <w:color w:val="auto"/>
          <w:spacing w:val="0"/>
          <w:sz w:val="21"/>
          <w:szCs w:val="21"/>
          <w:highlight w:val="none"/>
        </w:rPr>
        <w:t>项目名称：右江民族医学院附属医院医疗设备采购 　　　　　　　　　　</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i w:val="0"/>
          <w:caps w:val="0"/>
          <w:color w:val="auto"/>
          <w:spacing w:val="0"/>
          <w:sz w:val="21"/>
          <w:szCs w:val="21"/>
          <w:highlight w:val="none"/>
        </w:rPr>
        <w:t>   首次公告日期：202</w:t>
      </w:r>
      <w:r>
        <w:rPr>
          <w:rFonts w:hint="eastAsia" w:ascii="宋体" w:hAnsi="宋体" w:cs="宋体"/>
          <w:i w:val="0"/>
          <w:caps w:val="0"/>
          <w:color w:val="auto"/>
          <w:spacing w:val="0"/>
          <w:sz w:val="21"/>
          <w:szCs w:val="21"/>
          <w:highlight w:val="none"/>
          <w:lang w:val="en-US" w:eastAsia="zh-CN"/>
        </w:rPr>
        <w:t>3</w:t>
      </w:r>
      <w:r>
        <w:rPr>
          <w:rFonts w:hint="eastAsia" w:ascii="宋体" w:hAnsi="宋体" w:eastAsia="宋体" w:cs="宋体"/>
          <w:i w:val="0"/>
          <w:caps w:val="0"/>
          <w:color w:val="auto"/>
          <w:spacing w:val="0"/>
          <w:sz w:val="21"/>
          <w:szCs w:val="21"/>
          <w:highlight w:val="none"/>
        </w:rPr>
        <w:t>年</w:t>
      </w:r>
      <w:r>
        <w:rPr>
          <w:rFonts w:hint="eastAsia" w:ascii="宋体" w:hAnsi="宋体" w:cs="宋体"/>
          <w:i w:val="0"/>
          <w:caps w:val="0"/>
          <w:color w:val="auto"/>
          <w:spacing w:val="0"/>
          <w:sz w:val="21"/>
          <w:szCs w:val="21"/>
          <w:highlight w:val="none"/>
          <w:lang w:val="en-US" w:eastAsia="zh-CN"/>
        </w:rPr>
        <w:t>4</w:t>
      </w:r>
      <w:r>
        <w:rPr>
          <w:rFonts w:hint="eastAsia" w:ascii="宋体" w:hAnsi="宋体" w:eastAsia="宋体" w:cs="宋体"/>
          <w:i w:val="0"/>
          <w:caps w:val="0"/>
          <w:color w:val="auto"/>
          <w:spacing w:val="0"/>
          <w:sz w:val="21"/>
          <w:szCs w:val="21"/>
          <w:highlight w:val="none"/>
        </w:rPr>
        <w:t>月</w:t>
      </w:r>
      <w:r>
        <w:rPr>
          <w:rFonts w:hint="eastAsia" w:ascii="宋体" w:hAnsi="宋体" w:cs="宋体"/>
          <w:i w:val="0"/>
          <w:caps w:val="0"/>
          <w:color w:val="auto"/>
          <w:spacing w:val="0"/>
          <w:sz w:val="21"/>
          <w:szCs w:val="21"/>
          <w:highlight w:val="none"/>
          <w:lang w:val="en-US" w:eastAsia="zh-CN"/>
        </w:rPr>
        <w:t>3</w:t>
      </w:r>
      <w:r>
        <w:rPr>
          <w:rFonts w:hint="eastAsia" w:ascii="宋体" w:hAnsi="宋体" w:eastAsia="宋体" w:cs="宋体"/>
          <w:i w:val="0"/>
          <w:caps w:val="0"/>
          <w:color w:val="auto"/>
          <w:spacing w:val="0"/>
          <w:sz w:val="21"/>
          <w:szCs w:val="21"/>
          <w:highlight w:val="none"/>
        </w:rPr>
        <w:t>日 　　　　　　　　　　　</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eastAsia" w:ascii="宋体" w:hAnsi="宋体" w:eastAsia="宋体" w:cs="宋体"/>
          <w:i w:val="0"/>
          <w:caps w:val="0"/>
          <w:color w:val="auto"/>
          <w:spacing w:val="0"/>
          <w:sz w:val="21"/>
          <w:szCs w:val="21"/>
          <w:highlight w:val="none"/>
        </w:rPr>
      </w:pPr>
      <w:r>
        <w:rPr>
          <w:rStyle w:val="12"/>
          <w:rFonts w:hint="eastAsia" w:ascii="宋体" w:hAnsi="宋体" w:eastAsia="宋体" w:cs="宋体"/>
          <w:i w:val="0"/>
          <w:caps w:val="0"/>
          <w:color w:val="auto"/>
          <w:spacing w:val="0"/>
          <w:sz w:val="21"/>
          <w:szCs w:val="21"/>
          <w:highlight w:val="none"/>
        </w:rPr>
        <w:t>二、更正信息</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i w:val="0"/>
          <w:caps w:val="0"/>
          <w:color w:val="auto"/>
          <w:spacing w:val="0"/>
          <w:sz w:val="21"/>
          <w:szCs w:val="21"/>
          <w:highlight w:val="none"/>
        </w:rPr>
        <w:t>   更正事项：</w:t>
      </w:r>
      <w:r>
        <w:rPr>
          <w:rFonts w:hint="eastAsia" w:ascii="宋体" w:hAnsi="宋体" w:eastAsia="宋体" w:cs="宋体"/>
          <w:i w:val="0"/>
          <w:caps w:val="0"/>
          <w:color w:val="auto"/>
          <w:spacing w:val="0"/>
          <w:sz w:val="21"/>
          <w:szCs w:val="21"/>
          <w:highlight w:val="none"/>
          <w:lang w:eastAsia="zh-CN"/>
        </w:rPr>
        <w:t>招标</w:t>
      </w:r>
      <w:r>
        <w:rPr>
          <w:rFonts w:hint="eastAsia" w:ascii="宋体" w:hAnsi="宋体" w:eastAsia="宋体" w:cs="宋体"/>
          <w:i w:val="0"/>
          <w:caps w:val="0"/>
          <w:color w:val="auto"/>
          <w:spacing w:val="0"/>
          <w:sz w:val="21"/>
          <w:szCs w:val="21"/>
          <w:highlight w:val="none"/>
        </w:rPr>
        <w:t>公告,</w:t>
      </w:r>
      <w:r>
        <w:rPr>
          <w:rFonts w:hint="eastAsia" w:ascii="宋体" w:hAnsi="宋体" w:eastAsia="宋体" w:cs="宋体"/>
          <w:i w:val="0"/>
          <w:caps w:val="0"/>
          <w:color w:val="auto"/>
          <w:spacing w:val="0"/>
          <w:sz w:val="21"/>
          <w:szCs w:val="21"/>
          <w:highlight w:val="none"/>
          <w:lang w:eastAsia="zh-CN"/>
        </w:rPr>
        <w:t>招标</w:t>
      </w:r>
      <w:r>
        <w:rPr>
          <w:rFonts w:hint="eastAsia" w:ascii="宋体" w:hAnsi="宋体" w:eastAsia="宋体" w:cs="宋体"/>
          <w:i w:val="0"/>
          <w:caps w:val="0"/>
          <w:color w:val="auto"/>
          <w:spacing w:val="0"/>
          <w:sz w:val="21"/>
          <w:szCs w:val="21"/>
          <w:highlight w:val="none"/>
        </w:rPr>
        <w:t>文件   </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i w:val="0"/>
          <w:caps w:val="0"/>
          <w:color w:val="auto"/>
          <w:spacing w:val="0"/>
          <w:sz w:val="21"/>
          <w:szCs w:val="21"/>
          <w:highlight w:val="none"/>
        </w:rPr>
        <w:t>   更正内容：</w:t>
      </w:r>
    </w:p>
    <w:tbl>
      <w:tblPr>
        <w:tblStyle w:val="10"/>
        <w:tblW w:w="497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507"/>
        <w:gridCol w:w="2662"/>
        <w:gridCol w:w="3081"/>
        <w:gridCol w:w="3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256" w:type="pct"/>
            <w:shd w:val="clear" w:color="auto" w:fill="auto"/>
            <w:tcMar>
              <w:top w:w="75" w:type="dxa"/>
              <w:left w:w="150" w:type="dxa"/>
              <w:bottom w:w="75" w:type="dxa"/>
              <w:right w:w="15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序号</w:t>
            </w:r>
          </w:p>
        </w:tc>
        <w:tc>
          <w:tcPr>
            <w:tcW w:w="1345" w:type="pct"/>
            <w:shd w:val="clear" w:color="auto" w:fill="auto"/>
            <w:tcMar>
              <w:top w:w="75" w:type="dxa"/>
              <w:left w:w="150" w:type="dxa"/>
              <w:bottom w:w="75" w:type="dxa"/>
              <w:right w:w="15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更正项</w:t>
            </w:r>
          </w:p>
        </w:tc>
        <w:tc>
          <w:tcPr>
            <w:tcW w:w="1557" w:type="pct"/>
            <w:shd w:val="clear" w:color="auto" w:fill="auto"/>
            <w:tcMar>
              <w:top w:w="75" w:type="dxa"/>
              <w:left w:w="150" w:type="dxa"/>
              <w:bottom w:w="75" w:type="dxa"/>
              <w:right w:w="15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更正前内容</w:t>
            </w:r>
          </w:p>
        </w:tc>
        <w:tc>
          <w:tcPr>
            <w:tcW w:w="1840" w:type="pct"/>
            <w:shd w:val="clear" w:color="auto" w:fill="auto"/>
            <w:tcMar>
              <w:top w:w="75" w:type="dxa"/>
              <w:left w:w="150" w:type="dxa"/>
              <w:bottom w:w="75" w:type="dxa"/>
              <w:right w:w="15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更正后内容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804" w:hRule="atLeast"/>
        </w:trPr>
        <w:tc>
          <w:tcPr>
            <w:tcW w:w="256" w:type="pct"/>
            <w:shd w:val="clear" w:color="auto" w:fill="auto"/>
            <w:tcMar>
              <w:top w:w="75" w:type="dxa"/>
              <w:left w:w="150" w:type="dxa"/>
              <w:bottom w:w="75" w:type="dxa"/>
              <w:right w:w="15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line="440" w:lineRule="exact"/>
              <w:jc w:val="center"/>
              <w:textAlignment w:val="auto"/>
              <w:rPr>
                <w:rFonts w:hint="default" w:ascii="宋体" w:hAnsi="宋体" w:eastAsia="宋体" w:cs="Times New Roman"/>
                <w:b w:val="0"/>
                <w:bCs w:val="0"/>
                <w:color w:val="auto"/>
                <w:kern w:val="2"/>
                <w:sz w:val="21"/>
                <w:szCs w:val="21"/>
                <w:highlight w:val="none"/>
                <w:lang w:val="en-US" w:eastAsia="zh-CN" w:bidi="ar-SA"/>
              </w:rPr>
            </w:pPr>
            <w:r>
              <w:rPr>
                <w:rFonts w:hint="eastAsia" w:ascii="宋体" w:hAnsi="宋体" w:eastAsia="宋体" w:cs="Times New Roman"/>
                <w:b w:val="0"/>
                <w:bCs w:val="0"/>
                <w:color w:val="auto"/>
                <w:kern w:val="2"/>
                <w:sz w:val="21"/>
                <w:szCs w:val="21"/>
                <w:highlight w:val="none"/>
                <w:lang w:val="en-US" w:eastAsia="zh-CN" w:bidi="ar-SA"/>
              </w:rPr>
              <w:t>1</w:t>
            </w:r>
          </w:p>
        </w:tc>
        <w:tc>
          <w:tcPr>
            <w:tcW w:w="4743" w:type="pct"/>
            <w:gridSpan w:val="3"/>
            <w:shd w:val="clear" w:color="auto" w:fill="auto"/>
            <w:tcMar>
              <w:top w:w="75" w:type="dxa"/>
              <w:left w:w="150" w:type="dxa"/>
              <w:bottom w:w="75" w:type="dxa"/>
              <w:right w:w="150" w:type="dxa"/>
            </w:tcMar>
            <w:vAlign w:val="center"/>
          </w:tcPr>
          <w:p>
            <w:pPr>
              <w:pStyle w:val="2"/>
              <w:jc w:val="center"/>
              <w:rPr>
                <w:rFonts w:hint="default" w:ascii="宋体" w:hAnsi="宋体" w:eastAsia="宋体" w:cs="宋体"/>
                <w:color w:val="auto"/>
                <w:kern w:val="0"/>
                <w:sz w:val="21"/>
                <w:szCs w:val="21"/>
                <w:highlight w:val="none"/>
                <w:lang w:val="en-US" w:eastAsia="zh-CN" w:bidi="ar"/>
              </w:rPr>
            </w:pPr>
            <w:r>
              <w:rPr>
                <w:rFonts w:hint="eastAsia" w:cs="宋体"/>
                <w:color w:val="auto"/>
                <w:kern w:val="0"/>
                <w:sz w:val="21"/>
                <w:szCs w:val="21"/>
                <w:highlight w:val="none"/>
                <w:lang w:val="en-US" w:eastAsia="zh-CN" w:bidi="ar"/>
              </w:rPr>
              <w:t>本项目货物需求一览表详见附件</w:t>
            </w:r>
          </w:p>
        </w:tc>
      </w:tr>
    </w:tbl>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i w:val="0"/>
          <w:caps w:val="0"/>
          <w:color w:val="auto"/>
          <w:spacing w:val="0"/>
          <w:sz w:val="21"/>
          <w:szCs w:val="21"/>
          <w:highlight w:val="none"/>
        </w:rPr>
        <w:t>   更正日期：</w:t>
      </w:r>
      <w:r>
        <w:rPr>
          <w:rFonts w:hint="eastAsia" w:ascii="宋体" w:hAnsi="宋体" w:eastAsia="宋体" w:cs="宋体"/>
          <w:i w:val="0"/>
          <w:caps w:val="0"/>
          <w:color w:val="auto"/>
          <w:spacing w:val="0"/>
          <w:sz w:val="21"/>
          <w:szCs w:val="21"/>
          <w:highlight w:val="none"/>
          <w:u w:val="none"/>
        </w:rPr>
        <w:t>202</w:t>
      </w:r>
      <w:r>
        <w:rPr>
          <w:rFonts w:hint="eastAsia" w:ascii="宋体" w:hAnsi="宋体" w:cs="宋体"/>
          <w:i w:val="0"/>
          <w:caps w:val="0"/>
          <w:color w:val="auto"/>
          <w:spacing w:val="0"/>
          <w:sz w:val="21"/>
          <w:szCs w:val="21"/>
          <w:highlight w:val="none"/>
          <w:u w:val="none"/>
          <w:lang w:val="en-US" w:eastAsia="zh-CN"/>
        </w:rPr>
        <w:t>3</w:t>
      </w:r>
      <w:r>
        <w:rPr>
          <w:rFonts w:hint="eastAsia" w:ascii="宋体" w:hAnsi="宋体" w:eastAsia="宋体" w:cs="宋体"/>
          <w:i w:val="0"/>
          <w:caps w:val="0"/>
          <w:color w:val="auto"/>
          <w:spacing w:val="0"/>
          <w:sz w:val="21"/>
          <w:szCs w:val="21"/>
          <w:highlight w:val="none"/>
          <w:u w:val="none"/>
        </w:rPr>
        <w:t>年</w:t>
      </w:r>
      <w:r>
        <w:rPr>
          <w:rFonts w:hint="eastAsia" w:ascii="宋体" w:hAnsi="宋体" w:cs="宋体"/>
          <w:i w:val="0"/>
          <w:caps w:val="0"/>
          <w:color w:val="auto"/>
          <w:spacing w:val="0"/>
          <w:sz w:val="21"/>
          <w:szCs w:val="21"/>
          <w:highlight w:val="none"/>
          <w:u w:val="none"/>
          <w:lang w:val="en-US" w:eastAsia="zh-CN"/>
        </w:rPr>
        <w:t>4</w:t>
      </w:r>
      <w:r>
        <w:rPr>
          <w:rFonts w:hint="eastAsia" w:ascii="宋体" w:hAnsi="宋体" w:eastAsia="宋体" w:cs="宋体"/>
          <w:i w:val="0"/>
          <w:caps w:val="0"/>
          <w:color w:val="auto"/>
          <w:spacing w:val="0"/>
          <w:sz w:val="21"/>
          <w:szCs w:val="21"/>
          <w:highlight w:val="none"/>
          <w:u w:val="none"/>
        </w:rPr>
        <w:t>月</w:t>
      </w:r>
      <w:r>
        <w:rPr>
          <w:rFonts w:hint="eastAsia" w:ascii="宋体" w:hAnsi="宋体" w:cs="宋体"/>
          <w:i w:val="0"/>
          <w:caps w:val="0"/>
          <w:color w:val="auto"/>
          <w:spacing w:val="0"/>
          <w:sz w:val="21"/>
          <w:szCs w:val="21"/>
          <w:highlight w:val="none"/>
          <w:u w:val="none"/>
          <w:lang w:val="en-US" w:eastAsia="zh-CN"/>
        </w:rPr>
        <w:t>4</w:t>
      </w:r>
      <w:r>
        <w:rPr>
          <w:rFonts w:hint="eastAsia" w:ascii="宋体" w:hAnsi="宋体" w:eastAsia="宋体" w:cs="宋体"/>
          <w:i w:val="0"/>
          <w:caps w:val="0"/>
          <w:color w:val="auto"/>
          <w:spacing w:val="0"/>
          <w:sz w:val="21"/>
          <w:szCs w:val="21"/>
          <w:highlight w:val="none"/>
          <w:u w:val="none"/>
        </w:rPr>
        <w:t>日 　</w:t>
      </w:r>
      <w:r>
        <w:rPr>
          <w:rFonts w:hint="eastAsia" w:ascii="宋体" w:hAnsi="宋体" w:eastAsia="宋体" w:cs="宋体"/>
          <w:i w:val="0"/>
          <w:caps w:val="0"/>
          <w:color w:val="auto"/>
          <w:spacing w:val="0"/>
          <w:sz w:val="21"/>
          <w:szCs w:val="21"/>
          <w:highlight w:val="none"/>
        </w:rPr>
        <w:t>　　　　　　　　　</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eastAsia" w:ascii="宋体" w:hAnsi="宋体" w:eastAsia="宋体" w:cs="宋体"/>
          <w:i w:val="0"/>
          <w:caps w:val="0"/>
          <w:color w:val="auto"/>
          <w:spacing w:val="0"/>
          <w:sz w:val="21"/>
          <w:szCs w:val="21"/>
          <w:highlight w:val="none"/>
        </w:rPr>
      </w:pPr>
      <w:r>
        <w:rPr>
          <w:rStyle w:val="12"/>
          <w:rFonts w:hint="eastAsia" w:ascii="宋体" w:hAnsi="宋体" w:eastAsia="宋体" w:cs="宋体"/>
          <w:i w:val="0"/>
          <w:caps w:val="0"/>
          <w:color w:val="auto"/>
          <w:spacing w:val="0"/>
          <w:sz w:val="21"/>
          <w:szCs w:val="21"/>
          <w:highlight w:val="none"/>
        </w:rPr>
        <w:t>三、其他补充事宜</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firstLine="420" w:firstLineChars="200"/>
        <w:textAlignment w:val="auto"/>
        <w:rPr>
          <w:rFonts w:hint="eastAsia" w:ascii="宋体" w:hAnsi="宋体" w:cs="宋体"/>
          <w:i w:val="0"/>
          <w:caps w:val="0"/>
          <w:color w:val="auto"/>
          <w:spacing w:val="0"/>
          <w:sz w:val="21"/>
          <w:szCs w:val="21"/>
          <w:highlight w:val="none"/>
          <w:lang w:val="en-US" w:eastAsia="zh-CN"/>
        </w:rPr>
      </w:pPr>
      <w:r>
        <w:rPr>
          <w:rFonts w:hint="eastAsia" w:ascii="宋体" w:hAnsi="宋体" w:cs="宋体"/>
          <w:i w:val="0"/>
          <w:caps w:val="0"/>
          <w:color w:val="auto"/>
          <w:spacing w:val="0"/>
          <w:sz w:val="21"/>
          <w:szCs w:val="21"/>
          <w:highlight w:val="none"/>
          <w:lang w:val="en-US" w:eastAsia="zh-CN"/>
        </w:rPr>
        <w:t>1、请各投标人重新下载招标文件修订版。</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firstLine="420" w:firstLineChars="200"/>
        <w:textAlignment w:val="auto"/>
        <w:rPr>
          <w:rFonts w:hint="eastAsia" w:ascii="宋体" w:hAnsi="宋体" w:eastAsia="宋体" w:cs="宋体"/>
          <w:i w:val="0"/>
          <w:caps w:val="0"/>
          <w:color w:val="auto"/>
          <w:spacing w:val="0"/>
          <w:sz w:val="21"/>
          <w:szCs w:val="21"/>
          <w:highlight w:val="none"/>
        </w:rPr>
      </w:pPr>
      <w:r>
        <w:rPr>
          <w:rFonts w:hint="eastAsia" w:ascii="宋体" w:hAnsi="宋体" w:cs="宋体"/>
          <w:i w:val="0"/>
          <w:caps w:val="0"/>
          <w:color w:val="auto"/>
          <w:spacing w:val="0"/>
          <w:sz w:val="21"/>
          <w:szCs w:val="21"/>
          <w:highlight w:val="none"/>
          <w:lang w:val="en-US" w:eastAsia="zh-CN"/>
        </w:rPr>
        <w:t>2、</w:t>
      </w:r>
      <w:r>
        <w:rPr>
          <w:rFonts w:hint="eastAsia" w:ascii="宋体" w:hAnsi="宋体" w:eastAsia="宋体" w:cs="宋体"/>
          <w:i w:val="0"/>
          <w:caps w:val="0"/>
          <w:color w:val="auto"/>
          <w:spacing w:val="0"/>
          <w:sz w:val="21"/>
          <w:szCs w:val="21"/>
          <w:highlight w:val="none"/>
        </w:rPr>
        <w:t>网上查询地址：中国招标投标公共服务平台http://zbtb.gxi.gov.cn:9000、广西壮族自治区招标投标公共服务平台http://zbtb.gxi.gov.cn:9000/、中国采购与招标网（www.chinabidding.cn）、广西科文招标有限公司网站（www.kwbid.com.cn）</w:t>
      </w:r>
      <w:r>
        <w:rPr>
          <w:rFonts w:hint="eastAsia" w:ascii="宋体" w:hAnsi="宋体" w:cs="宋体"/>
          <w:i w:val="0"/>
          <w:caps w:val="0"/>
          <w:color w:val="auto"/>
          <w:spacing w:val="0"/>
          <w:sz w:val="21"/>
          <w:szCs w:val="21"/>
          <w:highlight w:val="none"/>
          <w:lang w:eastAsia="zh-CN"/>
        </w:rPr>
        <w:t>。</w:t>
      </w:r>
      <w:r>
        <w:rPr>
          <w:rFonts w:hint="eastAsia" w:ascii="宋体" w:hAnsi="宋体" w:eastAsia="宋体" w:cs="宋体"/>
          <w:i w:val="0"/>
          <w:caps w:val="0"/>
          <w:color w:val="auto"/>
          <w:spacing w:val="0"/>
          <w:sz w:val="21"/>
          <w:szCs w:val="21"/>
          <w:highlight w:val="none"/>
        </w:rPr>
        <w:t> </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eastAsia" w:ascii="宋体" w:hAnsi="宋体" w:eastAsia="宋体" w:cs="宋体"/>
          <w:i w:val="0"/>
          <w:caps w:val="0"/>
          <w:color w:val="auto"/>
          <w:spacing w:val="0"/>
          <w:sz w:val="21"/>
          <w:szCs w:val="21"/>
          <w:highlight w:val="none"/>
        </w:rPr>
      </w:pPr>
      <w:r>
        <w:rPr>
          <w:rStyle w:val="12"/>
          <w:rFonts w:hint="eastAsia" w:ascii="宋体" w:hAnsi="宋体" w:eastAsia="宋体" w:cs="宋体"/>
          <w:i w:val="0"/>
          <w:caps w:val="0"/>
          <w:color w:val="auto"/>
          <w:spacing w:val="0"/>
          <w:sz w:val="21"/>
          <w:szCs w:val="21"/>
          <w:highlight w:val="none"/>
        </w:rPr>
        <w:t>四、对本次</w:t>
      </w:r>
      <w:r>
        <w:rPr>
          <w:rStyle w:val="12"/>
          <w:rFonts w:hint="eastAsia" w:ascii="宋体" w:hAnsi="宋体" w:cs="宋体"/>
          <w:i w:val="0"/>
          <w:caps w:val="0"/>
          <w:color w:val="auto"/>
          <w:spacing w:val="0"/>
          <w:sz w:val="21"/>
          <w:szCs w:val="21"/>
          <w:highlight w:val="none"/>
          <w:lang w:eastAsia="zh-CN"/>
        </w:rPr>
        <w:t>招标</w:t>
      </w:r>
      <w:r>
        <w:rPr>
          <w:rStyle w:val="12"/>
          <w:rFonts w:hint="eastAsia" w:ascii="宋体" w:hAnsi="宋体" w:eastAsia="宋体" w:cs="宋体"/>
          <w:i w:val="0"/>
          <w:caps w:val="0"/>
          <w:color w:val="auto"/>
          <w:spacing w:val="0"/>
          <w:sz w:val="21"/>
          <w:szCs w:val="21"/>
          <w:highlight w:val="none"/>
        </w:rPr>
        <w:t>提出询问，请按以下方式联系。</w:t>
      </w:r>
      <w:r>
        <w:rPr>
          <w:rFonts w:hint="eastAsia" w:ascii="宋体" w:hAnsi="宋体" w:eastAsia="宋体" w:cs="宋体"/>
          <w:i w:val="0"/>
          <w:caps w:val="0"/>
          <w:color w:val="auto"/>
          <w:spacing w:val="0"/>
          <w:sz w:val="21"/>
          <w:szCs w:val="21"/>
          <w:highlight w:val="none"/>
        </w:rPr>
        <w:t>　　　           </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firstLine="210" w:firstLineChars="100"/>
        <w:textAlignment w:val="auto"/>
        <w:rPr>
          <w:rFonts w:hint="eastAsia" w:ascii="宋体" w:hAnsi="宋体" w:cs="宋体"/>
          <w:i w:val="0"/>
          <w:caps w:val="0"/>
          <w:color w:val="auto"/>
          <w:spacing w:val="0"/>
          <w:sz w:val="21"/>
          <w:szCs w:val="21"/>
          <w:highlight w:val="none"/>
          <w:lang w:eastAsia="zh-CN"/>
        </w:rPr>
      </w:pPr>
      <w:r>
        <w:rPr>
          <w:rFonts w:hint="eastAsia" w:ascii="宋体" w:hAnsi="宋体" w:eastAsia="宋体" w:cs="宋体"/>
          <w:i w:val="0"/>
          <w:caps w:val="0"/>
          <w:color w:val="auto"/>
          <w:spacing w:val="0"/>
          <w:sz w:val="21"/>
          <w:szCs w:val="21"/>
          <w:highlight w:val="none"/>
        </w:rPr>
        <w:t>1.</w:t>
      </w:r>
      <w:r>
        <w:rPr>
          <w:rFonts w:hint="eastAsia" w:ascii="宋体" w:hAnsi="宋体" w:cs="宋体"/>
          <w:i w:val="0"/>
          <w:caps w:val="0"/>
          <w:color w:val="auto"/>
          <w:spacing w:val="0"/>
          <w:sz w:val="21"/>
          <w:szCs w:val="21"/>
          <w:highlight w:val="none"/>
          <w:lang w:eastAsia="zh-CN"/>
        </w:rPr>
        <w:t>名称：右江民族医学院附属医院</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firstLine="210" w:firstLineChars="100"/>
        <w:textAlignment w:val="auto"/>
        <w:rPr>
          <w:rFonts w:hint="eastAsia" w:ascii="宋体" w:hAnsi="宋体" w:cs="宋体"/>
          <w:i w:val="0"/>
          <w:caps w:val="0"/>
          <w:color w:val="auto"/>
          <w:spacing w:val="0"/>
          <w:sz w:val="21"/>
          <w:szCs w:val="21"/>
          <w:highlight w:val="none"/>
          <w:lang w:eastAsia="zh-CN"/>
        </w:rPr>
      </w:pPr>
      <w:r>
        <w:rPr>
          <w:rFonts w:hint="eastAsia" w:ascii="宋体" w:hAnsi="宋体" w:cs="宋体"/>
          <w:i w:val="0"/>
          <w:caps w:val="0"/>
          <w:color w:val="auto"/>
          <w:spacing w:val="0"/>
          <w:sz w:val="21"/>
          <w:szCs w:val="21"/>
          <w:highlight w:val="none"/>
          <w:lang w:eastAsia="zh-CN"/>
        </w:rPr>
        <w:t xml:space="preserve"> 地址：百色市中山二路18号   </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firstLine="210" w:firstLineChars="100"/>
        <w:textAlignment w:val="auto"/>
        <w:rPr>
          <w:rFonts w:hint="eastAsia" w:ascii="宋体" w:hAnsi="宋体" w:eastAsia="宋体" w:cs="宋体"/>
          <w:i w:val="0"/>
          <w:caps w:val="0"/>
          <w:color w:val="auto"/>
          <w:spacing w:val="0"/>
          <w:sz w:val="21"/>
          <w:szCs w:val="21"/>
          <w:highlight w:val="none"/>
        </w:rPr>
      </w:pPr>
      <w:r>
        <w:rPr>
          <w:rFonts w:hint="eastAsia" w:ascii="宋体" w:hAnsi="宋体" w:cs="宋体"/>
          <w:i w:val="0"/>
          <w:caps w:val="0"/>
          <w:color w:val="auto"/>
          <w:spacing w:val="0"/>
          <w:sz w:val="21"/>
          <w:szCs w:val="21"/>
          <w:highlight w:val="none"/>
          <w:lang w:eastAsia="zh-CN"/>
        </w:rPr>
        <w:t xml:space="preserve"> 联系人：宋青山   联系方式：0776-2831452</w:t>
      </w:r>
      <w:r>
        <w:rPr>
          <w:rFonts w:hint="eastAsia" w:ascii="宋体" w:hAnsi="宋体" w:eastAsia="宋体" w:cs="宋体"/>
          <w:i w:val="0"/>
          <w:caps w:val="0"/>
          <w:color w:val="auto"/>
          <w:spacing w:val="0"/>
          <w:sz w:val="21"/>
          <w:szCs w:val="21"/>
          <w:highlight w:val="none"/>
        </w:rPr>
        <w:t>       </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textAlignment w:val="auto"/>
        <w:rPr>
          <w:rFonts w:hint="eastAsia" w:ascii="宋体" w:hAnsi="宋体" w:eastAsia="宋体" w:cs="宋体"/>
          <w:color w:val="auto"/>
          <w:sz w:val="21"/>
          <w:szCs w:val="21"/>
          <w:highlight w:val="none"/>
        </w:rPr>
      </w:pPr>
      <w:r>
        <w:rPr>
          <w:rFonts w:hint="eastAsia" w:ascii="宋体" w:hAnsi="宋体" w:eastAsia="宋体" w:cs="宋体"/>
          <w:i w:val="0"/>
          <w:caps w:val="0"/>
          <w:color w:val="auto"/>
          <w:spacing w:val="0"/>
          <w:sz w:val="21"/>
          <w:szCs w:val="21"/>
          <w:highlight w:val="none"/>
        </w:rPr>
        <w:t>2.</w:t>
      </w:r>
      <w:r>
        <w:rPr>
          <w:rFonts w:hint="eastAsia" w:ascii="宋体" w:hAnsi="宋体" w:cs="宋体"/>
          <w:i w:val="0"/>
          <w:caps w:val="0"/>
          <w:color w:val="auto"/>
          <w:spacing w:val="0"/>
          <w:sz w:val="21"/>
          <w:szCs w:val="21"/>
          <w:highlight w:val="none"/>
          <w:lang w:eastAsia="zh-CN"/>
        </w:rPr>
        <w:t>招标</w:t>
      </w:r>
      <w:r>
        <w:rPr>
          <w:rFonts w:hint="eastAsia" w:ascii="宋体" w:hAnsi="宋体" w:eastAsia="宋体" w:cs="宋体"/>
          <w:i w:val="0"/>
          <w:caps w:val="0"/>
          <w:color w:val="auto"/>
          <w:spacing w:val="0"/>
          <w:sz w:val="21"/>
          <w:szCs w:val="21"/>
          <w:highlight w:val="none"/>
        </w:rPr>
        <w:t>代理机构信息            </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firstLine="210" w:firstLineChars="100"/>
        <w:textAlignment w:val="auto"/>
        <w:rPr>
          <w:rFonts w:hint="eastAsia" w:ascii="宋体" w:hAnsi="宋体" w:eastAsia="宋体" w:cs="宋体"/>
          <w:i w:val="0"/>
          <w:caps w:val="0"/>
          <w:color w:val="auto"/>
          <w:spacing w:val="0"/>
          <w:sz w:val="21"/>
          <w:szCs w:val="21"/>
          <w:highlight w:val="none"/>
        </w:rPr>
      </w:pPr>
      <w:r>
        <w:rPr>
          <w:rFonts w:hint="eastAsia" w:ascii="宋体" w:hAnsi="宋体" w:eastAsia="宋体" w:cs="宋体"/>
          <w:i w:val="0"/>
          <w:caps w:val="0"/>
          <w:color w:val="auto"/>
          <w:spacing w:val="0"/>
          <w:sz w:val="21"/>
          <w:szCs w:val="21"/>
          <w:highlight w:val="none"/>
        </w:rPr>
        <w:t>名  称：广西科文招标有限公司             </w:t>
      </w:r>
    </w:p>
    <w:p>
      <w:pPr>
        <w:pStyle w:val="7"/>
        <w:keepNext w:val="0"/>
        <w:keepLines w:val="0"/>
        <w:pageBreakBefore w:val="0"/>
        <w:kinsoku/>
        <w:wordWrap/>
        <w:overflowPunct/>
        <w:topLinePunct w:val="0"/>
        <w:autoSpaceDE/>
        <w:autoSpaceDN/>
        <w:bidi w:val="0"/>
        <w:adjustRightInd/>
        <w:snapToGrid/>
        <w:spacing w:line="400" w:lineRule="exact"/>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地址：</w:t>
      </w:r>
      <w:r>
        <w:rPr>
          <w:rFonts w:hint="eastAsia" w:ascii="宋体" w:hAnsi="宋体" w:eastAsia="宋体" w:cs="宋体"/>
          <w:color w:val="auto"/>
          <w:sz w:val="21"/>
          <w:szCs w:val="21"/>
          <w:highlight w:val="none"/>
        </w:rPr>
        <w:t>南宁市民族大道路141号中鼎万象东方大厦D区五层             </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i w:val="0"/>
          <w:caps w:val="0"/>
          <w:color w:val="auto"/>
          <w:spacing w:val="0"/>
          <w:sz w:val="21"/>
          <w:szCs w:val="21"/>
          <w:highlight w:val="none"/>
        </w:rPr>
        <w:t> 项目联系人：</w:t>
      </w:r>
      <w:r>
        <w:rPr>
          <w:rFonts w:hint="eastAsia" w:ascii="宋体" w:hAnsi="宋体" w:eastAsia="宋体" w:cs="宋体"/>
          <w:i w:val="0"/>
          <w:caps w:val="0"/>
          <w:color w:val="auto"/>
          <w:spacing w:val="0"/>
          <w:sz w:val="21"/>
          <w:szCs w:val="21"/>
          <w:highlight w:val="none"/>
          <w:lang w:eastAsia="zh-CN"/>
        </w:rPr>
        <w:t>何静</w:t>
      </w:r>
      <w:r>
        <w:rPr>
          <w:rFonts w:hint="eastAsia" w:ascii="宋体" w:hAnsi="宋体" w:eastAsia="宋体" w:cs="宋体"/>
          <w:i w:val="0"/>
          <w:caps w:val="0"/>
          <w:color w:val="auto"/>
          <w:spacing w:val="0"/>
          <w:sz w:val="21"/>
          <w:szCs w:val="21"/>
          <w:highlight w:val="none"/>
        </w:rPr>
        <w:t>              </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i w:val="0"/>
          <w:caps w:val="0"/>
          <w:color w:val="auto"/>
          <w:spacing w:val="0"/>
          <w:sz w:val="21"/>
          <w:szCs w:val="21"/>
          <w:highlight w:val="none"/>
        </w:rPr>
        <w:t> 项目联系方式：0771-2023</w:t>
      </w:r>
      <w:r>
        <w:rPr>
          <w:rFonts w:hint="eastAsia" w:ascii="宋体" w:hAnsi="宋体" w:cs="宋体"/>
          <w:i w:val="0"/>
          <w:caps w:val="0"/>
          <w:color w:val="auto"/>
          <w:spacing w:val="0"/>
          <w:sz w:val="21"/>
          <w:szCs w:val="21"/>
          <w:highlight w:val="none"/>
          <w:lang w:val="en-US" w:eastAsia="zh-CN"/>
        </w:rPr>
        <w:t>902</w:t>
      </w:r>
      <w:r>
        <w:rPr>
          <w:rFonts w:hint="eastAsia" w:ascii="宋体" w:hAnsi="宋体" w:eastAsia="宋体" w:cs="宋体"/>
          <w:i w:val="0"/>
          <w:caps w:val="0"/>
          <w:color w:val="auto"/>
          <w:spacing w:val="0"/>
          <w:sz w:val="21"/>
          <w:szCs w:val="21"/>
          <w:highlight w:val="none"/>
        </w:rPr>
        <w:t>   </w:t>
      </w:r>
    </w:p>
    <w:p>
      <w:pPr>
        <w:rPr>
          <w:rFonts w:hint="eastAsia" w:ascii="宋体" w:hAnsi="宋体" w:eastAsia="宋体" w:cs="宋体"/>
          <w:color w:val="auto"/>
          <w:highlight w:val="none"/>
        </w:rPr>
      </w:pPr>
      <w:r>
        <w:rPr>
          <w:rFonts w:hint="eastAsia" w:ascii="宋体" w:hAnsi="宋体" w:eastAsia="宋体" w:cs="宋体"/>
          <w:color w:val="auto"/>
          <w:highlight w:val="none"/>
        </w:rPr>
        <w:br w:type="page"/>
      </w:r>
    </w:p>
    <w:p>
      <w:pPr>
        <w:pStyle w:val="28"/>
        <w:numPr>
          <w:numId w:val="0"/>
        </w:numPr>
        <w:jc w:val="both"/>
        <w:outlineLvl w:val="0"/>
        <w:rPr>
          <w:color w:val="auto"/>
          <w:sz w:val="32"/>
          <w:szCs w:val="32"/>
          <w:highlight w:val="none"/>
        </w:rPr>
      </w:pPr>
      <w:r>
        <w:rPr>
          <w:rFonts w:hint="eastAsia"/>
          <w:lang w:val="en-US" w:eastAsia="zh-CN"/>
        </w:rPr>
        <w:t xml:space="preserve">附件           </w:t>
      </w:r>
      <w:r>
        <w:rPr>
          <w:rFonts w:hint="eastAsia"/>
          <w:color w:val="auto"/>
          <w:sz w:val="32"/>
          <w:szCs w:val="32"/>
          <w:highlight w:val="none"/>
        </w:rPr>
        <w:t>货物需求一览表</w:t>
      </w:r>
    </w:p>
    <w:p>
      <w:pPr>
        <w:adjustRightInd w:val="0"/>
        <w:spacing w:line="340" w:lineRule="exact"/>
        <w:rPr>
          <w:rFonts w:hint="eastAsia"/>
          <w:b/>
          <w:color w:val="auto"/>
          <w:highlight w:val="none"/>
        </w:rPr>
      </w:pPr>
      <w:bookmarkStart w:id="1" w:name="_Hlk58056859"/>
      <w:bookmarkStart w:id="4" w:name="_GoBack"/>
      <w:bookmarkEnd w:id="4"/>
    </w:p>
    <w:p>
      <w:pPr>
        <w:adjustRightInd w:val="0"/>
        <w:spacing w:line="340" w:lineRule="exact"/>
        <w:rPr>
          <w:b/>
          <w:color w:val="auto"/>
          <w:highlight w:val="none"/>
        </w:rPr>
      </w:pPr>
      <w:r>
        <w:rPr>
          <w:rFonts w:hint="eastAsia"/>
          <w:b/>
          <w:color w:val="auto"/>
          <w:highlight w:val="none"/>
        </w:rPr>
        <w:t>说明：</w:t>
      </w:r>
    </w:p>
    <w:bookmarkEnd w:id="1"/>
    <w:p>
      <w:pPr>
        <w:adjustRightInd w:val="0"/>
        <w:spacing w:line="340" w:lineRule="exact"/>
        <w:ind w:left="6" w:firstLine="431"/>
        <w:rPr>
          <w:rFonts w:hAnsi="Times New Roman"/>
          <w:color w:val="auto"/>
          <w:highlight w:val="none"/>
        </w:rPr>
      </w:pPr>
      <w:r>
        <w:rPr>
          <w:rFonts w:hint="eastAsia" w:hAnsi="Times New Roman"/>
          <w:color w:val="auto"/>
          <w:highlight w:val="none"/>
        </w:rPr>
        <w:t>1、本货物需求一览表中所列的品牌、型号仅起参考作用，竞标人可选用其他品牌、型号替代，但替代的品牌、型号在实质性要求和条件上要相当于或优于参考品牌、型号。</w:t>
      </w:r>
    </w:p>
    <w:p>
      <w:pPr>
        <w:adjustRightInd w:val="0"/>
        <w:spacing w:line="340" w:lineRule="exact"/>
        <w:ind w:left="6" w:firstLine="431"/>
        <w:rPr>
          <w:rFonts w:hAnsi="Times New Roman"/>
          <w:color w:val="auto"/>
          <w:highlight w:val="none"/>
        </w:rPr>
      </w:pPr>
      <w:r>
        <w:rPr>
          <w:rFonts w:hint="eastAsia" w:hAnsi="Times New Roman"/>
          <w:color w:val="auto"/>
          <w:highlight w:val="none"/>
        </w:rPr>
        <w:t>2、凡在“技术参数要求”中表述为“标配”或“标准配置”的设备，竞标人应按第五章“竞标文件格式”规定的格式在“竞标产品技术资料表”中将其参数详细列明。</w:t>
      </w:r>
    </w:p>
    <w:p>
      <w:pPr>
        <w:spacing w:line="360" w:lineRule="exact"/>
        <w:ind w:left="-10" w:leftChars="-5" w:right="2" w:rightChars="1" w:firstLine="422" w:firstLineChars="200"/>
        <w:rPr>
          <w:rFonts w:cs="Calibri"/>
          <w:b/>
          <w:color w:val="auto"/>
          <w:highlight w:val="none"/>
        </w:rPr>
      </w:pPr>
      <w:r>
        <w:rPr>
          <w:rFonts w:hint="eastAsia" w:cs="Calibri"/>
          <w:b/>
          <w:color w:val="auto"/>
          <w:highlight w:val="none"/>
        </w:rPr>
        <w:t>4、标注</w:t>
      </w:r>
      <w:r>
        <w:rPr>
          <w:rFonts w:hint="eastAsia" w:cs="宋体"/>
          <w:bCs/>
          <w:color w:val="auto"/>
          <w:highlight w:val="none"/>
        </w:rPr>
        <w:t>▲</w:t>
      </w:r>
      <w:r>
        <w:rPr>
          <w:rFonts w:hint="eastAsia" w:cs="Calibri"/>
          <w:b/>
          <w:bCs/>
          <w:color w:val="auto"/>
          <w:szCs w:val="24"/>
          <w:highlight w:val="none"/>
        </w:rPr>
        <w:t>号条款为实质性内容要求，竞标时必须满足，否则视为无效竞标。未标</w:t>
      </w:r>
      <w:r>
        <w:rPr>
          <w:rFonts w:hint="eastAsia" w:cs="宋体"/>
          <w:bCs/>
          <w:color w:val="auto"/>
          <w:highlight w:val="none"/>
        </w:rPr>
        <w:t>▲</w:t>
      </w:r>
      <w:r>
        <w:rPr>
          <w:rFonts w:hint="eastAsia" w:cs="Calibri"/>
          <w:b/>
          <w:bCs/>
          <w:color w:val="auto"/>
          <w:szCs w:val="24"/>
          <w:highlight w:val="none"/>
        </w:rPr>
        <w:t>号条款为一般性参数指标，负偏离达2项（含）以上的，竞标文件将被视为无效。</w:t>
      </w:r>
    </w:p>
    <w:p>
      <w:pPr>
        <w:spacing w:line="320" w:lineRule="exact"/>
        <w:ind w:firstLine="424" w:firstLineChars="202"/>
        <w:jc w:val="left"/>
        <w:rPr>
          <w:rFonts w:hAnsi="Times New Roman" w:cs="Calibri"/>
          <w:color w:val="auto"/>
          <w:highlight w:val="none"/>
        </w:rPr>
      </w:pPr>
      <w:r>
        <w:rPr>
          <w:rFonts w:hint="eastAsia" w:hAnsi="Times New Roman" w:cs="Calibri"/>
          <w:color w:val="auto"/>
          <w:highlight w:val="none"/>
        </w:rPr>
        <w:t>5、竞争性谈判文件中所要求提供的证明材料，如为英文文本的请同时提供中文译本。</w:t>
      </w:r>
    </w:p>
    <w:p>
      <w:pPr>
        <w:spacing w:line="320" w:lineRule="exact"/>
        <w:ind w:firstLine="424" w:firstLineChars="202"/>
        <w:jc w:val="left"/>
        <w:rPr>
          <w:rFonts w:hint="eastAsia" w:hAnsi="Times New Roman" w:cs="Calibri"/>
          <w:bCs/>
          <w:color w:val="auto"/>
          <w:highlight w:val="none"/>
        </w:rPr>
      </w:pPr>
      <w:r>
        <w:rPr>
          <w:rFonts w:hint="eastAsia" w:hAnsi="Times New Roman" w:cs="Calibri"/>
          <w:bCs/>
          <w:color w:val="auto"/>
          <w:highlight w:val="none"/>
        </w:rPr>
        <w:t>6、竞标人所竞标货物如国家有强制性要求的应按国家规定执行，并提供相关证明材料。</w:t>
      </w:r>
    </w:p>
    <w:p>
      <w:pPr>
        <w:pStyle w:val="2"/>
        <w:rPr>
          <w:rFonts w:hint="default" w:eastAsia="宋体"/>
          <w:color w:val="auto"/>
          <w:highlight w:val="none"/>
          <w:lang w:val="en-US" w:eastAsia="zh-CN"/>
        </w:rPr>
      </w:pPr>
      <w:r>
        <w:rPr>
          <w:rFonts w:hint="eastAsia" w:hAnsi="Times New Roman" w:cs="Calibri"/>
          <w:bCs/>
          <w:color w:val="auto"/>
          <w:highlight w:val="none"/>
          <w:lang w:val="en-US" w:eastAsia="zh-CN"/>
        </w:rPr>
        <w:t>A分标</w:t>
      </w:r>
    </w:p>
    <w:tbl>
      <w:tblPr>
        <w:tblStyle w:val="10"/>
        <w:tblW w:w="9443" w:type="dxa"/>
        <w:tblInd w:w="-34"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30"/>
        <w:gridCol w:w="1563"/>
        <w:gridCol w:w="860"/>
        <w:gridCol w:w="1419"/>
        <w:gridCol w:w="507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443" w:type="dxa"/>
            <w:gridSpan w:val="5"/>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eastAsia="宋体" w:cs="宋体"/>
                <w:b/>
                <w:color w:val="auto"/>
                <w:sz w:val="21"/>
                <w:szCs w:val="21"/>
                <w:highlight w:val="none"/>
              </w:rPr>
            </w:pPr>
            <w:bookmarkStart w:id="2" w:name="_Hlk59224159"/>
            <w:r>
              <w:rPr>
                <w:rFonts w:hint="eastAsia" w:ascii="宋体" w:hAnsi="宋体" w:eastAsia="宋体" w:cs="宋体"/>
                <w:b/>
                <w:color w:val="auto"/>
                <w:sz w:val="21"/>
                <w:szCs w:val="21"/>
                <w:highlight w:val="none"/>
              </w:rPr>
              <w:t>一、项目要求及技术需求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序号</w:t>
            </w:r>
          </w:p>
        </w:tc>
        <w:tc>
          <w:tcPr>
            <w:tcW w:w="1563"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采购内容</w:t>
            </w:r>
          </w:p>
        </w:tc>
        <w:tc>
          <w:tcPr>
            <w:tcW w:w="86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141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采购预算单价（万元）</w:t>
            </w:r>
          </w:p>
        </w:tc>
        <w:tc>
          <w:tcPr>
            <w:tcW w:w="507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项目要求及技术需求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530"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w:t>
            </w:r>
          </w:p>
        </w:tc>
        <w:tc>
          <w:tcPr>
            <w:tcW w:w="1563"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手术动力系统</w:t>
            </w:r>
          </w:p>
        </w:tc>
        <w:tc>
          <w:tcPr>
            <w:tcW w:w="860" w:type="dxa"/>
            <w:tcBorders>
              <w:left w:val="single" w:color="auto" w:sz="4" w:space="0"/>
              <w:bottom w:val="single" w:color="auto" w:sz="4" w:space="0"/>
              <w:right w:val="single" w:color="auto" w:sz="4" w:space="0"/>
            </w:tcBorders>
            <w:vAlign w:val="center"/>
          </w:tcPr>
          <w:p>
            <w:pPr>
              <w:spacing w:line="400" w:lineRule="exact"/>
              <w:jc w:val="center"/>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1套</w:t>
            </w:r>
          </w:p>
        </w:tc>
        <w:tc>
          <w:tcPr>
            <w:tcW w:w="141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eastAsia" w:cs="宋体"/>
                <w:color w:val="auto"/>
                <w:sz w:val="21"/>
                <w:szCs w:val="21"/>
                <w:highlight w:val="none"/>
                <w:lang w:val="en-US" w:eastAsia="zh-CN"/>
              </w:rPr>
              <w:t>23</w:t>
            </w:r>
          </w:p>
        </w:tc>
        <w:tc>
          <w:tcPr>
            <w:tcW w:w="5071" w:type="dxa"/>
            <w:tcBorders>
              <w:top w:val="single" w:color="auto" w:sz="4" w:space="0"/>
              <w:left w:val="single" w:color="auto" w:sz="4" w:space="0"/>
              <w:bottom w:val="single" w:color="auto" w:sz="4" w:space="0"/>
              <w:right w:val="single" w:color="auto" w:sz="4" w:space="0"/>
            </w:tcBorders>
            <w:vAlign w:val="center"/>
          </w:tcPr>
          <w:p>
            <w:pPr>
              <w:pStyle w:val="29"/>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1、产品名称：手术动力系统。</w:t>
            </w:r>
          </w:p>
          <w:p>
            <w:pPr>
              <w:pStyle w:val="29"/>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2、可调节设定输出转速，并能数码显示当前转速。</w:t>
            </w:r>
          </w:p>
          <w:p>
            <w:pPr>
              <w:pStyle w:val="29"/>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3、可调节设定输出转速范围：2000～20000 r/min。</w:t>
            </w:r>
          </w:p>
          <w:p>
            <w:pPr>
              <w:pStyle w:val="29"/>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▲4、设定转速与空载转速的允许误差应在±1%范围内。</w:t>
            </w:r>
          </w:p>
          <w:p>
            <w:pPr>
              <w:pStyle w:val="29"/>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5、维持额定转速12000 r/min时，转矩不小于1.2 mNm。 </w:t>
            </w:r>
          </w:p>
          <w:p>
            <w:pPr>
              <w:pStyle w:val="29"/>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6、堵转转矩不小于24 mNm。</w:t>
            </w:r>
          </w:p>
          <w:p>
            <w:pPr>
              <w:pStyle w:val="29"/>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7、使用时噪声不大于50dB（A加权）。</w:t>
            </w:r>
          </w:p>
          <w:p>
            <w:pPr>
              <w:pStyle w:val="29"/>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▲8、采用分离式手柄设计，方便手机进行单独消毒/灭菌。</w:t>
            </w:r>
          </w:p>
          <w:p>
            <w:pPr>
              <w:pStyle w:val="29"/>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9、配备医用脚踏开关。</w:t>
            </w:r>
          </w:p>
          <w:p>
            <w:pPr>
              <w:pStyle w:val="29"/>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10、具备脚踏单踩计数功能：使用时每次踩下脚踏开关启动，计数进行累加。</w:t>
            </w:r>
          </w:p>
          <w:p>
            <w:pPr>
              <w:pStyle w:val="29"/>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▲11、具备智能取发计数功能：系统智能识别出每次毛囊钻取操作，实现自动计数累加。</w:t>
            </w:r>
          </w:p>
          <w:p>
            <w:pPr>
              <w:pStyle w:val="29"/>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12、具备不剃发取发功能：系统以固定角度振荡往复旋转，旋转角度设定范围：90～720°，调节步进为90°。</w:t>
            </w:r>
          </w:p>
          <w:p>
            <w:pPr>
              <w:pStyle w:val="29"/>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▲13、完全独立的双系统：系统具有相互独立的主系统和副系统，副系统的供电、控制、界面等完全独立于主系统；主副双系统可同时工作运行。</w:t>
            </w:r>
          </w:p>
          <w:p>
            <w:pPr>
              <w:pStyle w:val="29"/>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▲14、内置备用电源模块：系统内置备用电源模块，当外部供电中断时，系统自动无缝切换由内部备用电源供电，可供系统连续带载工作运行不少于12小时。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530"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w:t>
            </w:r>
          </w:p>
        </w:tc>
        <w:tc>
          <w:tcPr>
            <w:tcW w:w="1563"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离心机</w:t>
            </w:r>
          </w:p>
        </w:tc>
        <w:tc>
          <w:tcPr>
            <w:tcW w:w="860" w:type="dxa"/>
            <w:tcBorders>
              <w:left w:val="single" w:color="auto" w:sz="4" w:space="0"/>
              <w:bottom w:val="single" w:color="auto" w:sz="4" w:space="0"/>
              <w:right w:val="single" w:color="auto" w:sz="4" w:space="0"/>
            </w:tcBorders>
            <w:vAlign w:val="center"/>
          </w:tcPr>
          <w:p>
            <w:pPr>
              <w:spacing w:line="400" w:lineRule="exact"/>
              <w:jc w:val="center"/>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1</w:t>
            </w:r>
            <w:r>
              <w:rPr>
                <w:rFonts w:hint="eastAsia" w:cs="宋体"/>
                <w:b w:val="0"/>
                <w:bCs/>
                <w:color w:val="auto"/>
                <w:kern w:val="0"/>
                <w:sz w:val="21"/>
                <w:szCs w:val="21"/>
                <w:highlight w:val="none"/>
                <w:lang w:val="en-US" w:eastAsia="zh-CN"/>
              </w:rPr>
              <w:t>台</w:t>
            </w:r>
          </w:p>
        </w:tc>
        <w:tc>
          <w:tcPr>
            <w:tcW w:w="141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4.6</w:t>
            </w:r>
          </w:p>
        </w:tc>
        <w:tc>
          <w:tcPr>
            <w:tcW w:w="5071" w:type="dxa"/>
            <w:tcBorders>
              <w:top w:val="single" w:color="auto" w:sz="4" w:space="0"/>
              <w:left w:val="single" w:color="auto" w:sz="4" w:space="0"/>
              <w:bottom w:val="single" w:color="auto" w:sz="4" w:space="0"/>
              <w:right w:val="single" w:color="auto" w:sz="4" w:space="0"/>
            </w:tcBorders>
            <w:vAlign w:val="center"/>
          </w:tcPr>
          <w:p>
            <w:pPr>
              <w:pStyle w:val="2"/>
              <w:rPr>
                <w:rFonts w:hint="eastAsia"/>
                <w:color w:val="auto"/>
                <w:highlight w:val="none"/>
                <w:lang w:eastAsia="zh-CN"/>
              </w:rPr>
            </w:pPr>
            <w:r>
              <w:rPr>
                <w:rFonts w:hint="eastAsia"/>
                <w:color w:val="auto"/>
                <w:highlight w:val="none"/>
                <w:lang w:eastAsia="zh-CN"/>
              </w:rPr>
              <w:t>1、 台式结构 ；</w:t>
            </w:r>
          </w:p>
          <w:p>
            <w:pPr>
              <w:pStyle w:val="2"/>
              <w:rPr>
                <w:rFonts w:hint="eastAsia"/>
                <w:color w:val="auto"/>
                <w:highlight w:val="none"/>
                <w:lang w:eastAsia="zh-CN"/>
              </w:rPr>
            </w:pPr>
            <w:r>
              <w:rPr>
                <w:rFonts w:hint="eastAsia"/>
                <w:color w:val="auto"/>
                <w:highlight w:val="none"/>
                <w:lang w:eastAsia="zh-CN"/>
              </w:rPr>
              <w:t>2、▲液晶屏同时显示：设定时间、剩余工作时间、设定转速、实际工作转速、设定离心力、实际工作离心力、转头编号、模式、加速档、减速档、门锁状态、运转状态、平衡状态；</w:t>
            </w:r>
          </w:p>
          <w:p>
            <w:pPr>
              <w:pStyle w:val="2"/>
              <w:rPr>
                <w:rFonts w:hint="eastAsia"/>
                <w:color w:val="auto"/>
                <w:highlight w:val="none"/>
                <w:lang w:eastAsia="zh-CN"/>
              </w:rPr>
            </w:pPr>
            <w:r>
              <w:rPr>
                <w:rFonts w:hint="eastAsia"/>
                <w:color w:val="auto"/>
                <w:highlight w:val="none"/>
                <w:lang w:eastAsia="zh-CN"/>
              </w:rPr>
              <w:t>3、内置脂肪干细胞胶工作程序；</w:t>
            </w:r>
          </w:p>
          <w:p>
            <w:pPr>
              <w:pStyle w:val="2"/>
              <w:rPr>
                <w:rFonts w:hint="eastAsia"/>
                <w:color w:val="auto"/>
                <w:highlight w:val="none"/>
                <w:lang w:eastAsia="zh-CN"/>
              </w:rPr>
            </w:pPr>
            <w:r>
              <w:rPr>
                <w:rFonts w:hint="eastAsia"/>
                <w:color w:val="auto"/>
                <w:highlight w:val="none"/>
                <w:lang w:eastAsia="zh-CN"/>
              </w:rPr>
              <w:t>4、RCF直接设定和显示，无需RCF/RPM换算；　　</w:t>
            </w:r>
          </w:p>
          <w:p>
            <w:pPr>
              <w:pStyle w:val="2"/>
              <w:rPr>
                <w:rFonts w:hint="eastAsia"/>
                <w:color w:val="auto"/>
                <w:highlight w:val="none"/>
                <w:lang w:eastAsia="zh-CN"/>
              </w:rPr>
            </w:pPr>
            <w:r>
              <w:rPr>
                <w:rFonts w:hint="eastAsia"/>
                <w:color w:val="auto"/>
                <w:highlight w:val="none"/>
                <w:lang w:eastAsia="zh-CN"/>
              </w:rPr>
              <w:t>5、整机全钢制结构，不锈钢离心腔,方便清洗消毒；</w:t>
            </w:r>
          </w:p>
          <w:p>
            <w:pPr>
              <w:pStyle w:val="2"/>
              <w:rPr>
                <w:rFonts w:hint="eastAsia"/>
                <w:color w:val="auto"/>
                <w:highlight w:val="none"/>
                <w:lang w:eastAsia="zh-CN"/>
              </w:rPr>
            </w:pPr>
            <w:r>
              <w:rPr>
                <w:rFonts w:hint="eastAsia"/>
                <w:color w:val="auto"/>
                <w:highlight w:val="none"/>
                <w:lang w:eastAsia="zh-CN"/>
              </w:rPr>
              <w:t>6、运行中可随时更改转速、时间、离心力等参数，无需停机；</w:t>
            </w:r>
          </w:p>
          <w:p>
            <w:pPr>
              <w:pStyle w:val="2"/>
              <w:rPr>
                <w:rFonts w:hint="eastAsia"/>
                <w:color w:val="auto"/>
                <w:highlight w:val="none"/>
                <w:lang w:eastAsia="zh-CN"/>
              </w:rPr>
            </w:pPr>
            <w:r>
              <w:rPr>
                <w:rFonts w:hint="eastAsia"/>
                <w:color w:val="auto"/>
                <w:highlight w:val="none"/>
                <w:lang w:eastAsia="zh-CN"/>
              </w:rPr>
              <w:t>7、自动平衡，无需配平 ；</w:t>
            </w:r>
          </w:p>
          <w:p>
            <w:pPr>
              <w:pStyle w:val="2"/>
              <w:rPr>
                <w:rFonts w:hint="eastAsia"/>
                <w:color w:val="auto"/>
                <w:highlight w:val="none"/>
                <w:lang w:eastAsia="zh-CN"/>
              </w:rPr>
            </w:pPr>
            <w:r>
              <w:rPr>
                <w:rFonts w:hint="eastAsia"/>
                <w:color w:val="auto"/>
                <w:highlight w:val="none"/>
                <w:lang w:eastAsia="zh-CN"/>
              </w:rPr>
              <w:t>8、▲配置：能够一次离心8支60ml/20ml注射器、8支10ml注射器，这3种配置都配，在一个机器上实现。以上配置可以高温高压消毒；</w:t>
            </w:r>
          </w:p>
          <w:p>
            <w:pPr>
              <w:pStyle w:val="2"/>
              <w:rPr>
                <w:rFonts w:hint="eastAsia"/>
                <w:color w:val="auto"/>
                <w:highlight w:val="none"/>
                <w:lang w:eastAsia="zh-CN"/>
              </w:rPr>
            </w:pPr>
            <w:r>
              <w:rPr>
                <w:rFonts w:hint="eastAsia"/>
                <w:color w:val="auto"/>
                <w:highlight w:val="none"/>
                <w:lang w:eastAsia="zh-CN"/>
              </w:rPr>
              <w:t>9、定时范围：1min～99h99min59s；</w:t>
            </w:r>
          </w:p>
          <w:p>
            <w:pPr>
              <w:pStyle w:val="2"/>
              <w:jc w:val="left"/>
              <w:rPr>
                <w:rFonts w:hint="eastAsia"/>
                <w:color w:val="auto"/>
                <w:highlight w:val="none"/>
                <w:lang w:eastAsia="zh-CN"/>
              </w:rPr>
            </w:pPr>
            <w:r>
              <w:rPr>
                <w:rFonts w:hint="eastAsia"/>
                <w:color w:val="auto"/>
                <w:highlight w:val="none"/>
                <w:lang w:val="en-US" w:eastAsia="zh-CN"/>
              </w:rPr>
              <w:t>10、电动安全门锁，双挂杆锁</w:t>
            </w:r>
          </w:p>
          <w:p>
            <w:pPr>
              <w:pStyle w:val="2"/>
              <w:rPr>
                <w:rFonts w:hint="eastAsia"/>
                <w:color w:val="auto"/>
                <w:highlight w:val="none"/>
                <w:lang w:eastAsia="zh-CN"/>
              </w:rPr>
            </w:pPr>
            <w:r>
              <w:rPr>
                <w:rFonts w:hint="eastAsia"/>
                <w:color w:val="auto"/>
                <w:highlight w:val="none"/>
                <w:lang w:eastAsia="zh-CN"/>
              </w:rPr>
              <w:t>11、交流变频电机、转速精度＜10转/分，噪音＜55分贝、最高转速能达到4200转，在4200转以下任何转速都可以设定</w:t>
            </w:r>
          </w:p>
          <w:p>
            <w:pPr>
              <w:pStyle w:val="2"/>
              <w:rPr>
                <w:rFonts w:hint="eastAsia"/>
                <w:color w:val="auto"/>
                <w:highlight w:val="none"/>
                <w:lang w:eastAsia="zh-CN"/>
              </w:rPr>
            </w:pPr>
            <w:r>
              <w:rPr>
                <w:rFonts w:hint="eastAsia"/>
                <w:color w:val="auto"/>
                <w:highlight w:val="none"/>
                <w:lang w:eastAsia="zh-CN"/>
              </w:rPr>
              <w:t>12、故障自动诊断；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443" w:type="dxa"/>
            <w:gridSpan w:val="5"/>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二、商务要求表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质保期</w:t>
            </w:r>
          </w:p>
        </w:tc>
        <w:tc>
          <w:tcPr>
            <w:tcW w:w="5071" w:type="dxa"/>
            <w:tcBorders>
              <w:top w:val="single" w:color="auto" w:sz="4" w:space="0"/>
              <w:left w:val="single" w:color="auto" w:sz="4" w:space="0"/>
              <w:bottom w:val="single" w:color="auto" w:sz="4" w:space="0"/>
              <w:right w:val="single" w:color="auto" w:sz="4" w:space="0"/>
            </w:tcBorders>
          </w:tcPr>
          <w:p>
            <w:pPr>
              <w:spacing w:line="360" w:lineRule="exact"/>
              <w:ind w:right="-107" w:rightChars="-51"/>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bCs/>
                <w:color w:val="auto"/>
                <w:sz w:val="21"/>
                <w:szCs w:val="21"/>
                <w:highlight w:val="none"/>
              </w:rPr>
              <w:t>、竞标人应明确承诺：按国家有关产品“三包”规定执行“三包”，货物验收合格后，自安装验收合格之日起质保期主机质保期≥</w:t>
            </w: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rPr>
              <w:t>年。质保期内非人为损坏免费更换所有故障零配件，并免费提供硬件的安全性改版升级和技术支持，确保设备正常运行。</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2、质保期所更换的零配件必须是原厂全新的零配件，满足设备运行要求。</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3、质保期内每年提供1次设备检查保养服务(使用专业检测设备)，每次保养及维修均需提供双方签字确认的保养服务工单或维修工单。</w:t>
            </w:r>
          </w:p>
          <w:p>
            <w:pPr>
              <w:spacing w:line="360" w:lineRule="exact"/>
              <w:ind w:right="97" w:rightChars="46"/>
              <w:jc w:val="left"/>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4、质量保证期承诺优于国家“三包”规定的，或优于采购文件规定的，按竞标人实际承诺执行。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交货时间及地点</w:t>
            </w:r>
          </w:p>
        </w:tc>
        <w:tc>
          <w:tcPr>
            <w:tcW w:w="5071" w:type="dxa"/>
            <w:tcBorders>
              <w:top w:val="single" w:color="auto" w:sz="4" w:space="0"/>
              <w:left w:val="single" w:color="auto" w:sz="4" w:space="0"/>
              <w:bottom w:val="single" w:color="auto" w:sz="4" w:space="0"/>
              <w:right w:val="single" w:color="auto" w:sz="4" w:space="0"/>
            </w:tcBorders>
          </w:tcPr>
          <w:p>
            <w:pPr>
              <w:spacing w:line="360" w:lineRule="exact"/>
              <w:ind w:right="-107" w:rightChars="-51"/>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自签订合同之日起30天内交货并安装调试完毕。</w:t>
            </w:r>
          </w:p>
          <w:p>
            <w:pPr>
              <w:spacing w:line="360" w:lineRule="exact"/>
              <w:ind w:right="-107" w:rightChars="-51"/>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地点：采购人指定地点。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付款方式</w:t>
            </w:r>
          </w:p>
        </w:tc>
        <w:tc>
          <w:tcPr>
            <w:tcW w:w="5071" w:type="dxa"/>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无预付款，项目验收合格交付使用后30日内支付第一笔合同款的50%，第二笔合同款在验收合格交付使用6个月后的15个工作日内支付合同款的45%，第三笔剩余5%的合同款，在验收合格交付使用12个月后的15个工作日内支付（无息）。中标人在采购人付款前开具完税发票给采购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3"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履约保证金</w:t>
            </w:r>
          </w:p>
        </w:tc>
        <w:tc>
          <w:tcPr>
            <w:tcW w:w="507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1、履约保证金为合同总金额：</w:t>
            </w:r>
            <w:r>
              <w:rPr>
                <w:rFonts w:hint="eastAsia" w:ascii="宋体" w:hAnsi="宋体" w:eastAsia="宋体" w:cs="宋体"/>
                <w:color w:val="auto"/>
                <w:sz w:val="21"/>
                <w:szCs w:val="21"/>
                <w:highlight w:val="none"/>
                <w:lang w:eastAsia="zh-CN"/>
              </w:rPr>
              <w:t>无</w:t>
            </w:r>
            <w:r>
              <w:rPr>
                <w:rFonts w:hint="eastAsia" w:ascii="宋体" w:hAnsi="宋体" w:eastAsia="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售后服务要求</w:t>
            </w:r>
          </w:p>
        </w:tc>
        <w:tc>
          <w:tcPr>
            <w:tcW w:w="5071" w:type="dxa"/>
            <w:tcBorders>
              <w:top w:val="single" w:color="auto" w:sz="4" w:space="0"/>
              <w:left w:val="single" w:color="auto" w:sz="4" w:space="0"/>
              <w:bottom w:val="single" w:color="auto" w:sz="4" w:space="0"/>
              <w:right w:val="single" w:color="auto" w:sz="4" w:space="0"/>
            </w:tcBorders>
          </w:tcPr>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1、免费送货上门、安装调试，免费培训，安装完成后成交供应商负责清理产生的木箱等垃圾；</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2、竞标人应提出可行的售后服务承诺书；</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3、按厂家承诺实行“三包”；</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4、竞标报价包括货物的所有费用，包括采购、运输、安装、劳务、管理、利润、税金、保险、协调、培训、售后服务、配送产品以及所有的不定因素的风险等；</w:t>
            </w:r>
          </w:p>
          <w:p>
            <w:pPr>
              <w:pStyle w:val="6"/>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5、</w:t>
            </w:r>
            <w:r>
              <w:rPr>
                <w:rFonts w:hint="eastAsia" w:ascii="宋体" w:hAnsi="宋体" w:eastAsia="宋体" w:cs="宋体"/>
                <w:b/>
                <w:bCs w:val="0"/>
                <w:color w:val="auto"/>
                <w:kern w:val="2"/>
                <w:sz w:val="21"/>
                <w:szCs w:val="21"/>
                <w:highlight w:val="none"/>
                <w:lang w:val="en-US" w:eastAsia="zh-CN" w:bidi="ar-SA"/>
              </w:rPr>
              <w:t>如医院有需求，中标公司负责向该产品接入医院的HIS系统，LIS系统，PACS系统的厂家支付接口技术服务费。单向费用8000元/台，双向费用16000元/台。</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、备件、技术及维修服务，培训要求及其它：</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（1）备件要求：竞标人或厂家应在用户当地或省会中心城市设置备件库，存入所有必须的备件，保证必要时可以及时供应；</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（2）技术及维修服务：在用户当地或省会中心城市，竞标人或厂家应配置多名工程技术人员，随时提供开箱验货、安装、调试或维修等服务；</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（3）技术培训要求：在用户当地或省会中心城市，竞标人或厂家应配置专业技术人员提供现场技术培训，保证使用人员正常操作设备的各种功能；</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w:t>
            </w:r>
            <w:bookmarkStart w:id="3" w:name="_Hlk59224273"/>
            <w:r>
              <w:rPr>
                <w:rFonts w:hint="eastAsia" w:ascii="宋体" w:hAnsi="宋体" w:eastAsia="宋体" w:cs="宋体"/>
                <w:bCs/>
                <w:color w:val="auto"/>
                <w:sz w:val="21"/>
                <w:szCs w:val="21"/>
                <w:highlight w:val="none"/>
              </w:rPr>
              <w:t>质保期内设备发生故障时，现场响应时间</w:t>
            </w:r>
            <w:r>
              <w:rPr>
                <w:rFonts w:hint="eastAsia" w:ascii="宋体" w:hAnsi="宋体" w:eastAsia="宋体" w:cs="宋体"/>
                <w:bCs/>
                <w:color w:val="auto"/>
                <w:sz w:val="21"/>
                <w:szCs w:val="21"/>
                <w:highlight w:val="none"/>
                <w:lang w:val="en-US" w:eastAsia="zh-CN"/>
              </w:rPr>
              <w:t>24</w:t>
            </w:r>
            <w:r>
              <w:rPr>
                <w:rFonts w:hint="eastAsia" w:ascii="宋体" w:hAnsi="宋体" w:eastAsia="宋体" w:cs="宋体"/>
                <w:bCs/>
                <w:color w:val="auto"/>
                <w:sz w:val="21"/>
                <w:szCs w:val="21"/>
                <w:highlight w:val="none"/>
              </w:rPr>
              <w:t>小时以内，维修响应时间小于</w:t>
            </w:r>
            <w:r>
              <w:rPr>
                <w:rFonts w:hint="eastAsia" w:ascii="宋体" w:hAnsi="宋体" w:eastAsia="宋体" w:cs="宋体"/>
                <w:bCs/>
                <w:color w:val="auto"/>
                <w:sz w:val="21"/>
                <w:szCs w:val="21"/>
                <w:highlight w:val="none"/>
                <w:lang w:val="en-US" w:eastAsia="zh-CN"/>
              </w:rPr>
              <w:t>24</w:t>
            </w:r>
            <w:r>
              <w:rPr>
                <w:rFonts w:hint="eastAsia" w:ascii="宋体" w:hAnsi="宋体" w:eastAsia="宋体" w:cs="宋体"/>
                <w:bCs/>
                <w:color w:val="auto"/>
                <w:sz w:val="21"/>
                <w:szCs w:val="21"/>
                <w:highlight w:val="none"/>
              </w:rPr>
              <w:t>小时，工程师到场时间小于</w:t>
            </w:r>
            <w:r>
              <w:rPr>
                <w:rFonts w:hint="eastAsia" w:ascii="宋体" w:hAnsi="宋体" w:eastAsia="宋体" w:cs="宋体"/>
                <w:bCs/>
                <w:color w:val="auto"/>
                <w:sz w:val="21"/>
                <w:szCs w:val="21"/>
                <w:highlight w:val="none"/>
                <w:lang w:val="en-US" w:eastAsia="zh-CN"/>
              </w:rPr>
              <w:t>36</w:t>
            </w:r>
            <w:r>
              <w:rPr>
                <w:rFonts w:hint="eastAsia" w:ascii="宋体" w:hAnsi="宋体" w:eastAsia="宋体" w:cs="宋体"/>
                <w:bCs/>
                <w:color w:val="auto"/>
                <w:sz w:val="21"/>
                <w:szCs w:val="21"/>
                <w:highlight w:val="none"/>
              </w:rPr>
              <w:t>小时，维修中所需要零配件供应最长时间不超过7天。特殊情况无法到达须提前与科室或设备主管科室沟通。如需更换配件，则小配件</w:t>
            </w:r>
            <w:r>
              <w:rPr>
                <w:rFonts w:hint="eastAsia" w:ascii="宋体" w:hAnsi="宋体" w:eastAsia="宋体" w:cs="宋体"/>
                <w:bCs/>
                <w:color w:val="auto"/>
                <w:sz w:val="21"/>
                <w:szCs w:val="21"/>
                <w:highlight w:val="none"/>
                <w:lang w:val="en-US" w:eastAsia="zh-CN"/>
              </w:rPr>
              <w:t>7</w:t>
            </w:r>
            <w:r>
              <w:rPr>
                <w:rFonts w:hint="eastAsia" w:ascii="宋体" w:hAnsi="宋体" w:eastAsia="宋体" w:cs="宋体"/>
                <w:bCs/>
                <w:color w:val="auto"/>
                <w:sz w:val="21"/>
                <w:szCs w:val="21"/>
                <w:highlight w:val="none"/>
              </w:rPr>
              <w:t>个工作日内更换完毕，大配件</w:t>
            </w:r>
            <w:r>
              <w:rPr>
                <w:rFonts w:hint="eastAsia" w:ascii="宋体" w:hAnsi="宋体" w:eastAsia="宋体" w:cs="宋体"/>
                <w:bCs/>
                <w:color w:val="auto"/>
                <w:sz w:val="21"/>
                <w:szCs w:val="21"/>
                <w:highlight w:val="none"/>
                <w:lang w:val="en-US" w:eastAsia="zh-CN"/>
              </w:rPr>
              <w:t>15</w:t>
            </w:r>
            <w:r>
              <w:rPr>
                <w:rFonts w:hint="eastAsia" w:ascii="宋体" w:hAnsi="宋体" w:eastAsia="宋体" w:cs="宋体"/>
                <w:bCs/>
                <w:color w:val="auto"/>
                <w:sz w:val="21"/>
                <w:szCs w:val="21"/>
                <w:highlight w:val="none"/>
              </w:rPr>
              <w:t>个工作日内更换完毕，当配件等待周期大于</w:t>
            </w:r>
            <w:r>
              <w:rPr>
                <w:rFonts w:hint="eastAsia" w:ascii="宋体" w:hAnsi="宋体" w:eastAsia="宋体" w:cs="宋体"/>
                <w:bCs/>
                <w:color w:val="auto"/>
                <w:sz w:val="21"/>
                <w:szCs w:val="21"/>
                <w:highlight w:val="none"/>
                <w:lang w:val="en-US" w:eastAsia="zh-CN"/>
              </w:rPr>
              <w:t>15</w:t>
            </w:r>
            <w:r>
              <w:rPr>
                <w:rFonts w:hint="eastAsia" w:ascii="宋体" w:hAnsi="宋体" w:eastAsia="宋体" w:cs="宋体"/>
                <w:bCs/>
                <w:color w:val="auto"/>
                <w:sz w:val="21"/>
                <w:szCs w:val="21"/>
                <w:highlight w:val="none"/>
              </w:rPr>
              <w:t>个工作日时，成交供应商应按照科室要求提供备用机。</w:t>
            </w:r>
            <w:bookmarkEnd w:id="3"/>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其它要求</w:t>
            </w:r>
          </w:p>
        </w:tc>
        <w:tc>
          <w:tcPr>
            <w:tcW w:w="5071" w:type="dxa"/>
            <w:tcBorders>
              <w:top w:val="single" w:color="auto" w:sz="4" w:space="0"/>
              <w:left w:val="single" w:color="auto" w:sz="4" w:space="0"/>
              <w:bottom w:val="single" w:color="auto" w:sz="4" w:space="0"/>
              <w:right w:val="single" w:color="auto" w:sz="4" w:space="0"/>
            </w:tcBorders>
          </w:tcPr>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bCs/>
                <w:color w:val="auto"/>
                <w:sz w:val="21"/>
                <w:szCs w:val="21"/>
                <w:highlight w:val="none"/>
              </w:rPr>
              <w:t>成交供应商保证向采购人提供的货物是全新、完整、未使用过的。</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2、竞标时提供竞标产品彩色图片或说明书。</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bCs/>
                <w:color w:val="auto"/>
                <w:sz w:val="21"/>
                <w:szCs w:val="21"/>
                <w:highlight w:val="none"/>
              </w:rPr>
              <w:t>采购人设备主管科室对本合同质保服务内容进行全程对接和监督，并对服务情况进行客观记录，在每个合同年度期结束时，由设备主管科室根据合同约定的服务内容、响应情况、服务态度及过程记录。</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4、采购人在货物交货验收阶段发现货物的技术参数指标达不到采购文件该货物技术参数要求的，属虚假应标行为，采购人将终止合同拒收货物，追究该成交单位违约责任，赔偿采购人因采购时间延长造成采购人经济等方面损失。</w:t>
            </w:r>
          </w:p>
        </w:tc>
      </w:tr>
      <w:bookmarkEnd w:id="2"/>
    </w:tbl>
    <w:p>
      <w:pPr>
        <w:rPr>
          <w:rFonts w:hint="default"/>
          <w:b/>
          <w:bCs/>
          <w:color w:val="auto"/>
          <w:highlight w:val="none"/>
          <w:lang w:val="en-US" w:eastAsia="zh-CN"/>
        </w:rPr>
      </w:pPr>
      <w:r>
        <w:rPr>
          <w:rFonts w:hint="eastAsia"/>
          <w:b/>
          <w:bCs/>
          <w:color w:val="auto"/>
          <w:highlight w:val="none"/>
          <w:lang w:val="en-US" w:eastAsia="zh-CN"/>
        </w:rPr>
        <w:br w:type="page"/>
      </w:r>
      <w:r>
        <w:rPr>
          <w:rFonts w:hint="eastAsia"/>
          <w:b/>
          <w:bCs/>
          <w:color w:val="auto"/>
          <w:highlight w:val="none"/>
          <w:lang w:val="en-US" w:eastAsia="zh-CN"/>
        </w:rPr>
        <w:t>B分标</w:t>
      </w:r>
    </w:p>
    <w:tbl>
      <w:tblPr>
        <w:tblStyle w:val="10"/>
        <w:tblW w:w="9443" w:type="dxa"/>
        <w:tblInd w:w="-34"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30"/>
        <w:gridCol w:w="1563"/>
        <w:gridCol w:w="860"/>
        <w:gridCol w:w="1419"/>
        <w:gridCol w:w="507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443" w:type="dxa"/>
            <w:gridSpan w:val="5"/>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一、项目要求及技术需求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序号</w:t>
            </w:r>
          </w:p>
        </w:tc>
        <w:tc>
          <w:tcPr>
            <w:tcW w:w="1563"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采购内容</w:t>
            </w:r>
          </w:p>
        </w:tc>
        <w:tc>
          <w:tcPr>
            <w:tcW w:w="86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141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采购预算单价（万元）</w:t>
            </w:r>
          </w:p>
        </w:tc>
        <w:tc>
          <w:tcPr>
            <w:tcW w:w="507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项目要求及技术需求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530"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w:t>
            </w:r>
          </w:p>
        </w:tc>
        <w:tc>
          <w:tcPr>
            <w:tcW w:w="1563"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包埋机</w:t>
            </w:r>
          </w:p>
        </w:tc>
        <w:tc>
          <w:tcPr>
            <w:tcW w:w="860" w:type="dxa"/>
            <w:tcBorders>
              <w:left w:val="single" w:color="auto" w:sz="4" w:space="0"/>
              <w:bottom w:val="single" w:color="auto" w:sz="4" w:space="0"/>
              <w:right w:val="single" w:color="auto" w:sz="4" w:space="0"/>
            </w:tcBorders>
            <w:vAlign w:val="center"/>
          </w:tcPr>
          <w:p>
            <w:pPr>
              <w:spacing w:line="400" w:lineRule="exact"/>
              <w:jc w:val="center"/>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1</w:t>
            </w:r>
            <w:r>
              <w:rPr>
                <w:rFonts w:hint="eastAsia" w:cs="宋体"/>
                <w:b w:val="0"/>
                <w:bCs/>
                <w:color w:val="auto"/>
                <w:kern w:val="0"/>
                <w:sz w:val="21"/>
                <w:szCs w:val="21"/>
                <w:highlight w:val="none"/>
                <w:lang w:val="en-US" w:eastAsia="zh-CN"/>
              </w:rPr>
              <w:t>台</w:t>
            </w:r>
          </w:p>
        </w:tc>
        <w:tc>
          <w:tcPr>
            <w:tcW w:w="141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eastAsia" w:cs="宋体"/>
                <w:color w:val="auto"/>
                <w:sz w:val="21"/>
                <w:szCs w:val="21"/>
                <w:highlight w:val="none"/>
                <w:lang w:val="en-US" w:eastAsia="zh-CN"/>
              </w:rPr>
              <w:t>14</w:t>
            </w:r>
          </w:p>
        </w:tc>
        <w:tc>
          <w:tcPr>
            <w:tcW w:w="5071" w:type="dxa"/>
            <w:tcBorders>
              <w:top w:val="single" w:color="auto" w:sz="4" w:space="0"/>
              <w:left w:val="single" w:color="auto" w:sz="4" w:space="0"/>
              <w:bottom w:val="single" w:color="auto" w:sz="4" w:space="0"/>
              <w:right w:val="single" w:color="auto" w:sz="4" w:space="0"/>
            </w:tcBorders>
            <w:vAlign w:val="center"/>
          </w:tcPr>
          <w:p>
            <w:pPr>
              <w:pStyle w:val="29"/>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1.工作条件：</w:t>
            </w:r>
          </w:p>
          <w:p>
            <w:pPr>
              <w:pStyle w:val="29"/>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1.1环境温度 5～35℃</w:t>
            </w:r>
          </w:p>
          <w:p>
            <w:pPr>
              <w:pStyle w:val="29"/>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1.2相对湿度 50～80%</w:t>
            </w:r>
          </w:p>
          <w:p>
            <w:pPr>
              <w:pStyle w:val="29"/>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1.3工作电压 220-240V，50/60Hz </w:t>
            </w:r>
          </w:p>
          <w:p>
            <w:pPr>
              <w:pStyle w:val="29"/>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 技术性能指标</w:t>
            </w:r>
          </w:p>
          <w:p>
            <w:pPr>
              <w:pStyle w:val="29"/>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2.1 模块化设计，包埋热台与冷台放置顺序可更换</w:t>
            </w:r>
          </w:p>
          <w:p>
            <w:pPr>
              <w:pStyle w:val="29"/>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▲2.2 全新升级的中文触摸屏操作，用户可设定工作程序、工作时间、温度及时钟</w:t>
            </w:r>
          </w:p>
          <w:p>
            <w:pPr>
              <w:pStyle w:val="29"/>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▲2.3 蜡缸容量5升，温度范围50-70℃</w:t>
            </w:r>
          </w:p>
          <w:p>
            <w:pPr>
              <w:pStyle w:val="29"/>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▲2.4 热台温度范围50-70℃；组织存储槽温度范围50-70℃，最多可放置300个组织盒；模具存储槽温度范围50-70℃；冷点温度为5℃；冷热台均可以预约开启。</w:t>
            </w:r>
          </w:p>
          <w:p>
            <w:pPr>
              <w:pStyle w:val="29"/>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▲2.5 冷台工作温度可调，-3~-12℃，可放置72个组织盒</w:t>
            </w:r>
          </w:p>
          <w:p>
            <w:pPr>
              <w:pStyle w:val="29"/>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2.6 照明系统分为热台照明系统和附件照明系统两套，两套灯光可分开控制；照明灯亮度由暗到亮，5级可调；照明灯为LED冷光源，且均为隐藏式设计</w:t>
            </w:r>
          </w:p>
          <w:p>
            <w:pPr>
              <w:pStyle w:val="29"/>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2.7 集成于主机上的修蜡模块</w:t>
            </w:r>
          </w:p>
          <w:p>
            <w:pPr>
              <w:pStyle w:val="29"/>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2.8 集成于主机上的加热镊及文件托盘</w:t>
            </w:r>
          </w:p>
          <w:p>
            <w:pPr>
              <w:pStyle w:val="29"/>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2.9 石蜡分配控制杆的位置可调，即可前后移动，适应不同尺寸的标本</w:t>
            </w:r>
          </w:p>
          <w:p>
            <w:pPr>
              <w:pStyle w:val="29"/>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2.10工作台面为人体工程学设计，手托处弧线设计、绝缘隔热使包埋工作更为舒适</w:t>
            </w:r>
          </w:p>
          <w:p>
            <w:pPr>
              <w:pStyle w:val="29"/>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2.11排蜡系统和排蜡阀设计保证热台、组织槽、熔蜡缸等处的熔蜡顺畅排出；可手控出蜡或脚控出蜡，出蜡结束后无残余液体石蜡滴出；提供可移废蜡槽，便于清洁</w:t>
            </w:r>
          </w:p>
          <w:p>
            <w:pPr>
              <w:pStyle w:val="29"/>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2.12提供保温区以存放恒温电热镊及其它工具，具有双重保温作用；镊子温热器温度由冷到热，多级可调</w:t>
            </w:r>
          </w:p>
          <w:p>
            <w:pPr>
              <w:pStyle w:val="29"/>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2.13 石蜡喷嘴长度可调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530"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w:t>
            </w:r>
          </w:p>
        </w:tc>
        <w:tc>
          <w:tcPr>
            <w:tcW w:w="1563"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盖片机</w:t>
            </w:r>
          </w:p>
        </w:tc>
        <w:tc>
          <w:tcPr>
            <w:tcW w:w="860" w:type="dxa"/>
            <w:tcBorders>
              <w:left w:val="single" w:color="auto" w:sz="4" w:space="0"/>
              <w:bottom w:val="single" w:color="auto" w:sz="4" w:space="0"/>
              <w:right w:val="single" w:color="auto" w:sz="4" w:space="0"/>
            </w:tcBorders>
            <w:vAlign w:val="center"/>
          </w:tcPr>
          <w:p>
            <w:pPr>
              <w:spacing w:line="400" w:lineRule="exact"/>
              <w:jc w:val="center"/>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1</w:t>
            </w:r>
            <w:r>
              <w:rPr>
                <w:rFonts w:hint="eastAsia" w:cs="宋体"/>
                <w:b w:val="0"/>
                <w:bCs/>
                <w:color w:val="auto"/>
                <w:kern w:val="0"/>
                <w:sz w:val="21"/>
                <w:szCs w:val="21"/>
                <w:highlight w:val="none"/>
                <w:lang w:val="en-US" w:eastAsia="zh-CN"/>
              </w:rPr>
              <w:t>台</w:t>
            </w:r>
          </w:p>
        </w:tc>
        <w:tc>
          <w:tcPr>
            <w:tcW w:w="141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eastAsia" w:cs="宋体"/>
                <w:b w:val="0"/>
                <w:bCs/>
                <w:color w:val="auto"/>
                <w:kern w:val="0"/>
                <w:sz w:val="21"/>
                <w:szCs w:val="21"/>
                <w:highlight w:val="none"/>
                <w:lang w:val="en-US" w:eastAsia="zh-CN"/>
              </w:rPr>
              <w:t>40</w:t>
            </w:r>
          </w:p>
        </w:tc>
        <w:tc>
          <w:tcPr>
            <w:tcW w:w="5071" w:type="dxa"/>
            <w:tcBorders>
              <w:top w:val="single" w:color="auto" w:sz="4" w:space="0"/>
              <w:left w:val="single" w:color="auto" w:sz="4" w:space="0"/>
              <w:bottom w:val="single" w:color="auto" w:sz="4" w:space="0"/>
              <w:right w:val="single" w:color="auto" w:sz="4" w:space="0"/>
            </w:tcBorders>
            <w:vAlign w:val="center"/>
          </w:tcPr>
          <w:p>
            <w:pPr>
              <w:pStyle w:val="2"/>
              <w:rPr>
                <w:rFonts w:hint="eastAsia"/>
                <w:color w:val="auto"/>
                <w:highlight w:val="none"/>
                <w:lang w:eastAsia="zh-CN"/>
              </w:rPr>
            </w:pPr>
            <w:r>
              <w:rPr>
                <w:rFonts w:hint="eastAsia"/>
                <w:color w:val="auto"/>
                <w:highlight w:val="none"/>
                <w:lang w:eastAsia="zh-CN"/>
              </w:rPr>
              <w:t>1. 工作条件:</w:t>
            </w:r>
          </w:p>
          <w:p>
            <w:pPr>
              <w:pStyle w:val="2"/>
              <w:rPr>
                <w:rFonts w:hint="eastAsia"/>
                <w:color w:val="auto"/>
                <w:highlight w:val="none"/>
                <w:lang w:eastAsia="zh-CN"/>
              </w:rPr>
            </w:pPr>
            <w:r>
              <w:rPr>
                <w:rFonts w:hint="eastAsia"/>
                <w:color w:val="auto"/>
                <w:highlight w:val="none"/>
                <w:lang w:eastAsia="zh-CN"/>
              </w:rPr>
              <w:t>1.1 环境温度:5～40℃，</w:t>
            </w:r>
          </w:p>
          <w:p>
            <w:pPr>
              <w:pStyle w:val="2"/>
              <w:rPr>
                <w:rFonts w:hint="eastAsia"/>
                <w:color w:val="auto"/>
                <w:highlight w:val="none"/>
                <w:lang w:eastAsia="zh-CN"/>
              </w:rPr>
            </w:pPr>
            <w:r>
              <w:rPr>
                <w:rFonts w:hint="eastAsia"/>
                <w:color w:val="auto"/>
                <w:highlight w:val="none"/>
                <w:lang w:eastAsia="zh-CN"/>
              </w:rPr>
              <w:t>1.2 相对湿度:＜80％</w:t>
            </w:r>
          </w:p>
          <w:p>
            <w:pPr>
              <w:pStyle w:val="2"/>
              <w:rPr>
                <w:rFonts w:hint="eastAsia"/>
                <w:color w:val="auto"/>
                <w:highlight w:val="none"/>
                <w:lang w:eastAsia="zh-CN"/>
              </w:rPr>
            </w:pPr>
            <w:r>
              <w:rPr>
                <w:rFonts w:hint="eastAsia"/>
                <w:color w:val="auto"/>
                <w:highlight w:val="none"/>
                <w:lang w:eastAsia="zh-CN"/>
              </w:rPr>
              <w:t>1.3 工作电压:100～240V，50～60z，300VA</w:t>
            </w:r>
          </w:p>
          <w:p>
            <w:pPr>
              <w:pStyle w:val="2"/>
              <w:rPr>
                <w:rFonts w:hint="eastAsia"/>
                <w:color w:val="auto"/>
                <w:highlight w:val="none"/>
                <w:lang w:eastAsia="zh-CN"/>
              </w:rPr>
            </w:pPr>
            <w:r>
              <w:rPr>
                <w:rFonts w:hint="eastAsia"/>
                <w:color w:val="auto"/>
                <w:highlight w:val="none"/>
                <w:lang w:eastAsia="zh-CN"/>
              </w:rPr>
              <w:t>2. 技术参数</w:t>
            </w:r>
          </w:p>
          <w:p>
            <w:pPr>
              <w:pStyle w:val="2"/>
              <w:rPr>
                <w:rFonts w:hint="eastAsia"/>
                <w:color w:val="auto"/>
                <w:highlight w:val="none"/>
                <w:lang w:eastAsia="zh-CN"/>
              </w:rPr>
            </w:pPr>
            <w:r>
              <w:rPr>
                <w:rFonts w:hint="eastAsia"/>
                <w:color w:val="auto"/>
                <w:highlight w:val="none"/>
                <w:lang w:eastAsia="zh-CN"/>
              </w:rPr>
              <w:t xml:space="preserve">2.1.▲仪器可以识别两种颜色代码的玻片架，自动启动不同的盖片程序； </w:t>
            </w:r>
          </w:p>
          <w:p>
            <w:pPr>
              <w:pStyle w:val="2"/>
              <w:rPr>
                <w:rFonts w:hint="eastAsia"/>
                <w:color w:val="auto"/>
                <w:highlight w:val="none"/>
                <w:lang w:eastAsia="zh-CN"/>
              </w:rPr>
            </w:pPr>
            <w:r>
              <w:rPr>
                <w:rFonts w:hint="eastAsia"/>
                <w:color w:val="auto"/>
                <w:highlight w:val="none"/>
                <w:lang w:eastAsia="zh-CN"/>
              </w:rPr>
              <w:t>2.2 ▲高通量，可上载6架玻片（120片），下载5架玻片（100片），仪器同时可容纳220张玻片；</w:t>
            </w:r>
          </w:p>
          <w:p>
            <w:pPr>
              <w:pStyle w:val="2"/>
              <w:rPr>
                <w:rFonts w:hint="eastAsia"/>
                <w:color w:val="auto"/>
                <w:highlight w:val="none"/>
                <w:lang w:eastAsia="zh-CN"/>
              </w:rPr>
            </w:pPr>
            <w:r>
              <w:rPr>
                <w:rFonts w:hint="eastAsia"/>
                <w:color w:val="auto"/>
                <w:highlight w:val="none"/>
                <w:lang w:eastAsia="zh-CN"/>
              </w:rPr>
              <w:t>2.3 ▲触摸屏操作；</w:t>
            </w:r>
          </w:p>
          <w:p>
            <w:pPr>
              <w:pStyle w:val="2"/>
              <w:rPr>
                <w:rFonts w:hint="eastAsia"/>
                <w:color w:val="auto"/>
                <w:highlight w:val="none"/>
                <w:lang w:eastAsia="zh-CN"/>
              </w:rPr>
            </w:pPr>
            <w:r>
              <w:rPr>
                <w:rFonts w:hint="eastAsia"/>
                <w:color w:val="auto"/>
                <w:highlight w:val="none"/>
                <w:lang w:eastAsia="zh-CN"/>
              </w:rPr>
              <w:t>2.4 兼容各种尺寸盖玻片 24 x 40-55 mm；</w:t>
            </w:r>
          </w:p>
          <w:p>
            <w:pPr>
              <w:pStyle w:val="2"/>
              <w:rPr>
                <w:rFonts w:hint="eastAsia"/>
                <w:color w:val="auto"/>
                <w:highlight w:val="none"/>
                <w:lang w:eastAsia="zh-CN"/>
              </w:rPr>
            </w:pPr>
            <w:r>
              <w:rPr>
                <w:rFonts w:hint="eastAsia"/>
                <w:color w:val="auto"/>
                <w:highlight w:val="none"/>
                <w:lang w:eastAsia="zh-CN"/>
              </w:rPr>
              <w:t>2.5 ▲盖玻片上载容量为 500 片或575片；</w:t>
            </w:r>
          </w:p>
          <w:p>
            <w:pPr>
              <w:pStyle w:val="2"/>
              <w:rPr>
                <w:rFonts w:hint="eastAsia"/>
                <w:color w:val="auto"/>
                <w:highlight w:val="none"/>
                <w:lang w:eastAsia="zh-CN"/>
              </w:rPr>
            </w:pPr>
            <w:r>
              <w:rPr>
                <w:rFonts w:hint="eastAsia"/>
                <w:color w:val="auto"/>
                <w:highlight w:val="none"/>
                <w:lang w:eastAsia="zh-CN"/>
              </w:rPr>
              <w:t>2.6 提供各种与其他品牌染色机兼容的玻片架；</w:t>
            </w:r>
          </w:p>
          <w:p>
            <w:pPr>
              <w:pStyle w:val="2"/>
              <w:rPr>
                <w:rFonts w:hint="eastAsia"/>
                <w:color w:val="auto"/>
                <w:highlight w:val="none"/>
                <w:lang w:eastAsia="zh-CN"/>
              </w:rPr>
            </w:pPr>
            <w:r>
              <w:rPr>
                <w:rFonts w:hint="eastAsia"/>
                <w:color w:val="auto"/>
                <w:highlight w:val="none"/>
                <w:lang w:eastAsia="zh-CN"/>
              </w:rPr>
              <w:t>2.7封胶瓶容量250ml</w:t>
            </w:r>
          </w:p>
          <w:p>
            <w:pPr>
              <w:pStyle w:val="2"/>
              <w:rPr>
                <w:rFonts w:hint="eastAsia"/>
                <w:color w:val="auto"/>
                <w:highlight w:val="none"/>
                <w:lang w:eastAsia="zh-CN"/>
              </w:rPr>
            </w:pPr>
            <w:r>
              <w:rPr>
                <w:rFonts w:hint="eastAsia"/>
                <w:color w:val="auto"/>
                <w:highlight w:val="none"/>
                <w:lang w:eastAsia="zh-CN"/>
              </w:rPr>
              <w:t>2.8 兼容各品牌的封片胶；</w:t>
            </w:r>
          </w:p>
          <w:p>
            <w:pPr>
              <w:pStyle w:val="2"/>
              <w:rPr>
                <w:rFonts w:hint="eastAsia"/>
                <w:color w:val="auto"/>
                <w:highlight w:val="none"/>
                <w:lang w:eastAsia="zh-CN"/>
              </w:rPr>
            </w:pPr>
            <w:r>
              <w:rPr>
                <w:rFonts w:hint="eastAsia"/>
                <w:color w:val="auto"/>
                <w:highlight w:val="none"/>
                <w:lang w:eastAsia="zh-CN"/>
              </w:rPr>
              <w:t>2.9 有破损盖玻片自检功能；</w:t>
            </w:r>
          </w:p>
          <w:p>
            <w:pPr>
              <w:pStyle w:val="2"/>
              <w:rPr>
                <w:rFonts w:hint="eastAsia"/>
                <w:color w:val="auto"/>
                <w:highlight w:val="none"/>
                <w:lang w:eastAsia="zh-CN"/>
              </w:rPr>
            </w:pPr>
            <w:r>
              <w:rPr>
                <w:rFonts w:hint="eastAsia"/>
                <w:color w:val="auto"/>
                <w:highlight w:val="none"/>
                <w:lang w:eastAsia="zh-CN"/>
              </w:rPr>
              <w:t>2.10 适用于干性和湿性封片；</w:t>
            </w:r>
          </w:p>
          <w:p>
            <w:pPr>
              <w:pStyle w:val="2"/>
              <w:rPr>
                <w:rFonts w:hint="eastAsia"/>
                <w:color w:val="auto"/>
                <w:highlight w:val="none"/>
                <w:lang w:eastAsia="zh-CN"/>
              </w:rPr>
            </w:pPr>
            <w:r>
              <w:rPr>
                <w:rFonts w:hint="eastAsia"/>
                <w:color w:val="auto"/>
                <w:highlight w:val="none"/>
                <w:lang w:eastAsia="zh-CN"/>
              </w:rPr>
              <w:t>2.11玻璃盖片机，不影响切片扫描</w:t>
            </w:r>
          </w:p>
          <w:p>
            <w:pPr>
              <w:pStyle w:val="2"/>
              <w:rPr>
                <w:rFonts w:hint="eastAsia"/>
                <w:color w:val="auto"/>
                <w:highlight w:val="none"/>
                <w:lang w:eastAsia="zh-CN"/>
              </w:rPr>
            </w:pPr>
            <w:r>
              <w:rPr>
                <w:rFonts w:hint="eastAsia"/>
                <w:color w:val="auto"/>
                <w:highlight w:val="none"/>
                <w:lang w:eastAsia="zh-CN"/>
              </w:rPr>
              <w:t>2.12▲封片计数，可重置</w:t>
            </w:r>
          </w:p>
          <w:p>
            <w:pPr>
              <w:pStyle w:val="2"/>
              <w:rPr>
                <w:rFonts w:hint="eastAsia"/>
                <w:color w:val="auto"/>
                <w:highlight w:val="none"/>
                <w:lang w:eastAsia="zh-CN"/>
              </w:rPr>
            </w:pPr>
            <w:r>
              <w:rPr>
                <w:rFonts w:hint="eastAsia"/>
                <w:color w:val="auto"/>
                <w:highlight w:val="none"/>
                <w:lang w:eastAsia="zh-CN"/>
              </w:rPr>
              <w:t>▲为保证售后服务质量投标人投标时显微镜必须提供生产厂家或国内代理商或区域代理针对于本项目的售后服务承诺书原件。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443" w:type="dxa"/>
            <w:gridSpan w:val="5"/>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二、商务要求表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质保期</w:t>
            </w:r>
          </w:p>
        </w:tc>
        <w:tc>
          <w:tcPr>
            <w:tcW w:w="5071" w:type="dxa"/>
            <w:tcBorders>
              <w:top w:val="single" w:color="auto" w:sz="4" w:space="0"/>
              <w:left w:val="single" w:color="auto" w:sz="4" w:space="0"/>
              <w:bottom w:val="single" w:color="auto" w:sz="4" w:space="0"/>
              <w:right w:val="single" w:color="auto" w:sz="4" w:space="0"/>
            </w:tcBorders>
          </w:tcPr>
          <w:p>
            <w:pPr>
              <w:spacing w:line="360" w:lineRule="exact"/>
              <w:ind w:right="-107" w:rightChars="-51"/>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bCs/>
                <w:color w:val="auto"/>
                <w:sz w:val="21"/>
                <w:szCs w:val="21"/>
                <w:highlight w:val="none"/>
              </w:rPr>
              <w:t>、竞标人应明确承诺：按国家有关产品“三包”规定执行“三包”，货物验收合格后，自安装验收合格之日起质保期主机质保期≥</w:t>
            </w: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rPr>
              <w:t>年。质保期内非人为损坏免费更换所有故障零配件，并免费提供硬件的安全性改版升级和技术支持，确保设备正常运行。</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2、质保期所更换的零配件必须是原厂全新的零配件，满足设备运行要求。</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3、质保期内每年提供1次设备检查保养服务(使用专业检测设备)，每次保养及维修均需提供双方签字确认的保养服务工单或维修工单。</w:t>
            </w:r>
          </w:p>
          <w:p>
            <w:pPr>
              <w:spacing w:line="360" w:lineRule="exact"/>
              <w:ind w:right="97" w:rightChars="46"/>
              <w:jc w:val="left"/>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4、质量保证期承诺优于国家“三包”规定的，或优于采购文件规定的，按竞标人实际承诺执行。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交货时间及地点</w:t>
            </w:r>
          </w:p>
        </w:tc>
        <w:tc>
          <w:tcPr>
            <w:tcW w:w="5071" w:type="dxa"/>
            <w:tcBorders>
              <w:top w:val="single" w:color="auto" w:sz="4" w:space="0"/>
              <w:left w:val="single" w:color="auto" w:sz="4" w:space="0"/>
              <w:bottom w:val="single" w:color="auto" w:sz="4" w:space="0"/>
              <w:right w:val="single" w:color="auto" w:sz="4" w:space="0"/>
            </w:tcBorders>
          </w:tcPr>
          <w:p>
            <w:pPr>
              <w:spacing w:line="360" w:lineRule="exact"/>
              <w:ind w:right="-107" w:rightChars="-51"/>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自签订合同之日起30天内交货并安装调试完毕。</w:t>
            </w:r>
          </w:p>
          <w:p>
            <w:pPr>
              <w:spacing w:line="360" w:lineRule="exact"/>
              <w:ind w:right="-107" w:rightChars="-51"/>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地点：采购人指定地点。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付款方式</w:t>
            </w:r>
          </w:p>
        </w:tc>
        <w:tc>
          <w:tcPr>
            <w:tcW w:w="5071" w:type="dxa"/>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无预付款，项目验收合格交付使用后30日内支付第一笔合同款的50%，第二笔合同款在验收合格交付使用6个月后的15个工作日内支付合同款的45%，第三笔剩余5%的合同款，在验收合格交付使用12个月后的15个工作日内支付（无息）。中标人在采购人付款前开具完税发票给采购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3"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履约保证金</w:t>
            </w:r>
          </w:p>
        </w:tc>
        <w:tc>
          <w:tcPr>
            <w:tcW w:w="507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1、履约保证金为合同总金额：</w:t>
            </w:r>
            <w:r>
              <w:rPr>
                <w:rFonts w:hint="eastAsia" w:ascii="宋体" w:hAnsi="宋体" w:eastAsia="宋体" w:cs="宋体"/>
                <w:color w:val="auto"/>
                <w:sz w:val="21"/>
                <w:szCs w:val="21"/>
                <w:highlight w:val="none"/>
                <w:lang w:eastAsia="zh-CN"/>
              </w:rPr>
              <w:t>无</w:t>
            </w:r>
            <w:r>
              <w:rPr>
                <w:rFonts w:hint="eastAsia" w:ascii="宋体" w:hAnsi="宋体" w:eastAsia="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售后服务要求</w:t>
            </w:r>
          </w:p>
        </w:tc>
        <w:tc>
          <w:tcPr>
            <w:tcW w:w="5071" w:type="dxa"/>
            <w:tcBorders>
              <w:top w:val="single" w:color="auto" w:sz="4" w:space="0"/>
              <w:left w:val="single" w:color="auto" w:sz="4" w:space="0"/>
              <w:bottom w:val="single" w:color="auto" w:sz="4" w:space="0"/>
              <w:right w:val="single" w:color="auto" w:sz="4" w:space="0"/>
            </w:tcBorders>
          </w:tcPr>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1、免费送货上门、安装调试，免费培训，安装完成后成交供应商负责清理产生的木箱等垃圾；</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2、竞标人应提出可行的售后服务承诺书；</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3、按厂家承诺实行“三包”；</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4、竞标报价包括货物的所有费用，包括采购、运输、安装、劳务、管理、利润、税金、保险、协调、培训、售后服务、配送产品以及所有的不定因素的风险等；</w:t>
            </w:r>
          </w:p>
          <w:p>
            <w:pPr>
              <w:pStyle w:val="6"/>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5、</w:t>
            </w:r>
            <w:r>
              <w:rPr>
                <w:rFonts w:hint="eastAsia" w:ascii="宋体" w:hAnsi="宋体" w:eastAsia="宋体" w:cs="宋体"/>
                <w:b/>
                <w:bCs w:val="0"/>
                <w:color w:val="auto"/>
                <w:kern w:val="2"/>
                <w:sz w:val="21"/>
                <w:szCs w:val="21"/>
                <w:highlight w:val="none"/>
                <w:lang w:val="en-US" w:eastAsia="zh-CN" w:bidi="ar-SA"/>
              </w:rPr>
              <w:t>如医院有需求，中标公司负责向该产品接入医院的HIS系统，LIS系统，PACS系统的厂家支付接口技术服务费。单向费用8000元/台，双向费用16000元/台。</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、备件、技术及维修服务，培训要求及其它：</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（1）备件要求：竞标人或厂家应在用户当地或省会中心城市设置备件库，存入所有必须的备件，保证必要时可以及时供应；</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（2）技术及维修服务：在用户当地或省会中心城市，竞标人或厂家应配置多名工程技术人员，随时提供开箱验货、安装、调试或维修等服务；</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（3）技术培训要求：在用户当地或省会中心城市，竞标人或厂家应配置专业技术人员提供现场技术培训，保证使用人员正常操作设备的各种功能；</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（4）质保期内设备发生故障时，现场响应时间</w:t>
            </w:r>
            <w:r>
              <w:rPr>
                <w:rFonts w:hint="eastAsia" w:ascii="宋体" w:hAnsi="宋体" w:eastAsia="宋体" w:cs="宋体"/>
                <w:bCs/>
                <w:color w:val="auto"/>
                <w:sz w:val="21"/>
                <w:szCs w:val="21"/>
                <w:highlight w:val="none"/>
                <w:lang w:val="en-US" w:eastAsia="zh-CN"/>
              </w:rPr>
              <w:t>24</w:t>
            </w:r>
            <w:r>
              <w:rPr>
                <w:rFonts w:hint="eastAsia" w:ascii="宋体" w:hAnsi="宋体" w:eastAsia="宋体" w:cs="宋体"/>
                <w:bCs/>
                <w:color w:val="auto"/>
                <w:sz w:val="21"/>
                <w:szCs w:val="21"/>
                <w:highlight w:val="none"/>
              </w:rPr>
              <w:t>小时以内，维修响应时间小于</w:t>
            </w:r>
            <w:r>
              <w:rPr>
                <w:rFonts w:hint="eastAsia" w:ascii="宋体" w:hAnsi="宋体" w:eastAsia="宋体" w:cs="宋体"/>
                <w:bCs/>
                <w:color w:val="auto"/>
                <w:sz w:val="21"/>
                <w:szCs w:val="21"/>
                <w:highlight w:val="none"/>
                <w:lang w:val="en-US" w:eastAsia="zh-CN"/>
              </w:rPr>
              <w:t>24</w:t>
            </w:r>
            <w:r>
              <w:rPr>
                <w:rFonts w:hint="eastAsia" w:ascii="宋体" w:hAnsi="宋体" w:eastAsia="宋体" w:cs="宋体"/>
                <w:bCs/>
                <w:color w:val="auto"/>
                <w:sz w:val="21"/>
                <w:szCs w:val="21"/>
                <w:highlight w:val="none"/>
              </w:rPr>
              <w:t>小时，工程师到场时间小于</w:t>
            </w:r>
            <w:r>
              <w:rPr>
                <w:rFonts w:hint="eastAsia" w:ascii="宋体" w:hAnsi="宋体" w:eastAsia="宋体" w:cs="宋体"/>
                <w:bCs/>
                <w:color w:val="auto"/>
                <w:sz w:val="21"/>
                <w:szCs w:val="21"/>
                <w:highlight w:val="none"/>
                <w:lang w:val="en-US" w:eastAsia="zh-CN"/>
              </w:rPr>
              <w:t>36</w:t>
            </w:r>
            <w:r>
              <w:rPr>
                <w:rFonts w:hint="eastAsia" w:ascii="宋体" w:hAnsi="宋体" w:eastAsia="宋体" w:cs="宋体"/>
                <w:bCs/>
                <w:color w:val="auto"/>
                <w:sz w:val="21"/>
                <w:szCs w:val="21"/>
                <w:highlight w:val="none"/>
              </w:rPr>
              <w:t>小时，维修中所需要零配件供应最长时间不超过7天。特殊情况无法到达须提前与科室或设备主管科室沟通。如需更换配件，则小配件</w:t>
            </w:r>
            <w:r>
              <w:rPr>
                <w:rFonts w:hint="eastAsia" w:ascii="宋体" w:hAnsi="宋体" w:eastAsia="宋体" w:cs="宋体"/>
                <w:bCs/>
                <w:color w:val="auto"/>
                <w:sz w:val="21"/>
                <w:szCs w:val="21"/>
                <w:highlight w:val="none"/>
                <w:lang w:val="en-US" w:eastAsia="zh-CN"/>
              </w:rPr>
              <w:t>7</w:t>
            </w:r>
            <w:r>
              <w:rPr>
                <w:rFonts w:hint="eastAsia" w:ascii="宋体" w:hAnsi="宋体" w:eastAsia="宋体" w:cs="宋体"/>
                <w:bCs/>
                <w:color w:val="auto"/>
                <w:sz w:val="21"/>
                <w:szCs w:val="21"/>
                <w:highlight w:val="none"/>
              </w:rPr>
              <w:t>个工作日内更换完毕，大配件</w:t>
            </w:r>
            <w:r>
              <w:rPr>
                <w:rFonts w:hint="eastAsia" w:ascii="宋体" w:hAnsi="宋体" w:eastAsia="宋体" w:cs="宋体"/>
                <w:bCs/>
                <w:color w:val="auto"/>
                <w:sz w:val="21"/>
                <w:szCs w:val="21"/>
                <w:highlight w:val="none"/>
                <w:lang w:val="en-US" w:eastAsia="zh-CN"/>
              </w:rPr>
              <w:t>15</w:t>
            </w:r>
            <w:r>
              <w:rPr>
                <w:rFonts w:hint="eastAsia" w:ascii="宋体" w:hAnsi="宋体" w:eastAsia="宋体" w:cs="宋体"/>
                <w:bCs/>
                <w:color w:val="auto"/>
                <w:sz w:val="21"/>
                <w:szCs w:val="21"/>
                <w:highlight w:val="none"/>
              </w:rPr>
              <w:t>个工作日内更换完毕，当配件等待周期大于</w:t>
            </w:r>
            <w:r>
              <w:rPr>
                <w:rFonts w:hint="eastAsia" w:ascii="宋体" w:hAnsi="宋体" w:eastAsia="宋体" w:cs="宋体"/>
                <w:bCs/>
                <w:color w:val="auto"/>
                <w:sz w:val="21"/>
                <w:szCs w:val="21"/>
                <w:highlight w:val="none"/>
                <w:lang w:val="en-US" w:eastAsia="zh-CN"/>
              </w:rPr>
              <w:t>15</w:t>
            </w:r>
            <w:r>
              <w:rPr>
                <w:rFonts w:hint="eastAsia" w:ascii="宋体" w:hAnsi="宋体" w:eastAsia="宋体" w:cs="宋体"/>
                <w:bCs/>
                <w:color w:val="auto"/>
                <w:sz w:val="21"/>
                <w:szCs w:val="21"/>
                <w:highlight w:val="none"/>
              </w:rPr>
              <w:t>个工作日时，成交供应商应按照科室要求提供备用机。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其它要求</w:t>
            </w:r>
          </w:p>
        </w:tc>
        <w:tc>
          <w:tcPr>
            <w:tcW w:w="5071" w:type="dxa"/>
            <w:tcBorders>
              <w:top w:val="single" w:color="auto" w:sz="4" w:space="0"/>
              <w:left w:val="single" w:color="auto" w:sz="4" w:space="0"/>
              <w:bottom w:val="single" w:color="auto" w:sz="4" w:space="0"/>
              <w:right w:val="single" w:color="auto" w:sz="4" w:space="0"/>
            </w:tcBorders>
          </w:tcPr>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bCs/>
                <w:color w:val="auto"/>
                <w:sz w:val="21"/>
                <w:szCs w:val="21"/>
                <w:highlight w:val="none"/>
              </w:rPr>
              <w:t>成交供应商保证向采购人提供的货物是全新、完整、未使用过的。</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2、竞标时提供竞标产品彩色图片或说明书。</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bCs/>
                <w:color w:val="auto"/>
                <w:sz w:val="21"/>
                <w:szCs w:val="21"/>
                <w:highlight w:val="none"/>
              </w:rPr>
              <w:t>采购人设备主管科室对本合同质保服务内容进行全程对接和监督，并对服务情况进行客观记录，在每个合同年度期结束时，由设备主管科室根据合同约定的服务内容、响应情况、服务态度及过程记录。</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4、采购人在货物交货验收阶段发现货物的技术参数指标达不到采购文件该货物技术参数要求的，属虚假应标行为，采购人将终止合同拒收货物，追究该成交单位违约责任，赔偿采购人因采购时间延长造成采购人经济等方面损失。</w:t>
            </w:r>
          </w:p>
        </w:tc>
      </w:tr>
    </w:tbl>
    <w:p>
      <w:pPr>
        <w:rPr>
          <w:color w:val="auto"/>
          <w:highlight w:val="none"/>
        </w:rPr>
      </w:pPr>
    </w:p>
    <w:p>
      <w:pPr>
        <w:pStyle w:val="2"/>
        <w:rPr>
          <w:rFonts w:hint="eastAsia" w:eastAsia="宋体"/>
          <w:lang w:val="en-US" w:eastAsia="zh-CN"/>
        </w:rPr>
      </w:pPr>
    </w:p>
    <w:sectPr>
      <w:pgSz w:w="11906" w:h="16838"/>
      <w:pgMar w:top="1134" w:right="1134" w:bottom="1134" w:left="1134" w:header="709" w:footer="709" w:gutter="0"/>
      <w:pgNumType w:start="0"/>
      <w:cols w:space="0" w:num="1"/>
      <w:titlePg/>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1N2VhZDA4ZjkxNTE5ZGQ3MTRhM2E4YTAzNGYyNTYifQ=="/>
  </w:docVars>
  <w:rsids>
    <w:rsidRoot w:val="60894039"/>
    <w:rsid w:val="013A5745"/>
    <w:rsid w:val="046F4243"/>
    <w:rsid w:val="048F5259"/>
    <w:rsid w:val="06CA56B6"/>
    <w:rsid w:val="07B0310A"/>
    <w:rsid w:val="09053608"/>
    <w:rsid w:val="09A47D33"/>
    <w:rsid w:val="0BEE70E1"/>
    <w:rsid w:val="0E616019"/>
    <w:rsid w:val="0F2969ED"/>
    <w:rsid w:val="0FDD3D9E"/>
    <w:rsid w:val="11192B0F"/>
    <w:rsid w:val="13C14ED8"/>
    <w:rsid w:val="162928E6"/>
    <w:rsid w:val="19F92CB5"/>
    <w:rsid w:val="1A433660"/>
    <w:rsid w:val="1C2531F1"/>
    <w:rsid w:val="1DC612B3"/>
    <w:rsid w:val="1F801F54"/>
    <w:rsid w:val="230F2BBB"/>
    <w:rsid w:val="23621DAC"/>
    <w:rsid w:val="241507D8"/>
    <w:rsid w:val="261E0152"/>
    <w:rsid w:val="2D3C3092"/>
    <w:rsid w:val="2D6B51F9"/>
    <w:rsid w:val="2E643661"/>
    <w:rsid w:val="32A06236"/>
    <w:rsid w:val="33F00767"/>
    <w:rsid w:val="352A3B1E"/>
    <w:rsid w:val="363D16FF"/>
    <w:rsid w:val="373E0D18"/>
    <w:rsid w:val="37A60C91"/>
    <w:rsid w:val="395C3290"/>
    <w:rsid w:val="3A00614F"/>
    <w:rsid w:val="3A2D7274"/>
    <w:rsid w:val="3BCE3093"/>
    <w:rsid w:val="3FA55D65"/>
    <w:rsid w:val="406311E6"/>
    <w:rsid w:val="45784568"/>
    <w:rsid w:val="4653307D"/>
    <w:rsid w:val="4ACB78C7"/>
    <w:rsid w:val="4D1B2BA9"/>
    <w:rsid w:val="4D9D6F07"/>
    <w:rsid w:val="4E203EB9"/>
    <w:rsid w:val="51A2562E"/>
    <w:rsid w:val="52170FD8"/>
    <w:rsid w:val="53204B84"/>
    <w:rsid w:val="5B0B75AA"/>
    <w:rsid w:val="5C213D3A"/>
    <w:rsid w:val="5D3068E5"/>
    <w:rsid w:val="60894039"/>
    <w:rsid w:val="62E0626E"/>
    <w:rsid w:val="638D037F"/>
    <w:rsid w:val="661F70AE"/>
    <w:rsid w:val="67177D85"/>
    <w:rsid w:val="6A475021"/>
    <w:rsid w:val="6B2D7C9D"/>
    <w:rsid w:val="6CE36ED1"/>
    <w:rsid w:val="6DB4632D"/>
    <w:rsid w:val="70E205B1"/>
    <w:rsid w:val="72417993"/>
    <w:rsid w:val="73033672"/>
    <w:rsid w:val="7546405B"/>
    <w:rsid w:val="75BF081A"/>
    <w:rsid w:val="76387CC2"/>
    <w:rsid w:val="79255191"/>
    <w:rsid w:val="7DBA2903"/>
    <w:rsid w:val="7F4C296E"/>
    <w:rsid w:val="7F5B3955"/>
    <w:rsid w:val="7FC6055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line="330" w:lineRule="atLeast"/>
    </w:pPr>
    <w:rPr>
      <w:rFonts w:ascii="宋体" w:hAnsi="宋体"/>
      <w:sz w:val="24"/>
      <w:szCs w:val="18"/>
    </w:rPr>
  </w:style>
  <w:style w:type="paragraph" w:styleId="5">
    <w:name w:val="annotation text"/>
    <w:basedOn w:val="1"/>
    <w:qFormat/>
    <w:uiPriority w:val="0"/>
    <w:pPr>
      <w:jc w:val="left"/>
    </w:pPr>
  </w:style>
  <w:style w:type="paragraph" w:styleId="6">
    <w:name w:val="index 4"/>
    <w:basedOn w:val="1"/>
    <w:next w:val="1"/>
    <w:unhideWhenUsed/>
    <w:qFormat/>
    <w:uiPriority w:val="99"/>
    <w:rPr>
      <w:b/>
      <w:sz w:val="24"/>
      <w:lang w:val="zh-CN"/>
    </w:rPr>
  </w:style>
  <w:style w:type="paragraph" w:styleId="7">
    <w:name w:val="Plain Text"/>
    <w:basedOn w:val="1"/>
    <w:qFormat/>
    <w:uiPriority w:val="0"/>
    <w:rPr>
      <w:rFonts w:ascii="宋体" w:hAnsi="Courier New" w:eastAsiaTheme="minorEastAsia" w:cstheme="minorBidi"/>
      <w:szCs w:val="22"/>
    </w:rPr>
  </w:style>
  <w:style w:type="paragraph" w:styleId="8">
    <w:name w:val="footer"/>
    <w:basedOn w:val="1"/>
    <w:qFormat/>
    <w:uiPriority w:val="99"/>
    <w:pPr>
      <w:tabs>
        <w:tab w:val="center" w:pos="4153"/>
        <w:tab w:val="right" w:pos="8306"/>
      </w:tabs>
      <w:snapToGrid w:val="0"/>
      <w:jc w:val="left"/>
    </w:pPr>
    <w:rPr>
      <w:sz w:val="18"/>
      <w:szCs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2">
    <w:name w:val="Strong"/>
    <w:basedOn w:val="11"/>
    <w:qFormat/>
    <w:uiPriority w:val="0"/>
    <w:rPr>
      <w:b/>
    </w:rPr>
  </w:style>
  <w:style w:type="character" w:styleId="13">
    <w:name w:val="FollowedHyperlink"/>
    <w:basedOn w:val="11"/>
    <w:qFormat/>
    <w:uiPriority w:val="0"/>
    <w:rPr>
      <w:color w:val="800080"/>
      <w:u w:val="none"/>
    </w:rPr>
  </w:style>
  <w:style w:type="character" w:styleId="14">
    <w:name w:val="HTML Definition"/>
    <w:basedOn w:val="11"/>
    <w:qFormat/>
    <w:uiPriority w:val="0"/>
  </w:style>
  <w:style w:type="character" w:styleId="15">
    <w:name w:val="HTML Typewriter"/>
    <w:basedOn w:val="11"/>
    <w:qFormat/>
    <w:uiPriority w:val="0"/>
    <w:rPr>
      <w:rFonts w:hint="default" w:ascii="monospace" w:hAnsi="monospace" w:eastAsia="monospace" w:cs="monospace"/>
      <w:sz w:val="20"/>
    </w:rPr>
  </w:style>
  <w:style w:type="character" w:styleId="16">
    <w:name w:val="HTML Acronym"/>
    <w:basedOn w:val="11"/>
    <w:qFormat/>
    <w:uiPriority w:val="0"/>
  </w:style>
  <w:style w:type="character" w:styleId="17">
    <w:name w:val="HTML Variable"/>
    <w:basedOn w:val="11"/>
    <w:qFormat/>
    <w:uiPriority w:val="0"/>
  </w:style>
  <w:style w:type="character" w:styleId="18">
    <w:name w:val="Hyperlink"/>
    <w:basedOn w:val="11"/>
    <w:qFormat/>
    <w:uiPriority w:val="0"/>
    <w:rPr>
      <w:color w:val="0000FF"/>
      <w:u w:val="none"/>
    </w:rPr>
  </w:style>
  <w:style w:type="character" w:styleId="19">
    <w:name w:val="HTML Code"/>
    <w:basedOn w:val="11"/>
    <w:qFormat/>
    <w:uiPriority w:val="0"/>
    <w:rPr>
      <w:rFonts w:ascii="monospace" w:hAnsi="monospace" w:eastAsia="monospace" w:cs="monospace"/>
      <w:sz w:val="20"/>
    </w:rPr>
  </w:style>
  <w:style w:type="character" w:styleId="20">
    <w:name w:val="annotation reference"/>
    <w:basedOn w:val="11"/>
    <w:qFormat/>
    <w:uiPriority w:val="0"/>
    <w:rPr>
      <w:sz w:val="21"/>
      <w:szCs w:val="21"/>
    </w:rPr>
  </w:style>
  <w:style w:type="character" w:styleId="21">
    <w:name w:val="HTML Cite"/>
    <w:basedOn w:val="11"/>
    <w:qFormat/>
    <w:uiPriority w:val="0"/>
  </w:style>
  <w:style w:type="character" w:styleId="22">
    <w:name w:val="HTML Keyboard"/>
    <w:basedOn w:val="11"/>
    <w:qFormat/>
    <w:uiPriority w:val="0"/>
    <w:rPr>
      <w:rFonts w:hint="default" w:ascii="monospace" w:hAnsi="monospace" w:eastAsia="monospace" w:cs="monospace"/>
      <w:sz w:val="20"/>
    </w:rPr>
  </w:style>
  <w:style w:type="character" w:styleId="23">
    <w:name w:val="HTML Sample"/>
    <w:basedOn w:val="11"/>
    <w:qFormat/>
    <w:uiPriority w:val="0"/>
    <w:rPr>
      <w:rFonts w:hint="default" w:ascii="monospace" w:hAnsi="monospace" w:eastAsia="monospace" w:cs="monospace"/>
    </w:rPr>
  </w:style>
  <w:style w:type="paragraph" w:customStyle="1" w:styleId="24">
    <w:name w:val="表格文字"/>
    <w:basedOn w:val="1"/>
    <w:qFormat/>
    <w:uiPriority w:val="99"/>
    <w:pPr>
      <w:spacing w:before="25" w:after="25"/>
      <w:jc w:val="left"/>
    </w:pPr>
    <w:rPr>
      <w:bCs/>
      <w:spacing w:val="10"/>
      <w:kern w:val="0"/>
      <w:sz w:val="24"/>
      <w:szCs w:val="22"/>
    </w:rPr>
  </w:style>
  <w:style w:type="paragraph" w:customStyle="1" w:styleId="25">
    <w:name w:val="Char"/>
    <w:basedOn w:val="1"/>
    <w:qFormat/>
    <w:uiPriority w:val="0"/>
  </w:style>
  <w:style w:type="character" w:customStyle="1" w:styleId="26">
    <w:name w:val="layui-layer-tabnow"/>
    <w:basedOn w:val="11"/>
    <w:qFormat/>
    <w:uiPriority w:val="0"/>
    <w:rPr>
      <w:bdr w:val="single" w:color="CCCCCC" w:sz="6" w:space="0"/>
      <w:shd w:val="clear" w:fill="FFFFFF"/>
    </w:rPr>
  </w:style>
  <w:style w:type="character" w:customStyle="1" w:styleId="27">
    <w:name w:val="first-child"/>
    <w:basedOn w:val="11"/>
    <w:qFormat/>
    <w:uiPriority w:val="0"/>
  </w:style>
  <w:style w:type="paragraph" w:customStyle="1" w:styleId="28">
    <w:name w:val="大目录"/>
    <w:basedOn w:val="1"/>
    <w:qFormat/>
    <w:uiPriority w:val="0"/>
    <w:pPr>
      <w:spacing w:line="540" w:lineRule="exact"/>
      <w:jc w:val="center"/>
    </w:pPr>
    <w:rPr>
      <w:b/>
      <w:sz w:val="48"/>
      <w:szCs w:val="48"/>
    </w:rPr>
  </w:style>
  <w:style w:type="paragraph" w:styleId="29">
    <w:name w:val="List Paragraph"/>
    <w:basedOn w:val="1"/>
    <w:qFormat/>
    <w:uiPriority w:val="34"/>
    <w:pPr>
      <w:ind w:firstLine="420" w:firstLineChars="200"/>
    </w:pPr>
    <w:rPr>
      <w:rFonts w:ascii="Calibri" w:hAnsi="Calibri" w:cs="Times New Roman"/>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382</Words>
  <Characters>528</Characters>
  <Lines>0</Lines>
  <Paragraphs>0</Paragraphs>
  <TotalTime>1</TotalTime>
  <ScaleCrop>false</ScaleCrop>
  <LinksUpToDate>false</LinksUpToDate>
  <CharactersWithSpaces>686</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2021-04-12T08:16:00Z</dcterms:created>
  <dc:creator>NTKO</dc:creator>
  <cp:lastModifiedBy>Administrator</cp:lastModifiedBy>
  <cp:lastPrinted>2022-09-01T08:45:00Z</cp:lastPrinted>
  <dcterms:modified xsi:type="dcterms:W3CDTF">2023-04-04T04:43:01Z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392D6956D5B144B0AFC9FA53ED9230F2</vt:lpwstr>
  </property>
</Properties>
</file>