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numPr>
          <w:ilvl w:val="0"/>
          <w:numId w:val="1"/>
        </w:numPr>
        <w:outlineLvl w:val="0"/>
        <w:rPr>
          <w:color w:val="auto"/>
          <w:sz w:val="32"/>
          <w:szCs w:val="32"/>
          <w:highlight w:val="none"/>
        </w:rPr>
      </w:pPr>
      <w:r>
        <w:rPr>
          <w:rFonts w:hint="eastAsia"/>
          <w:color w:val="auto"/>
          <w:sz w:val="32"/>
          <w:szCs w:val="32"/>
          <w:highlight w:val="none"/>
        </w:rPr>
        <w:t>货物需求一</w:t>
      </w:r>
      <w:bookmarkStart w:id="3" w:name="_GoBack"/>
      <w:bookmarkEnd w:id="3"/>
      <w:r>
        <w:rPr>
          <w:rFonts w:hint="eastAsia"/>
          <w:color w:val="auto"/>
          <w:sz w:val="32"/>
          <w:szCs w:val="32"/>
          <w:highlight w:val="none"/>
        </w:rPr>
        <w:t>览表</w:t>
      </w:r>
    </w:p>
    <w:p>
      <w:pPr>
        <w:adjustRightInd w:val="0"/>
        <w:spacing w:line="340" w:lineRule="exact"/>
        <w:rPr>
          <w:b/>
          <w:color w:val="auto"/>
          <w:highlight w:val="none"/>
        </w:rPr>
      </w:pPr>
      <w:bookmarkStart w:id="0" w:name="_Hlk58056859"/>
      <w:r>
        <w:rPr>
          <w:rFonts w:hint="eastAsia"/>
          <w:b/>
          <w:color w:val="auto"/>
          <w:highlight w:val="none"/>
        </w:rPr>
        <w:t>说明：</w:t>
      </w:r>
    </w:p>
    <w:bookmarkEnd w:id="0"/>
    <w:p>
      <w:pPr>
        <w:adjustRightInd w:val="0"/>
        <w:spacing w:line="340" w:lineRule="exact"/>
        <w:ind w:left="6" w:firstLine="431"/>
        <w:rPr>
          <w:rFonts w:hAnsi="Times New Roman"/>
          <w:color w:val="auto"/>
          <w:highlight w:val="none"/>
        </w:rPr>
      </w:pPr>
      <w:r>
        <w:rPr>
          <w:rFonts w:hint="eastAsia" w:hAnsi="Times New Roman"/>
          <w:color w:val="auto"/>
          <w:highlight w:val="none"/>
        </w:rPr>
        <w:t>1、本货物需求一览表中所列的品牌、型号仅起参考作用，竞标人可选用其他品牌、型号替代，但替代的品牌、型号在实质性要求和条件上要相当于或优于参考品牌、型号。</w:t>
      </w:r>
    </w:p>
    <w:p>
      <w:pPr>
        <w:adjustRightInd w:val="0"/>
        <w:spacing w:line="340" w:lineRule="exact"/>
        <w:ind w:left="6" w:firstLine="431"/>
        <w:rPr>
          <w:rFonts w:hAnsi="Times New Roman"/>
          <w:color w:val="auto"/>
          <w:highlight w:val="none"/>
        </w:rPr>
      </w:pPr>
      <w:r>
        <w:rPr>
          <w:rFonts w:hint="eastAsia" w:hAnsi="Times New Roman"/>
          <w:color w:val="auto"/>
          <w:highlight w:val="none"/>
        </w:rPr>
        <w:t>2、凡在“技术参数要求”中表述为“标配”或“标准配置”的设备，竞标人应按第五章“竞标文件格式”规定的格式在“竞标产品技术资料表”中将其参数详细列明。</w:t>
      </w:r>
    </w:p>
    <w:p>
      <w:pPr>
        <w:spacing w:line="360" w:lineRule="exact"/>
        <w:ind w:left="-10" w:leftChars="-5" w:right="2" w:rightChars="1" w:firstLine="422" w:firstLineChars="200"/>
        <w:rPr>
          <w:rFonts w:cs="Calibri"/>
          <w:b/>
          <w:color w:val="auto"/>
          <w:highlight w:val="none"/>
        </w:rPr>
      </w:pPr>
      <w:r>
        <w:rPr>
          <w:rFonts w:hint="eastAsia" w:cs="Calibri"/>
          <w:b/>
          <w:color w:val="auto"/>
          <w:highlight w:val="none"/>
        </w:rPr>
        <w:t>4、标注</w:t>
      </w:r>
      <w:r>
        <w:rPr>
          <w:rFonts w:hint="eastAsia" w:cs="宋体"/>
          <w:bCs/>
          <w:color w:val="auto"/>
          <w:highlight w:val="none"/>
        </w:rPr>
        <w:t>▲</w:t>
      </w:r>
      <w:r>
        <w:rPr>
          <w:rFonts w:hint="eastAsia" w:cs="Calibri"/>
          <w:b/>
          <w:bCs/>
          <w:color w:val="auto"/>
          <w:szCs w:val="24"/>
          <w:highlight w:val="none"/>
        </w:rPr>
        <w:t>号条款为实质性内容要求，竞标时必须满足，否则视为无效竞标。未标</w:t>
      </w:r>
      <w:r>
        <w:rPr>
          <w:rFonts w:hint="eastAsia" w:cs="宋体"/>
          <w:bCs/>
          <w:color w:val="auto"/>
          <w:highlight w:val="none"/>
        </w:rPr>
        <w:t>▲</w:t>
      </w:r>
      <w:r>
        <w:rPr>
          <w:rFonts w:hint="eastAsia" w:cs="Calibri"/>
          <w:b/>
          <w:bCs/>
          <w:color w:val="auto"/>
          <w:szCs w:val="24"/>
          <w:highlight w:val="none"/>
        </w:rPr>
        <w:t>号条款为一般性参数指标，负偏离达2项（含）以上的，竞标文件将被视为无效。</w:t>
      </w:r>
    </w:p>
    <w:p>
      <w:pPr>
        <w:spacing w:line="320" w:lineRule="exact"/>
        <w:ind w:firstLine="424" w:firstLineChars="202"/>
        <w:jc w:val="left"/>
        <w:rPr>
          <w:rFonts w:hAnsi="Times New Roman" w:cs="Calibri"/>
          <w:color w:val="auto"/>
          <w:highlight w:val="none"/>
        </w:rPr>
      </w:pPr>
      <w:r>
        <w:rPr>
          <w:rFonts w:hint="eastAsia" w:hAnsi="Times New Roman" w:cs="Calibri"/>
          <w:color w:val="auto"/>
          <w:highlight w:val="none"/>
        </w:rPr>
        <w:t>5、竞争性谈判文件中所要求提供的证明材料，如为英文文本的请同时提供中文译本。</w:t>
      </w:r>
    </w:p>
    <w:p>
      <w:pPr>
        <w:spacing w:line="320" w:lineRule="exact"/>
        <w:ind w:firstLine="424" w:firstLineChars="202"/>
        <w:jc w:val="left"/>
        <w:rPr>
          <w:rFonts w:hint="eastAsia" w:hAnsi="Times New Roman" w:cs="Calibri"/>
          <w:bCs/>
          <w:color w:val="auto"/>
          <w:highlight w:val="none"/>
        </w:rPr>
      </w:pPr>
      <w:r>
        <w:rPr>
          <w:rFonts w:hint="eastAsia" w:hAnsi="Times New Roman" w:cs="Calibri"/>
          <w:bCs/>
          <w:color w:val="auto"/>
          <w:highlight w:val="none"/>
        </w:rPr>
        <w:t>6、竞标人所竞标货物如国家有强制性要求的应按国家规定执行，并提供相关证明材料。</w:t>
      </w:r>
    </w:p>
    <w:tbl>
      <w:tblPr>
        <w:tblStyle w:val="4"/>
        <w:tblW w:w="9443" w:type="dxa"/>
        <w:tblInd w:w="-34"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0"/>
        <w:gridCol w:w="1563"/>
        <w:gridCol w:w="860"/>
        <w:gridCol w:w="1419"/>
        <w:gridCol w:w="5071"/>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443" w:type="dxa"/>
            <w:gridSpan w:val="5"/>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eastAsia="宋体" w:cs="宋体"/>
                <w:b/>
                <w:color w:val="auto"/>
                <w:sz w:val="21"/>
                <w:szCs w:val="21"/>
                <w:highlight w:val="none"/>
              </w:rPr>
            </w:pPr>
            <w:bookmarkStart w:id="1" w:name="_Hlk59224159"/>
            <w:r>
              <w:rPr>
                <w:rFonts w:hint="eastAsia" w:ascii="宋体" w:hAnsi="宋体" w:eastAsia="宋体" w:cs="宋体"/>
                <w:b/>
                <w:color w:val="auto"/>
                <w:sz w:val="21"/>
                <w:szCs w:val="21"/>
                <w:highlight w:val="none"/>
              </w:rPr>
              <w:t>一、项目要求及技术需求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53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序号</w:t>
            </w:r>
          </w:p>
        </w:tc>
        <w:tc>
          <w:tcPr>
            <w:tcW w:w="1563"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kern w:val="2"/>
                <w:sz w:val="21"/>
                <w:szCs w:val="21"/>
                <w:highlight w:val="none"/>
                <w:lang w:val="en-US" w:eastAsia="zh-CN" w:bidi="ar-SA"/>
              </w:rPr>
            </w:pPr>
            <w:r>
              <w:rPr>
                <w:rFonts w:hint="eastAsia" w:ascii="宋体" w:hAnsi="宋体" w:eastAsia="宋体" w:cs="宋体"/>
                <w:color w:val="auto"/>
                <w:sz w:val="21"/>
                <w:szCs w:val="21"/>
                <w:highlight w:val="none"/>
              </w:rPr>
              <w:t>采购内容</w:t>
            </w:r>
          </w:p>
        </w:tc>
        <w:tc>
          <w:tcPr>
            <w:tcW w:w="86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数量</w:t>
            </w:r>
          </w:p>
        </w:tc>
        <w:tc>
          <w:tcPr>
            <w:tcW w:w="141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采购预算单价（万元）</w:t>
            </w:r>
          </w:p>
        </w:tc>
        <w:tc>
          <w:tcPr>
            <w:tcW w:w="5071"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项目要求及技术需求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1</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听力筛查仪</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1套</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color w:val="auto"/>
                <w:sz w:val="21"/>
                <w:szCs w:val="21"/>
                <w:highlight w:val="none"/>
                <w:lang w:eastAsia="zh-CN"/>
              </w:rPr>
              <w:t>6</w:t>
            </w:r>
          </w:p>
        </w:tc>
        <w:tc>
          <w:tcPr>
            <w:tcW w:w="5071" w:type="dxa"/>
            <w:tcBorders>
              <w:top w:val="single" w:color="auto" w:sz="4" w:space="0"/>
              <w:left w:val="single" w:color="auto" w:sz="4" w:space="0"/>
              <w:bottom w:val="single" w:color="auto" w:sz="4" w:space="0"/>
              <w:right w:val="single" w:color="auto" w:sz="4" w:space="0"/>
            </w:tcBorders>
            <w:vAlign w:val="center"/>
          </w:tcPr>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1.</w:t>
            </w:r>
            <w:r>
              <w:rPr>
                <w:rFonts w:hint="eastAsia" w:ascii="宋体" w:hAnsi="宋体" w:eastAsia="宋体" w:cs="宋体"/>
                <w:color w:val="auto"/>
                <w:sz w:val="21"/>
                <w:szCs w:val="21"/>
              </w:rPr>
              <w:t>评估方法：噪音加权平均法，有效信号峰值计数</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w:t>
            </w:r>
            <w:r>
              <w:rPr>
                <w:rFonts w:hint="eastAsia" w:ascii="宋体" w:hAnsi="宋体" w:eastAsia="宋体" w:cs="宋体"/>
                <w:color w:val="auto"/>
                <w:sz w:val="21"/>
                <w:szCs w:val="21"/>
              </w:rPr>
              <w:t>刺激声：非线性短声</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lang w:val="en-US" w:eastAsia="zh-CN"/>
              </w:rPr>
              <w:t>3.</w:t>
            </w:r>
            <w:r>
              <w:rPr>
                <w:rFonts w:hint="eastAsia" w:ascii="宋体" w:hAnsi="宋体" w:eastAsia="宋体" w:cs="宋体"/>
                <w:color w:val="auto"/>
                <w:sz w:val="21"/>
                <w:szCs w:val="21"/>
              </w:rPr>
              <w:t>刺激声强度：70-84 dB SPL (45-60 dB HL)，自校准</w:t>
            </w:r>
            <w:r>
              <w:rPr>
                <w:rFonts w:hint="eastAsia" w:ascii="宋体" w:hAnsi="宋体" w:eastAsia="宋体" w:cs="宋体"/>
                <w:color w:val="auto"/>
                <w:sz w:val="21"/>
                <w:szCs w:val="21"/>
                <w:highlight w:val="none"/>
              </w:rPr>
              <w:t>因耳道容积而异</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rPr>
              <w:t>刺激速率：</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约 60 Hz</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rPr>
              <w:t>频率范围：</w:t>
            </w:r>
            <w:r>
              <w:rPr>
                <w:rFonts w:hint="eastAsia" w:ascii="宋体" w:hAnsi="宋体" w:eastAsia="宋体" w:cs="宋体"/>
                <w:color w:val="auto"/>
                <w:sz w:val="21"/>
                <w:szCs w:val="21"/>
                <w:highlight w:val="none"/>
              </w:rPr>
              <w:tab/>
            </w:r>
            <w:r>
              <w:rPr>
                <w:rFonts w:hint="eastAsia" w:ascii="宋体" w:hAnsi="宋体" w:eastAsia="宋体" w:cs="宋体"/>
                <w:color w:val="auto"/>
                <w:sz w:val="21"/>
                <w:szCs w:val="21"/>
                <w:highlight w:val="none"/>
              </w:rPr>
              <w:t>1.5 到 4.5 kHz</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6.</w:t>
            </w:r>
            <w:r>
              <w:rPr>
                <w:rFonts w:hint="eastAsia" w:ascii="宋体" w:hAnsi="宋体" w:eastAsia="宋体" w:cs="宋体"/>
                <w:color w:val="auto"/>
                <w:sz w:val="21"/>
                <w:szCs w:val="21"/>
                <w:highlight w:val="none"/>
              </w:rPr>
              <w:t>显示：统计波形、测量进度、 TEOAE 检测水平、噪音水平</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7.</w:t>
            </w:r>
            <w:r>
              <w:rPr>
                <w:rFonts w:hint="eastAsia" w:ascii="宋体" w:hAnsi="宋体" w:eastAsia="宋体" w:cs="宋体"/>
                <w:color w:val="auto"/>
                <w:sz w:val="21"/>
                <w:szCs w:val="21"/>
                <w:highlight w:val="none"/>
              </w:rPr>
              <w:t>尺寸约202mmx73mmx30mm(8inx2.8inx1.2in)</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8.</w:t>
            </w:r>
            <w:r>
              <w:rPr>
                <w:rFonts w:hint="eastAsia" w:ascii="宋体" w:hAnsi="宋体" w:eastAsia="宋体" w:cs="宋体"/>
                <w:color w:val="auto"/>
                <w:sz w:val="21"/>
                <w:szCs w:val="21"/>
                <w:highlight w:val="none"/>
              </w:rPr>
              <w:t>重量约240 g (8.5 oz)不包括电池，280 g (9.9 oz)包括电池</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9.</w:t>
            </w:r>
            <w:r>
              <w:rPr>
                <w:rFonts w:hint="eastAsia" w:ascii="宋体" w:hAnsi="宋体" w:eastAsia="宋体" w:cs="宋体"/>
                <w:color w:val="auto"/>
                <w:sz w:val="21"/>
                <w:szCs w:val="21"/>
                <w:highlight w:val="none"/>
              </w:rPr>
              <w:t>显示屏</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lang w:eastAsia="zh-CN"/>
              </w:rPr>
              <w:t>▲</w:t>
            </w:r>
            <w:r>
              <w:rPr>
                <w:rFonts w:hint="eastAsia" w:ascii="宋体" w:hAnsi="宋体" w:eastAsia="宋体" w:cs="宋体"/>
                <w:color w:val="auto"/>
                <w:sz w:val="21"/>
                <w:szCs w:val="21"/>
                <w:highlight w:val="none"/>
              </w:rPr>
              <w:t>类型：彩色液晶中文触摸屏</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尺寸：89.4 mm (3.5 in) </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分辨率：240 x 320 像素</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背景光类型：LED，可调</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电阻式触摸屏控制键</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10.</w:t>
            </w:r>
            <w:r>
              <w:rPr>
                <w:rFonts w:hint="eastAsia" w:ascii="宋体" w:hAnsi="宋体" w:eastAsia="宋体" w:cs="宋体"/>
                <w:color w:val="auto"/>
                <w:sz w:val="21"/>
                <w:szCs w:val="21"/>
                <w:highlight w:val="none"/>
              </w:rPr>
              <w:t>提示音</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内置扬声器，用于击键声和通过 / 参考提示</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11.</w:t>
            </w:r>
            <w:r>
              <w:rPr>
                <w:rFonts w:hint="eastAsia" w:ascii="宋体" w:hAnsi="宋体" w:eastAsia="宋体" w:cs="宋体"/>
                <w:color w:val="auto"/>
                <w:sz w:val="21"/>
                <w:szCs w:val="21"/>
                <w:highlight w:val="none"/>
              </w:rPr>
              <w:t>语言设置</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中文,另有其它 5 种语言可供用户选择</w:t>
            </w:r>
          </w:p>
          <w:p>
            <w:pPr>
              <w:pStyle w:val="7"/>
              <w:keepNext w:val="0"/>
              <w:keepLines w:val="0"/>
              <w:pageBreakBefore w:val="0"/>
              <w:kinsoku/>
              <w:wordWrap/>
              <w:overflowPunct/>
              <w:topLinePunct w:val="0"/>
              <w:autoSpaceDE/>
              <w:autoSpaceDN/>
              <w:bidi w:val="0"/>
              <w:adjustRightInd/>
              <w:snapToGrid/>
              <w:spacing w:after="0" w:line="400" w:lineRule="exact"/>
              <w:ind w:left="0" w:leftChars="0" w:firstLine="422" w:firstLineChars="20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可存50个测试数据，数据通过专用的打印机直接打印中文报告</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12.</w:t>
            </w:r>
            <w:r>
              <w:rPr>
                <w:rFonts w:hint="eastAsia" w:ascii="宋体" w:hAnsi="宋体" w:eastAsia="宋体" w:cs="宋体"/>
                <w:color w:val="auto"/>
                <w:sz w:val="21"/>
                <w:szCs w:val="21"/>
                <w:highlight w:val="none"/>
              </w:rPr>
              <w:t>运输与存放环境要求</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温度范围：-20 – +60°C (-4 – 140 °F)</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湿度范围：20-80 % 相对湿度，不结露</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气压：500 hPa 到 1060 hPa</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13.</w:t>
            </w:r>
            <w:r>
              <w:rPr>
                <w:rFonts w:hint="eastAsia" w:ascii="宋体" w:hAnsi="宋体" w:eastAsia="宋体" w:cs="宋体"/>
                <w:color w:val="auto"/>
                <w:sz w:val="21"/>
                <w:szCs w:val="21"/>
                <w:highlight w:val="none"/>
              </w:rPr>
              <w:t>工作环境要求</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温度范围：10 – 40°C (50 – 104°F)</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湿度范围：30-80 % 相对湿度，不结露</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气压：600 hPa 到 1060 hPa</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预热时间&lt; 20 秒,注意在寒冷环境中存放时应延长预热时间</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14.</w:t>
            </w:r>
            <w:r>
              <w:rPr>
                <w:rFonts w:hint="eastAsia" w:ascii="宋体" w:hAnsi="宋体" w:eastAsia="宋体" w:cs="宋体"/>
                <w:color w:val="auto"/>
                <w:sz w:val="21"/>
                <w:szCs w:val="21"/>
                <w:highlight w:val="none"/>
              </w:rPr>
              <w:t>电池</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电源电压：正常值为 3.70 V，最大为 4.20 V，最小为 3.20 V,容量：1800mAh</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估计电池寿命：连续使用 8 小时</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电量指示器：5 级电量指示器</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15.</w:t>
            </w:r>
            <w:r>
              <w:rPr>
                <w:rFonts w:hint="eastAsia" w:ascii="宋体" w:hAnsi="宋体" w:eastAsia="宋体" w:cs="宋体"/>
                <w:color w:val="auto"/>
                <w:sz w:val="21"/>
                <w:szCs w:val="21"/>
                <w:highlight w:val="none"/>
              </w:rPr>
              <w:t>电源适配器</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输入电压 / 范围：100</w:t>
            </w:r>
            <w:r>
              <w:rPr>
                <w:rFonts w:hint="eastAsia" w:ascii="宋体" w:hAnsi="宋体" w:eastAsia="宋体" w:cs="宋体"/>
                <w:color w:val="auto"/>
                <w:sz w:val="21"/>
                <w:szCs w:val="21"/>
                <w:highlight w:val="none"/>
                <w:lang w:val="en-US" w:eastAsia="zh-CN"/>
              </w:rPr>
              <w:t>V</w:t>
            </w:r>
            <w:r>
              <w:rPr>
                <w:rFonts w:hint="eastAsia" w:ascii="宋体" w:hAnsi="宋体" w:eastAsia="宋体" w:cs="宋体"/>
                <w:color w:val="auto"/>
                <w:sz w:val="21"/>
                <w:szCs w:val="21"/>
                <w:highlight w:val="none"/>
              </w:rPr>
              <w:t>–240V交流电，50Hz–60 Hz</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输出电压：5.0 V 直流电</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16.</w:t>
            </w:r>
            <w:r>
              <w:rPr>
                <w:rFonts w:hint="eastAsia" w:ascii="宋体" w:hAnsi="宋体" w:eastAsia="宋体" w:cs="宋体"/>
                <w:color w:val="auto"/>
                <w:sz w:val="21"/>
                <w:szCs w:val="21"/>
                <w:highlight w:val="none"/>
              </w:rPr>
              <w:t>OAE 探头</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探头连接线: 柔韧屏蔽电缆，长度：120 cm</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探头主体：20 mm Ø x 23 x 11 mm</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探针：3.3 mm Ø x 10 mm </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重量: 约 4.5 g</w:t>
            </w:r>
          </w:p>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配置单</w:t>
            </w:r>
          </w:p>
          <w:tbl>
            <w:tblPr>
              <w:tblStyle w:val="4"/>
              <w:tblW w:w="4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03"/>
              <w:gridCol w:w="17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3003" w:type="dxa"/>
                  <w:noWrap/>
                </w:tcPr>
                <w:p>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名  称</w:t>
                  </w:r>
                </w:p>
              </w:tc>
              <w:tc>
                <w:tcPr>
                  <w:tcW w:w="1776" w:type="dxa"/>
                  <w:noWrap/>
                </w:tcPr>
                <w:p>
                  <w:pPr>
                    <w:jc w:val="center"/>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03" w:type="dxa"/>
                  <w:noWrap/>
                </w:tcPr>
                <w:p>
                  <w:pP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新生儿听力筛查仪主机</w:t>
                  </w:r>
                </w:p>
              </w:tc>
              <w:tc>
                <w:tcPr>
                  <w:tcW w:w="1776" w:type="dxa"/>
                  <w:noWrap/>
                </w:tcPr>
                <w:p>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03" w:type="dxa"/>
                  <w:noWrap/>
                </w:tcPr>
                <w:p>
                  <w:pP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探头</w:t>
                  </w:r>
                </w:p>
              </w:tc>
              <w:tc>
                <w:tcPr>
                  <w:tcW w:w="1776" w:type="dxa"/>
                  <w:noWrap/>
                </w:tcPr>
                <w:p>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03" w:type="dxa"/>
                  <w:noWrap/>
                </w:tcPr>
                <w:p>
                  <w:pP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探头尖</w:t>
                  </w:r>
                </w:p>
              </w:tc>
              <w:tc>
                <w:tcPr>
                  <w:tcW w:w="1776" w:type="dxa"/>
                  <w:noWrap/>
                </w:tcPr>
                <w:p>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03" w:type="dxa"/>
                  <w:noWrap/>
                </w:tcPr>
                <w:p>
                  <w:pP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耳塞</w:t>
                  </w:r>
                </w:p>
              </w:tc>
              <w:tc>
                <w:tcPr>
                  <w:tcW w:w="1776" w:type="dxa"/>
                  <w:noWrap/>
                </w:tcPr>
                <w:p>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03" w:type="dxa"/>
                  <w:noWrap/>
                </w:tcPr>
                <w:p>
                  <w:pP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清洁丝</w:t>
                  </w:r>
                </w:p>
              </w:tc>
              <w:tc>
                <w:tcPr>
                  <w:tcW w:w="1776" w:type="dxa"/>
                  <w:noWrap/>
                </w:tcPr>
                <w:p>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03" w:type="dxa"/>
                  <w:noWrap/>
                </w:tcPr>
                <w:p>
                  <w:pP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充电电池</w:t>
                  </w:r>
                </w:p>
              </w:tc>
              <w:tc>
                <w:tcPr>
                  <w:tcW w:w="1776" w:type="dxa"/>
                  <w:noWrap/>
                </w:tcPr>
                <w:p>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03" w:type="dxa"/>
                  <w:noWrap/>
                </w:tcPr>
                <w:p>
                  <w:pP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充电器</w:t>
                  </w:r>
                </w:p>
              </w:tc>
              <w:tc>
                <w:tcPr>
                  <w:tcW w:w="1776" w:type="dxa"/>
                  <w:noWrap/>
                </w:tcPr>
                <w:p>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03" w:type="dxa"/>
                  <w:noWrap/>
                </w:tcPr>
                <w:p>
                  <w:pPr>
                    <w:rPr>
                      <w:rFonts w:hint="eastAsia" w:ascii="宋体" w:hAnsi="宋体" w:eastAsia="宋体" w:cs="宋体"/>
                      <w:bCs/>
                      <w:color w:val="auto"/>
                      <w:sz w:val="21"/>
                      <w:szCs w:val="21"/>
                      <w:highlight w:val="none"/>
                    </w:rPr>
                  </w:pPr>
                  <w:r>
                    <w:rPr>
                      <w:rFonts w:hint="eastAsia" w:cs="宋体"/>
                      <w:bCs/>
                      <w:color w:val="auto"/>
                      <w:sz w:val="21"/>
                      <w:szCs w:val="21"/>
                      <w:highlight w:val="none"/>
                      <w:lang w:eastAsia="zh-CN"/>
                    </w:rPr>
                    <w:t>便携</w:t>
                  </w:r>
                  <w:r>
                    <w:rPr>
                      <w:rFonts w:hint="eastAsia" w:ascii="宋体" w:hAnsi="宋体" w:eastAsia="宋体" w:cs="宋体"/>
                      <w:bCs/>
                      <w:color w:val="auto"/>
                      <w:sz w:val="21"/>
                      <w:szCs w:val="21"/>
                      <w:highlight w:val="none"/>
                    </w:rPr>
                    <w:t>包</w:t>
                  </w:r>
                </w:p>
              </w:tc>
              <w:tc>
                <w:tcPr>
                  <w:tcW w:w="1776" w:type="dxa"/>
                  <w:noWrap/>
                </w:tcPr>
                <w:p>
                  <w:pPr>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3003" w:type="dxa"/>
                  <w:noWrap/>
                </w:tcPr>
                <w:p>
                  <w:pPr>
                    <w:rPr>
                      <w:rFonts w:hint="eastAsia" w:ascii="宋体" w:hAnsi="宋体" w:eastAsia="宋体" w:cs="宋体"/>
                      <w:bCs/>
                      <w:color w:val="auto"/>
                      <w:sz w:val="21"/>
                      <w:szCs w:val="21"/>
                    </w:rPr>
                  </w:pPr>
                  <w:r>
                    <w:rPr>
                      <w:rFonts w:hint="eastAsia" w:ascii="宋体" w:hAnsi="宋体" w:eastAsia="宋体" w:cs="宋体"/>
                      <w:bCs/>
                      <w:color w:val="auto"/>
                      <w:sz w:val="21"/>
                      <w:szCs w:val="21"/>
                    </w:rPr>
                    <w:t>中文使用手册</w:t>
                  </w:r>
                </w:p>
              </w:tc>
              <w:tc>
                <w:tcPr>
                  <w:tcW w:w="1776" w:type="dxa"/>
                  <w:noWrap/>
                </w:tcPr>
                <w:p>
                  <w:pPr>
                    <w:jc w:val="center"/>
                    <w:rPr>
                      <w:rFonts w:hint="eastAsia" w:ascii="宋体" w:hAnsi="宋体" w:eastAsia="宋体" w:cs="宋体"/>
                      <w:bCs/>
                      <w:color w:val="auto"/>
                      <w:sz w:val="21"/>
                      <w:szCs w:val="21"/>
                    </w:rPr>
                  </w:pPr>
                  <w:r>
                    <w:rPr>
                      <w:rFonts w:hint="eastAsia" w:ascii="宋体" w:hAnsi="宋体" w:eastAsia="宋体" w:cs="宋体"/>
                      <w:bCs/>
                      <w:color w:val="auto"/>
                      <w:sz w:val="21"/>
                      <w:szCs w:val="21"/>
                    </w:rPr>
                    <w:t>1本</w:t>
                  </w:r>
                </w:p>
              </w:tc>
            </w:tr>
          </w:tbl>
          <w:p>
            <w:pPr>
              <w:pStyle w:val="7"/>
              <w:keepNext w:val="0"/>
              <w:keepLines w:val="0"/>
              <w:pageBreakBefore w:val="0"/>
              <w:kinsoku/>
              <w:wordWrap/>
              <w:overflowPunct/>
              <w:topLinePunct w:val="0"/>
              <w:autoSpaceDE/>
              <w:autoSpaceDN/>
              <w:bidi w:val="0"/>
              <w:adjustRightInd/>
              <w:snapToGrid/>
              <w:spacing w:after="0" w:line="400" w:lineRule="exact"/>
              <w:ind w:left="420" w:firstLine="0" w:firstLineChars="0"/>
              <w:textAlignment w:val="auto"/>
              <w:rPr>
                <w:rFonts w:hint="eastAsia" w:ascii="宋体" w:hAnsi="宋体" w:eastAsia="宋体" w:cs="宋体"/>
                <w:color w:val="auto"/>
                <w:sz w:val="21"/>
                <w:szCs w:val="21"/>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6" w:hRule="atLeast"/>
        </w:trPr>
        <w:tc>
          <w:tcPr>
            <w:tcW w:w="530"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sz w:val="21"/>
                <w:szCs w:val="21"/>
                <w:highlight w:val="none"/>
                <w:lang w:val="en-US" w:eastAsia="zh-CN"/>
              </w:rPr>
            </w:pPr>
            <w:r>
              <w:rPr>
                <w:rFonts w:hint="eastAsia" w:ascii="宋体" w:hAnsi="宋体" w:eastAsia="宋体" w:cs="宋体"/>
                <w:b w:val="0"/>
                <w:bCs/>
                <w:color w:val="auto"/>
                <w:sz w:val="21"/>
                <w:szCs w:val="21"/>
                <w:highlight w:val="none"/>
                <w:lang w:val="en-US" w:eastAsia="zh-CN"/>
              </w:rPr>
              <w:t>2</w:t>
            </w:r>
          </w:p>
        </w:tc>
        <w:tc>
          <w:tcPr>
            <w:tcW w:w="1563" w:type="dxa"/>
            <w:tcBorders>
              <w:left w:val="single" w:color="auto" w:sz="4" w:space="0"/>
              <w:bottom w:val="single" w:color="auto" w:sz="4" w:space="0"/>
              <w:right w:val="single" w:color="auto" w:sz="4" w:space="0"/>
            </w:tcBorders>
            <w:vAlign w:val="center"/>
          </w:tcPr>
          <w:p>
            <w:pPr>
              <w:widowControl/>
              <w:jc w:val="center"/>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医用内窥镜摄像系统</w:t>
            </w:r>
          </w:p>
        </w:tc>
        <w:tc>
          <w:tcPr>
            <w:tcW w:w="860" w:type="dxa"/>
            <w:tcBorders>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1套</w:t>
            </w:r>
          </w:p>
        </w:tc>
        <w:tc>
          <w:tcPr>
            <w:tcW w:w="14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hint="eastAsia" w:ascii="宋体" w:hAnsi="宋体" w:eastAsia="宋体" w:cs="宋体"/>
                <w:b w:val="0"/>
                <w:bCs/>
                <w:color w:val="auto"/>
                <w:kern w:val="0"/>
                <w:sz w:val="21"/>
                <w:szCs w:val="21"/>
                <w:highlight w:val="none"/>
                <w:lang w:val="en-US" w:eastAsia="zh-CN"/>
              </w:rPr>
            </w:pPr>
            <w:r>
              <w:rPr>
                <w:rFonts w:hint="eastAsia" w:ascii="宋体" w:hAnsi="宋体" w:eastAsia="宋体" w:cs="宋体"/>
                <w:b w:val="0"/>
                <w:bCs/>
                <w:color w:val="auto"/>
                <w:kern w:val="0"/>
                <w:sz w:val="21"/>
                <w:szCs w:val="21"/>
                <w:highlight w:val="none"/>
                <w:lang w:val="en-US" w:eastAsia="zh-CN"/>
              </w:rPr>
              <w:t>83</w:t>
            </w:r>
          </w:p>
        </w:tc>
        <w:tc>
          <w:tcPr>
            <w:tcW w:w="5071" w:type="dxa"/>
            <w:tcBorders>
              <w:top w:val="single" w:color="auto" w:sz="4" w:space="0"/>
              <w:left w:val="single" w:color="auto" w:sz="4" w:space="0"/>
              <w:bottom w:val="single" w:color="auto" w:sz="4" w:space="0"/>
              <w:right w:val="single" w:color="auto" w:sz="4" w:space="0"/>
            </w:tcBorders>
            <w:vAlign w:val="center"/>
          </w:tcPr>
          <w:p>
            <w:pPr>
              <w:pStyle w:val="8"/>
              <w:spacing w:line="360" w:lineRule="auto"/>
              <w:ind w:left="0" w:leftChars="0" w:firstLine="0" w:firstLineChars="0"/>
              <w:rPr>
                <w:rFonts w:hint="eastAsia"/>
                <w:color w:val="auto"/>
              </w:rPr>
            </w:pPr>
            <w:r>
              <w:rPr>
                <w:rFonts w:hint="eastAsia"/>
                <w:color w:val="auto"/>
              </w:rPr>
              <w:t>▲1、医用内窥镜摄像系统 ，用于各种内窥镜的检查和手术，CMOS全高清系统，全高清分辨率1920 × 1080像素（16:9）逐行扫描1080P，DVI-D/HDMI、RGB（HD）/YPbPr、S-Video、Composite Video输出，2.5倍数码变焦和冻结功能，具有五种不同类型内窥镜使用模式，摄像头带有可编程控制按钮</w:t>
            </w:r>
          </w:p>
          <w:p>
            <w:pPr>
              <w:pStyle w:val="8"/>
              <w:spacing w:line="360" w:lineRule="auto"/>
              <w:ind w:left="0" w:leftChars="0" w:firstLine="0" w:firstLineChars="0"/>
              <w:rPr>
                <w:rFonts w:hint="eastAsia"/>
                <w:color w:val="auto"/>
              </w:rPr>
            </w:pPr>
            <w:r>
              <w:rPr>
                <w:rFonts w:hint="eastAsia"/>
                <w:color w:val="auto"/>
              </w:rPr>
              <w:t>2、医用内窥镜冷光源 ，输出功率：0-120W，灯泡寿命：50000小时，色温：5500-6000k</w:t>
            </w:r>
          </w:p>
          <w:p>
            <w:pPr>
              <w:pStyle w:val="8"/>
              <w:spacing w:line="360" w:lineRule="auto"/>
              <w:ind w:firstLine="0" w:firstLineChars="0"/>
              <w:rPr>
                <w:rFonts w:hint="eastAsia"/>
                <w:color w:val="auto"/>
              </w:rPr>
            </w:pPr>
            <w:r>
              <w:rPr>
                <w:rFonts w:hint="eastAsia"/>
                <w:color w:val="auto"/>
              </w:rPr>
              <w:t>亮度 ：≥580000lx，光通量：最大值500 lm，调光方式：按键，PWM(可设置多种工作曲线)，自动检测和控制温度显色指数≥90，放置湿度：within 93﹪RH。3M、可高压消毒，高传导性导光束。</w:t>
            </w:r>
          </w:p>
          <w:p>
            <w:pPr>
              <w:pStyle w:val="8"/>
              <w:spacing w:line="360" w:lineRule="auto"/>
              <w:ind w:left="0" w:leftChars="0" w:firstLine="0" w:firstLineChars="0"/>
              <w:rPr>
                <w:rFonts w:hint="eastAsia"/>
                <w:color w:val="auto"/>
              </w:rPr>
            </w:pPr>
            <w:r>
              <w:rPr>
                <w:rFonts w:hint="eastAsia"/>
                <w:color w:val="auto"/>
              </w:rPr>
              <w:t>3、液晶显示器 , 全高清显示，显示面带防水防尘保护层，平面触式控制开关，自动检索输入信号模式并自动锁定显示，23.6″高清晰液晶显视器，分辨率：1920x1080、比例：16:9，显示颜色：16.7M多种输入接口：VGA、SDI、S- VIDEO、YPbPr 、RGB 、DVI 、VIDEO、YC，输出接口：SDI、S- VIDEO、YPbPr 、RGB 、VIDEO。</w:t>
            </w:r>
          </w:p>
          <w:p>
            <w:pPr>
              <w:tabs>
                <w:tab w:val="left" w:pos="0"/>
              </w:tabs>
              <w:jc w:val="both"/>
              <w:rPr>
                <w:rFonts w:hint="eastAsia"/>
                <w:color w:val="auto"/>
              </w:rPr>
            </w:pPr>
            <w:r>
              <w:rPr>
                <w:rFonts w:hint="eastAsia"/>
                <w:color w:val="auto"/>
              </w:rPr>
              <w:t>4、医用台车 ，金属四层带万向支架及万向车轮。</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lang w:eastAsia="zh-CN"/>
              </w:rPr>
            </w:pPr>
            <w:r>
              <w:rPr>
                <w:rFonts w:hint="eastAsia"/>
                <w:color w:val="auto"/>
                <w:lang w:eastAsia="zh-CN"/>
              </w:rPr>
              <w:t>配置清单</w:t>
            </w:r>
          </w:p>
          <w:tbl>
            <w:tblPr>
              <w:tblStyle w:val="4"/>
              <w:tblW w:w="40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2255"/>
              <w:gridCol w:w="8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48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序号</w:t>
                  </w:r>
                </w:p>
              </w:tc>
              <w:tc>
                <w:tcPr>
                  <w:tcW w:w="225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48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货物名称</w:t>
                  </w:r>
                </w:p>
              </w:tc>
              <w:tc>
                <w:tcPr>
                  <w:tcW w:w="897"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after="200" w:line="480" w:lineRule="exact"/>
                    <w:jc w:val="center"/>
                    <w:rPr>
                      <w:rFonts w:hint="eastAsia" w:ascii="宋体" w:hAnsi="宋体" w:eastAsia="宋体" w:cs="宋体"/>
                      <w:color w:val="auto"/>
                      <w:sz w:val="21"/>
                      <w:szCs w:val="21"/>
                    </w:rPr>
                  </w:pPr>
                  <w:r>
                    <w:rPr>
                      <w:rFonts w:hint="eastAsia" w:ascii="宋体" w:hAnsi="宋体" w:eastAsia="宋体" w:cs="宋体"/>
                      <w:color w:val="auto"/>
                      <w:sz w:val="21"/>
                      <w:szCs w:val="21"/>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w:t>
                  </w:r>
                </w:p>
              </w:tc>
              <w:tc>
                <w:tcPr>
                  <w:tcW w:w="2255"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 xml:space="preserve">医用内窥镜摄像系统 </w:t>
                  </w:r>
                </w:p>
              </w:tc>
              <w:tc>
                <w:tcPr>
                  <w:tcW w:w="897" w:type="dxa"/>
                  <w:tcBorders>
                    <w:top w:val="single" w:color="auto" w:sz="4" w:space="0"/>
                    <w:left w:val="single" w:color="auto" w:sz="4" w:space="0"/>
                    <w:bottom w:val="single" w:color="auto" w:sz="4" w:space="0"/>
                    <w:right w:val="single" w:color="auto" w:sz="4" w:space="0"/>
                  </w:tcBorders>
                  <w:noWrap w:val="0"/>
                  <w:vAlign w:val="center"/>
                </w:tcPr>
                <w:p>
                  <w:pPr>
                    <w:tabs>
                      <w:tab w:val="left" w:pos="510"/>
                      <w:tab w:val="center" w:pos="660"/>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1.1</w:t>
                  </w:r>
                </w:p>
              </w:tc>
              <w:tc>
                <w:tcPr>
                  <w:tcW w:w="2255"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医用内窥镜冷光源</w:t>
                  </w:r>
                </w:p>
              </w:tc>
              <w:tc>
                <w:tcPr>
                  <w:tcW w:w="897" w:type="dxa"/>
                  <w:tcBorders>
                    <w:top w:val="single" w:color="auto" w:sz="4" w:space="0"/>
                    <w:left w:val="single" w:color="auto" w:sz="4" w:space="0"/>
                    <w:bottom w:val="single" w:color="auto" w:sz="4" w:space="0"/>
                    <w:right w:val="single" w:color="auto" w:sz="4" w:space="0"/>
                  </w:tcBorders>
                  <w:noWrap w:val="0"/>
                  <w:vAlign w:val="center"/>
                </w:tcPr>
                <w:p>
                  <w:pPr>
                    <w:tabs>
                      <w:tab w:val="left" w:pos="510"/>
                      <w:tab w:val="center" w:pos="660"/>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1.2</w:t>
                  </w:r>
                </w:p>
              </w:tc>
              <w:tc>
                <w:tcPr>
                  <w:tcW w:w="2255"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液晶显示器</w:t>
                  </w:r>
                </w:p>
              </w:tc>
              <w:tc>
                <w:tcPr>
                  <w:tcW w:w="897"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46"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1.3</w:t>
                  </w:r>
                </w:p>
              </w:tc>
              <w:tc>
                <w:tcPr>
                  <w:tcW w:w="2255" w:type="dxa"/>
                  <w:tcBorders>
                    <w:top w:val="single" w:color="auto" w:sz="4" w:space="0"/>
                    <w:left w:val="single" w:color="auto" w:sz="4" w:space="0"/>
                    <w:bottom w:val="single" w:color="auto" w:sz="4" w:space="0"/>
                    <w:right w:val="single" w:color="auto" w:sz="4" w:space="0"/>
                  </w:tcBorders>
                  <w:noWrap w:val="0"/>
                  <w:vAlign w:val="center"/>
                </w:tcPr>
                <w:p>
                  <w:pPr>
                    <w:tabs>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医用台车</w:t>
                  </w:r>
                </w:p>
              </w:tc>
              <w:tc>
                <w:tcPr>
                  <w:tcW w:w="897" w:type="dxa"/>
                  <w:tcBorders>
                    <w:top w:val="single" w:color="auto" w:sz="4" w:space="0"/>
                    <w:left w:val="single" w:color="auto" w:sz="4" w:space="0"/>
                    <w:bottom w:val="single" w:color="auto" w:sz="4" w:space="0"/>
                    <w:right w:val="single" w:color="auto" w:sz="4" w:space="0"/>
                  </w:tcBorders>
                  <w:noWrap w:val="0"/>
                  <w:vAlign w:val="center"/>
                </w:tcPr>
                <w:p>
                  <w:pPr>
                    <w:tabs>
                      <w:tab w:val="left" w:pos="510"/>
                      <w:tab w:val="center" w:pos="660"/>
                      <w:tab w:val="left" w:pos="1418"/>
                    </w:tabs>
                    <w:wordWrap w:val="0"/>
                    <w:adjustRightInd w:val="0"/>
                    <w:snapToGrid w:val="0"/>
                    <w:spacing w:before="50" w:after="50" w:line="276" w:lineRule="auto"/>
                    <w:jc w:val="center"/>
                    <w:rPr>
                      <w:rFonts w:hint="eastAsia" w:ascii="宋体" w:hAnsi="宋体" w:eastAsia="宋体" w:cs="宋体"/>
                      <w:color w:val="auto"/>
                      <w:sz w:val="21"/>
                      <w:szCs w:val="21"/>
                    </w:rPr>
                  </w:pPr>
                  <w:r>
                    <w:rPr>
                      <w:rFonts w:hint="eastAsia" w:ascii="宋体" w:hAnsi="宋体" w:eastAsia="宋体" w:cs="宋体"/>
                      <w:color w:val="auto"/>
                      <w:sz w:val="21"/>
                      <w:szCs w:val="21"/>
                    </w:rPr>
                    <w:t>1台</w:t>
                  </w:r>
                </w:p>
              </w:tc>
            </w:tr>
          </w:tbl>
          <w:p>
            <w:pPr>
              <w:pStyle w:val="2"/>
              <w:rPr>
                <w:rFonts w:hint="eastAsia"/>
                <w:color w:val="auto"/>
                <w:lang w:eastAsia="zh-CN"/>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9443" w:type="dxa"/>
            <w:gridSpan w:val="5"/>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eastAsia="宋体" w:cs="宋体"/>
                <w:b/>
                <w:color w:val="auto"/>
                <w:sz w:val="21"/>
                <w:szCs w:val="21"/>
                <w:highlight w:val="none"/>
              </w:rPr>
            </w:pPr>
            <w:r>
              <w:rPr>
                <w:rFonts w:hint="eastAsia" w:ascii="宋体" w:hAnsi="宋体" w:eastAsia="宋体" w:cs="宋体"/>
                <w:b/>
                <w:color w:val="auto"/>
                <w:sz w:val="21"/>
                <w:szCs w:val="21"/>
                <w:highlight w:val="none"/>
              </w:rPr>
              <w:t>▲</w:t>
            </w:r>
            <w:r>
              <w:rPr>
                <w:rFonts w:hint="eastAsia" w:ascii="宋体" w:hAnsi="宋体" w:eastAsia="宋体" w:cs="宋体"/>
                <w:color w:val="auto"/>
                <w:sz w:val="21"/>
                <w:szCs w:val="21"/>
                <w:highlight w:val="none"/>
              </w:rPr>
              <w:t>二、商务要求表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质保期</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、竞标人应明确承诺：按国家有关产品“三包”规定执行“三包”，货物验收合格后，自安装验收合格之日起质保期主机质保期≥</w:t>
            </w:r>
            <w:r>
              <w:rPr>
                <w:rFonts w:hint="eastAsia" w:ascii="宋体" w:hAnsi="宋体" w:eastAsia="宋体" w:cs="宋体"/>
                <w:bCs/>
                <w:color w:val="auto"/>
                <w:sz w:val="21"/>
                <w:szCs w:val="21"/>
                <w:highlight w:val="none"/>
                <w:lang w:val="en-US" w:eastAsia="zh-CN"/>
              </w:rPr>
              <w:t>1</w:t>
            </w:r>
            <w:r>
              <w:rPr>
                <w:rFonts w:hint="eastAsia" w:ascii="宋体" w:hAnsi="宋体" w:eastAsia="宋体" w:cs="宋体"/>
                <w:bCs/>
                <w:color w:val="auto"/>
                <w:sz w:val="21"/>
                <w:szCs w:val="21"/>
                <w:highlight w:val="none"/>
              </w:rPr>
              <w:t>年。质保期内非人为损坏免费更换所有故障零配件，并免费提供硬件的安全性改版升级和技术支持，确保设备正常运行。</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2、质保期所更换的零配件必须是原厂全新的零配件，满足设备运行要求。</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3、质保期内每年提供1次设备检查保养服务(使用专业检测设备)，每次保养及维修均需提供双方签字确认的保养服务工单或维修工单。</w:t>
            </w:r>
          </w:p>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bCs/>
                <w:color w:val="auto"/>
                <w:sz w:val="21"/>
                <w:szCs w:val="21"/>
                <w:highlight w:val="none"/>
              </w:rPr>
              <w:t>4、质量保证期承诺优于国家“三包”规定的，或优于采购文件规定的，按竞标人实际承诺执行。</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交货时间及地点</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自签订合同之日起30天内交货并安装调试完毕。</w:t>
            </w:r>
          </w:p>
          <w:p>
            <w:pPr>
              <w:spacing w:line="360" w:lineRule="exact"/>
              <w:ind w:right="-107" w:rightChars="-51"/>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地点：采购人指定地点。</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widowControl/>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付款方式</w:t>
            </w:r>
          </w:p>
        </w:tc>
        <w:tc>
          <w:tcPr>
            <w:tcW w:w="5071" w:type="dxa"/>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无预付款，项目验收合格交付使用后30日内支付第一笔合同款的50%，第二笔合同款在验收合格交付使用6个月后的15个工作日内支付合同款的45%，第三笔剩余5%的合同款，在验收合格交付使用12个月后的15个工作日内支付（无息）。中标人在采购人付款前开具完税发票给采购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3"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ind w:right="97" w:rightChars="46"/>
              <w:jc w:val="center"/>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履约保证金</w:t>
            </w:r>
          </w:p>
        </w:tc>
        <w:tc>
          <w:tcPr>
            <w:tcW w:w="5071"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1、履约保证金为合同总金额：</w:t>
            </w:r>
            <w:r>
              <w:rPr>
                <w:rFonts w:hint="eastAsia" w:ascii="宋体" w:hAnsi="宋体" w:eastAsia="宋体" w:cs="宋体"/>
                <w:color w:val="auto"/>
                <w:sz w:val="21"/>
                <w:szCs w:val="21"/>
                <w:highlight w:val="none"/>
                <w:lang w:eastAsia="zh-CN"/>
              </w:rPr>
              <w:t>无</w:t>
            </w:r>
            <w:r>
              <w:rPr>
                <w:rFonts w:hint="eastAsia" w:ascii="宋体" w:hAnsi="宋体" w:eastAsia="宋体" w:cs="宋体"/>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售后服务要求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1、免费送货上门、安装调试，免费培训，安装完成后成交供应商负责清理产生的木箱等垃圾；</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2、竞标人应提出可行的售后服务承诺书；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3、按厂家承诺实行“三包”；</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4、竞标报价包括货物的所有费用，包括采购、运输、安装、劳务、管理、利润、税金、保险、协调、培训、售后服务、配送产品以及所有的不定因素的风险等；</w:t>
            </w:r>
          </w:p>
          <w:p>
            <w:pPr>
              <w:pStyle w:val="3"/>
              <w:rPr>
                <w:rFonts w:hint="eastAsia" w:ascii="宋体" w:hAnsi="宋体" w:eastAsia="宋体" w:cs="宋体"/>
                <w:b w:val="0"/>
                <w:bCs/>
                <w:color w:val="auto"/>
                <w:kern w:val="2"/>
                <w:sz w:val="21"/>
                <w:szCs w:val="21"/>
                <w:highlight w:val="none"/>
                <w:lang w:val="en-US" w:eastAsia="zh-CN" w:bidi="ar-SA"/>
              </w:rPr>
            </w:pPr>
            <w:r>
              <w:rPr>
                <w:rFonts w:hint="eastAsia" w:ascii="宋体" w:hAnsi="宋体" w:eastAsia="宋体" w:cs="宋体"/>
                <w:b w:val="0"/>
                <w:bCs/>
                <w:color w:val="auto"/>
                <w:kern w:val="2"/>
                <w:sz w:val="21"/>
                <w:szCs w:val="21"/>
                <w:highlight w:val="none"/>
                <w:lang w:val="en-US" w:eastAsia="zh-CN" w:bidi="ar-SA"/>
              </w:rPr>
              <w:t>5、</w:t>
            </w:r>
            <w:r>
              <w:rPr>
                <w:rFonts w:hint="eastAsia" w:ascii="宋体" w:hAnsi="宋体" w:eastAsia="宋体" w:cs="宋体"/>
                <w:b/>
                <w:bCs w:val="0"/>
                <w:color w:val="auto"/>
                <w:kern w:val="2"/>
                <w:sz w:val="21"/>
                <w:szCs w:val="21"/>
                <w:highlight w:val="none"/>
                <w:lang w:val="en-US" w:eastAsia="zh-CN" w:bidi="ar-SA"/>
              </w:rPr>
              <w:t>如医院有需求，中标公司负责向该产品接入医院的HIS系统，LIS系统，PACS系统的厂家支付接口技术服务费。单向费用8000元/台，双向费用16000元/台。</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lang w:val="en-US" w:eastAsia="zh-CN"/>
              </w:rPr>
              <w:t>6</w:t>
            </w:r>
            <w:r>
              <w:rPr>
                <w:rFonts w:hint="eastAsia" w:ascii="宋体" w:hAnsi="宋体" w:eastAsia="宋体" w:cs="宋体"/>
                <w:bCs/>
                <w:color w:val="auto"/>
                <w:sz w:val="21"/>
                <w:szCs w:val="21"/>
                <w:highlight w:val="none"/>
              </w:rPr>
              <w:t>、备件、技术及维修服务，培训要求及其它：</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（1）备件要求：竞标人或厂家应在用户当地或省会中心城市设置备件库，存入所有必须的备件，保证必要时可以及时供应；</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（2）技术及维修服务：在用户当地或省会中心城市，竞标人或厂家应配置多名工程技术人员，随时提供开箱验货、安装、调试或维修等服务；</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（3）技术培训要求：在用户当地或省会中心城市，竞标人或厂家应配置专业技术人员提供现场技术培训，保证使用人员正常操作设备的各种功能；</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w:t>
            </w:r>
            <w:bookmarkStart w:id="2" w:name="_Hlk59224273"/>
            <w:r>
              <w:rPr>
                <w:rFonts w:hint="eastAsia" w:ascii="宋体" w:hAnsi="宋体" w:eastAsia="宋体" w:cs="宋体"/>
                <w:bCs/>
                <w:color w:val="auto"/>
                <w:sz w:val="21"/>
                <w:szCs w:val="21"/>
                <w:highlight w:val="none"/>
              </w:rPr>
              <w:t>质保期内设备发生故障时，现场响应时间</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小时以内，维修响应时间小于</w:t>
            </w:r>
            <w:r>
              <w:rPr>
                <w:rFonts w:hint="eastAsia" w:ascii="宋体" w:hAnsi="宋体" w:eastAsia="宋体" w:cs="宋体"/>
                <w:bCs/>
                <w:color w:val="auto"/>
                <w:sz w:val="21"/>
                <w:szCs w:val="21"/>
                <w:highlight w:val="none"/>
                <w:lang w:val="en-US" w:eastAsia="zh-CN"/>
              </w:rPr>
              <w:t>24</w:t>
            </w:r>
            <w:r>
              <w:rPr>
                <w:rFonts w:hint="eastAsia" w:ascii="宋体" w:hAnsi="宋体" w:eastAsia="宋体" w:cs="宋体"/>
                <w:bCs/>
                <w:color w:val="auto"/>
                <w:sz w:val="21"/>
                <w:szCs w:val="21"/>
                <w:highlight w:val="none"/>
              </w:rPr>
              <w:t>小时，工程师到场时间小于</w:t>
            </w:r>
            <w:r>
              <w:rPr>
                <w:rFonts w:hint="eastAsia" w:ascii="宋体" w:hAnsi="宋体" w:eastAsia="宋体" w:cs="宋体"/>
                <w:bCs/>
                <w:color w:val="auto"/>
                <w:sz w:val="21"/>
                <w:szCs w:val="21"/>
                <w:highlight w:val="none"/>
                <w:lang w:val="en-US" w:eastAsia="zh-CN"/>
              </w:rPr>
              <w:t>36</w:t>
            </w:r>
            <w:r>
              <w:rPr>
                <w:rFonts w:hint="eastAsia" w:ascii="宋体" w:hAnsi="宋体" w:eastAsia="宋体" w:cs="宋体"/>
                <w:bCs/>
                <w:color w:val="auto"/>
                <w:sz w:val="21"/>
                <w:szCs w:val="21"/>
                <w:highlight w:val="none"/>
              </w:rPr>
              <w:t>小时，维修中所需要零配件供应最长时间不超过7天。特殊情况无法到达须提前与科室或设备主管科室沟通。如需更换配件，则小配件</w:t>
            </w:r>
            <w:r>
              <w:rPr>
                <w:rFonts w:hint="eastAsia" w:ascii="宋体" w:hAnsi="宋体" w:eastAsia="宋体" w:cs="宋体"/>
                <w:bCs/>
                <w:color w:val="auto"/>
                <w:sz w:val="21"/>
                <w:szCs w:val="21"/>
                <w:highlight w:val="none"/>
                <w:lang w:val="en-US" w:eastAsia="zh-CN"/>
              </w:rPr>
              <w:t>7</w:t>
            </w:r>
            <w:r>
              <w:rPr>
                <w:rFonts w:hint="eastAsia" w:ascii="宋体" w:hAnsi="宋体" w:eastAsia="宋体" w:cs="宋体"/>
                <w:bCs/>
                <w:color w:val="auto"/>
                <w:sz w:val="21"/>
                <w:szCs w:val="21"/>
                <w:highlight w:val="none"/>
              </w:rPr>
              <w:t>个工作日内更换完毕，大配件</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个工作日内更换完毕，当配件等待周期大于</w:t>
            </w:r>
            <w:r>
              <w:rPr>
                <w:rFonts w:hint="eastAsia" w:ascii="宋体" w:hAnsi="宋体" w:eastAsia="宋体" w:cs="宋体"/>
                <w:bCs/>
                <w:color w:val="auto"/>
                <w:sz w:val="21"/>
                <w:szCs w:val="21"/>
                <w:highlight w:val="none"/>
                <w:lang w:val="en-US" w:eastAsia="zh-CN"/>
              </w:rPr>
              <w:t>15</w:t>
            </w:r>
            <w:r>
              <w:rPr>
                <w:rFonts w:hint="eastAsia" w:ascii="宋体" w:hAnsi="宋体" w:eastAsia="宋体" w:cs="宋体"/>
                <w:bCs/>
                <w:color w:val="auto"/>
                <w:sz w:val="21"/>
                <w:szCs w:val="21"/>
                <w:highlight w:val="none"/>
              </w:rPr>
              <w:t>个工作日时，成交供应商应按照科室要求提供备用机。</w:t>
            </w:r>
            <w:bookmarkEnd w:id="2"/>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124" w:hRule="atLeast"/>
        </w:trPr>
        <w:tc>
          <w:tcPr>
            <w:tcW w:w="4372"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其它要求</w:t>
            </w:r>
          </w:p>
        </w:tc>
        <w:tc>
          <w:tcPr>
            <w:tcW w:w="5071" w:type="dxa"/>
            <w:tcBorders>
              <w:top w:val="single" w:color="auto" w:sz="4" w:space="0"/>
              <w:left w:val="single" w:color="auto" w:sz="4" w:space="0"/>
              <w:bottom w:val="single" w:color="auto" w:sz="4" w:space="0"/>
              <w:right w:val="single" w:color="auto" w:sz="4" w:space="0"/>
            </w:tcBorders>
          </w:tcPr>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1、</w:t>
            </w:r>
            <w:r>
              <w:rPr>
                <w:rFonts w:hint="eastAsia" w:ascii="宋体" w:hAnsi="宋体" w:eastAsia="宋体" w:cs="宋体"/>
                <w:bCs/>
                <w:color w:val="auto"/>
                <w:sz w:val="21"/>
                <w:szCs w:val="21"/>
                <w:highlight w:val="none"/>
              </w:rPr>
              <w:t>成交供应商保证向采购人提供的货物是全新、完整、未使用过的。</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2、竞标时提供竞标产品彩色图片或说明书。</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3、</w:t>
            </w:r>
            <w:r>
              <w:rPr>
                <w:rFonts w:hint="eastAsia" w:ascii="宋体" w:hAnsi="宋体" w:eastAsia="宋体" w:cs="宋体"/>
                <w:bCs/>
                <w:color w:val="auto"/>
                <w:sz w:val="21"/>
                <w:szCs w:val="21"/>
                <w:highlight w:val="none"/>
              </w:rPr>
              <w:t>采购人设备主管科室对本合同质保服务内容进行全程对接和监督，并对服务情况进行客观记录，在每个合同年度期结束时，由设备主管科室根据合同约定的服务内容、响应情况、服务态度及过程记录。</w:t>
            </w:r>
          </w:p>
          <w:p>
            <w:pPr>
              <w:spacing w:line="360" w:lineRule="exact"/>
              <w:ind w:right="97" w:rightChars="46"/>
              <w:jc w:val="left"/>
              <w:rPr>
                <w:rFonts w:hint="eastAsia" w:ascii="宋体" w:hAnsi="宋体" w:eastAsia="宋体" w:cs="宋体"/>
                <w:bCs/>
                <w:color w:val="auto"/>
                <w:sz w:val="21"/>
                <w:szCs w:val="21"/>
                <w:highlight w:val="none"/>
              </w:rPr>
            </w:pPr>
            <w:r>
              <w:rPr>
                <w:rFonts w:hint="eastAsia" w:ascii="宋体" w:hAnsi="宋体" w:eastAsia="宋体" w:cs="宋体"/>
                <w:color w:val="auto"/>
                <w:sz w:val="21"/>
                <w:szCs w:val="21"/>
                <w:highlight w:val="none"/>
              </w:rPr>
              <w:t>4、采购人在货物交货验收阶段发现货物的技术参数指标达不到采购文件该货物技术参数要求的，属虚假应标行为，采购人将终止合同拒收货物，追究该成交单位违约责任，赔偿采购人因采购时间延长造成采购人经济等方面损失。</w:t>
            </w:r>
          </w:p>
        </w:tc>
      </w:tr>
      <w:bookmarkEnd w:id="1"/>
    </w:tbl>
    <w:p/>
    <w:sectPr>
      <w:pgSz w:w="11906" w:h="16838"/>
      <w:pgMar w:top="1134" w:right="1418" w:bottom="1134" w:left="1418" w:header="709" w:footer="709" w:gutter="0"/>
      <w:pgNumType w:start="0"/>
      <w:cols w:space="0" w:num="1"/>
      <w:titlePg/>
      <w:rtlGutter w:val="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CDF5F75"/>
    <w:multiLevelType w:val="singleLevel"/>
    <w:tmpl w:val="5CDF5F75"/>
    <w:lvl w:ilvl="0" w:tentative="0">
      <w:start w:val="2"/>
      <w:numFmt w:val="chineseCounting"/>
      <w:suff w:val="space"/>
      <w:lvlText w:val="第%1章"/>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I1N2VhZDA4ZjkxNTE5ZGQ3MTRhM2E4YTAzNGYyNTYifQ=="/>
  </w:docVars>
  <w:rsids>
    <w:rsidRoot w:val="0BB86AEB"/>
    <w:rsid w:val="09053608"/>
    <w:rsid w:val="0BB86AE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iPriority="99"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宋体" w:hAnsi="宋体" w:eastAsia="宋体" w:cs="Arial"/>
      <w:kern w:val="2"/>
      <w:sz w:val="21"/>
      <w:szCs w:val="21"/>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cs="Times New Roman"/>
    </w:rPr>
  </w:style>
  <w:style w:type="paragraph" w:styleId="3">
    <w:name w:val="index 4"/>
    <w:basedOn w:val="1"/>
    <w:next w:val="1"/>
    <w:unhideWhenUsed/>
    <w:qFormat/>
    <w:uiPriority w:val="99"/>
    <w:rPr>
      <w:b/>
      <w:sz w:val="24"/>
      <w:lang w:val="zh-CN"/>
    </w:rPr>
  </w:style>
  <w:style w:type="paragraph" w:customStyle="1" w:styleId="6">
    <w:name w:val="大目录"/>
    <w:basedOn w:val="1"/>
    <w:qFormat/>
    <w:uiPriority w:val="0"/>
    <w:pPr>
      <w:spacing w:line="540" w:lineRule="exact"/>
      <w:jc w:val="center"/>
    </w:pPr>
    <w:rPr>
      <w:b/>
      <w:sz w:val="48"/>
      <w:szCs w:val="48"/>
    </w:rPr>
  </w:style>
  <w:style w:type="paragraph" w:styleId="7">
    <w:name w:val="List Paragraph"/>
    <w:basedOn w:val="1"/>
    <w:qFormat/>
    <w:uiPriority w:val="34"/>
    <w:pPr>
      <w:ind w:firstLine="420" w:firstLineChars="200"/>
    </w:pPr>
    <w:rPr>
      <w:rFonts w:ascii="Calibri" w:hAnsi="Calibri" w:cs="Times New Roman"/>
      <w:szCs w:val="22"/>
    </w:rPr>
  </w:style>
  <w:style w:type="paragraph" w:customStyle="1" w:styleId="8">
    <w:name w:val="列出段落1"/>
    <w:basedOn w:val="1"/>
    <w:qFormat/>
    <w:uiPriority w:val="0"/>
    <w:pPr>
      <w:ind w:firstLine="420" w:firstLineChars="200"/>
    </w:pPr>
    <w:rPr>
      <w:rFonts w:ascii="Calibri" w:hAnsi="Calibri" w:cs="Calibr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2022-12-12T08:56:00Z</dcterms:created>
  <dc:creator>NTKO</dc:creator>
  <cp:lastModifiedBy>NTKO</cp:lastModifiedBy>
  <dcterms:modified xsi:type="dcterms:W3CDTF">2022-12-12T08:56:54Z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303D391015A3456DBE531FE608B728B8</vt:lpwstr>
  </property>
</Properties>
</file>